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33E692D">
      <w:pPr>
        <w:spacing w:line="360" w:lineRule="auto"/>
        <w:jc w:val="both"/>
        <w:rPr>
          <w:rFonts w:hint="eastAsia"/>
          <w:b/>
          <w:sz w:val="24"/>
        </w:rPr>
      </w:pPr>
    </w:p>
    <w:p w14:paraId="3F9D512F">
      <w:pPr>
        <w:spacing w:line="360" w:lineRule="auto"/>
        <w:jc w:val="center"/>
        <w:rPr>
          <w:rFonts w:hint="eastAsia" w:ascii="宋体" w:hAnsi="宋体" w:eastAsia="宋体"/>
          <w:b/>
          <w:bCs/>
          <w:sz w:val="60"/>
          <w:lang w:eastAsia="zh-CN"/>
        </w:rPr>
      </w:pPr>
      <w:r>
        <w:rPr>
          <w:rFonts w:hint="eastAsia"/>
          <w:b/>
          <w:sz w:val="24"/>
        </w:rPr>
        <w:drawing>
          <wp:inline distT="0" distB="0" distL="114300" distR="114300">
            <wp:extent cx="4725035" cy="1033145"/>
            <wp:effectExtent l="0" t="0" r="0" b="3175"/>
            <wp:docPr id="1" name="图片 1" descr="毕业论文封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毕业论文封皮"/>
                    <pic:cNvPicPr>
                      <a:picLocks noChangeAspect="1"/>
                    </pic:cNvPicPr>
                  </pic:nvPicPr>
                  <pic:blipFill>
                    <a:blip r:embed="rId8"/>
                    <a:srcRect t="1190" r="48297"/>
                    <a:stretch>
                      <a:fillRect/>
                    </a:stretch>
                  </pic:blipFill>
                  <pic:spPr>
                    <a:xfrm>
                      <a:off x="0" y="0"/>
                      <a:ext cx="4725035" cy="1033145"/>
                    </a:xfrm>
                    <a:prstGeom prst="rect">
                      <a:avLst/>
                    </a:prstGeom>
                    <a:noFill/>
                    <a:ln>
                      <a:noFill/>
                    </a:ln>
                  </pic:spPr>
                </pic:pic>
              </a:graphicData>
            </a:graphic>
          </wp:inline>
        </w:drawing>
      </w:r>
    </w:p>
    <w:p w14:paraId="2318AF15">
      <w:pPr>
        <w:spacing w:line="360" w:lineRule="auto"/>
        <w:jc w:val="center"/>
        <w:rPr>
          <w:rFonts w:hint="eastAsia" w:ascii="宋体" w:hAnsi="宋体"/>
          <w:b/>
          <w:bCs/>
          <w:sz w:val="60"/>
        </w:rPr>
      </w:pPr>
    </w:p>
    <w:p w14:paraId="4DC2D1A4">
      <w:pPr>
        <w:spacing w:line="360" w:lineRule="auto"/>
        <w:jc w:val="both"/>
        <w:rPr>
          <w:rFonts w:hint="eastAsia" w:ascii="宋体" w:hAnsi="宋体"/>
          <w:b/>
          <w:bCs/>
          <w:sz w:val="60"/>
        </w:rPr>
      </w:pPr>
    </w:p>
    <w:p w14:paraId="61587BA7">
      <w:pPr>
        <w:spacing w:line="360" w:lineRule="auto"/>
        <w:jc w:val="center"/>
        <w:rPr>
          <w:rFonts w:hint="default" w:ascii="宋体" w:hAnsi="宋体" w:eastAsia="宋体"/>
          <w:b/>
          <w:bCs/>
          <w:sz w:val="52"/>
          <w:szCs w:val="52"/>
          <w:lang w:val="en-US" w:eastAsia="zh-CN"/>
        </w:rPr>
      </w:pPr>
      <w:r>
        <w:rPr>
          <w:rFonts w:hint="eastAsia" w:ascii="宋体" w:hAnsi="宋体"/>
          <w:b/>
          <w:bCs/>
          <w:sz w:val="52"/>
          <w:szCs w:val="52"/>
        </w:rPr>
        <w:t>本科生毕业</w:t>
      </w:r>
      <w:r>
        <w:rPr>
          <w:rFonts w:hint="eastAsia" w:ascii="宋体" w:hAnsi="宋体"/>
          <w:b/>
          <w:bCs/>
          <w:sz w:val="52"/>
          <w:szCs w:val="52"/>
          <w:lang w:val="en-US" w:eastAsia="zh-CN"/>
        </w:rPr>
        <w:t>论文（设计）</w:t>
      </w:r>
    </w:p>
    <w:p w14:paraId="72DCEAB7">
      <w:pPr>
        <w:spacing w:line="360" w:lineRule="auto"/>
        <w:jc w:val="center"/>
        <w:rPr>
          <w:rFonts w:hint="eastAsia" w:ascii="宋体" w:hAnsi="宋体"/>
          <w:b/>
          <w:bCs/>
          <w:sz w:val="60"/>
        </w:rPr>
      </w:pPr>
      <w:r>
        <w:rPr>
          <w:rFonts w:hint="eastAsia" w:ascii="宋体" w:hAnsi="宋体"/>
          <w:b/>
          <w:bCs/>
          <w:sz w:val="52"/>
          <w:szCs w:val="52"/>
        </w:rPr>
        <w:t>开题报告</w:t>
      </w:r>
    </w:p>
    <w:p w14:paraId="1717C3E4">
      <w:pPr>
        <w:spacing w:line="360" w:lineRule="auto"/>
        <w:rPr>
          <w:rFonts w:hint="eastAsia" w:ascii="宋体" w:hAnsi="宋体"/>
          <w:b/>
          <w:bCs/>
          <w:sz w:val="32"/>
        </w:rPr>
      </w:pPr>
      <w:r>
        <w:rPr>
          <w:rFonts w:hint="eastAsia" w:ascii="宋体" w:hAnsi="宋体"/>
          <w:b/>
          <w:bCs/>
          <w:sz w:val="32"/>
        </w:rPr>
        <w:t>　</w:t>
      </w:r>
    </w:p>
    <w:p w14:paraId="23951C4C">
      <w:pPr>
        <w:spacing w:line="360" w:lineRule="auto"/>
        <w:rPr>
          <w:rFonts w:hint="default" w:ascii="宋体" w:hAnsi="宋体"/>
          <w:b/>
          <w:bCs/>
          <w:sz w:val="32"/>
          <w:lang w:val="en-US" w:eastAsia="zh-CN"/>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28"/>
        <w:gridCol w:w="5238"/>
      </w:tblGrid>
      <w:tr w14:paraId="2CA2A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5" w:hRule="atLeast"/>
        </w:trPr>
        <w:tc>
          <w:tcPr>
            <w:tcW w:w="3228" w:type="dxa"/>
            <w:tcBorders>
              <w:top w:val="nil"/>
              <w:left w:val="nil"/>
              <w:bottom w:val="nil"/>
              <w:right w:val="nil"/>
            </w:tcBorders>
          </w:tcPr>
          <w:p w14:paraId="56CBD88B">
            <w:pPr>
              <w:spacing w:line="360" w:lineRule="auto"/>
              <w:jc w:val="right"/>
              <w:rPr>
                <w:rFonts w:hint="eastAsia" w:ascii="宋体" w:hAnsi="宋体" w:eastAsia="宋体"/>
                <w:b/>
                <w:bCs/>
                <w:sz w:val="32"/>
                <w:vertAlign w:val="baseline"/>
                <w:lang w:eastAsia="zh-CN"/>
              </w:rPr>
            </w:pPr>
            <w:r>
              <w:rPr>
                <w:rFonts w:hint="eastAsia"/>
                <w:color w:val="000000"/>
                <w:sz w:val="32"/>
                <w:szCs w:val="32"/>
              </w:rPr>
              <w:t>题</w:t>
            </w:r>
            <w:r>
              <w:rPr>
                <w:color w:val="000000"/>
                <w:sz w:val="32"/>
                <w:szCs w:val="32"/>
              </w:rPr>
              <w:t xml:space="preserve">    </w:t>
            </w:r>
            <w:r>
              <w:rPr>
                <w:rFonts w:hint="eastAsia"/>
                <w:color w:val="000000"/>
                <w:sz w:val="32"/>
                <w:szCs w:val="32"/>
              </w:rPr>
              <w:t>目</w:t>
            </w:r>
            <w:r>
              <w:rPr>
                <w:rFonts w:hint="eastAsia"/>
                <w:color w:val="000000"/>
                <w:sz w:val="32"/>
                <w:szCs w:val="32"/>
                <w:lang w:eastAsia="zh-CN"/>
              </w:rPr>
              <w:t>：</w:t>
            </w:r>
          </w:p>
        </w:tc>
        <w:tc>
          <w:tcPr>
            <w:tcW w:w="5238" w:type="dxa"/>
            <w:tcBorders>
              <w:top w:val="nil"/>
              <w:left w:val="nil"/>
              <w:bottom w:val="single" w:color="auto" w:sz="4" w:space="0"/>
              <w:right w:val="nil"/>
            </w:tcBorders>
          </w:tcPr>
          <w:p w14:paraId="1FE247FB">
            <w:pPr>
              <w:spacing w:line="360" w:lineRule="auto"/>
              <w:jc w:val="center"/>
              <w:rPr>
                <w:rFonts w:hint="eastAsia" w:ascii="宋体" w:hAnsi="宋体"/>
                <w:b/>
                <w:bCs/>
                <w:sz w:val="32"/>
                <w:vertAlign w:val="baseline"/>
              </w:rPr>
            </w:pPr>
            <w:r>
              <w:rPr>
                <w:rFonts w:hint="eastAsia" w:ascii="宋体" w:hAnsi="宋体"/>
                <w:b w:val="0"/>
                <w:bCs w:val="0"/>
                <w:sz w:val="32"/>
                <w:vertAlign w:val="baseline"/>
              </w:rPr>
              <w:t>面向老年驾驶员的汽车HMI界面视觉要素适老化设计研究</w:t>
            </w:r>
          </w:p>
        </w:tc>
      </w:tr>
      <w:tr w14:paraId="55CB7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8" w:type="dxa"/>
            <w:tcBorders>
              <w:top w:val="nil"/>
              <w:left w:val="nil"/>
              <w:bottom w:val="nil"/>
              <w:right w:val="nil"/>
            </w:tcBorders>
          </w:tcPr>
          <w:p w14:paraId="56C76128">
            <w:pPr>
              <w:spacing w:line="360" w:lineRule="auto"/>
              <w:jc w:val="right"/>
              <w:rPr>
                <w:rFonts w:hint="eastAsia" w:ascii="宋体" w:hAnsi="宋体"/>
                <w:b/>
                <w:bCs/>
                <w:sz w:val="32"/>
                <w:vertAlign w:val="baseline"/>
              </w:rPr>
            </w:pPr>
            <w:r>
              <w:rPr>
                <w:rFonts w:hint="eastAsia"/>
                <w:color w:val="000000"/>
                <w:sz w:val="32"/>
                <w:szCs w:val="32"/>
              </w:rPr>
              <w:t>院    系：</w:t>
            </w:r>
          </w:p>
        </w:tc>
        <w:tc>
          <w:tcPr>
            <w:tcW w:w="5238" w:type="dxa"/>
            <w:tcBorders>
              <w:top w:val="single" w:color="auto" w:sz="4" w:space="0"/>
              <w:left w:val="nil"/>
              <w:bottom w:val="single" w:color="auto" w:sz="4" w:space="0"/>
              <w:right w:val="nil"/>
            </w:tcBorders>
          </w:tcPr>
          <w:p w14:paraId="63EB97A7">
            <w:pPr>
              <w:spacing w:line="360" w:lineRule="auto"/>
              <w:jc w:val="center"/>
              <w:rPr>
                <w:rFonts w:hint="eastAsia" w:ascii="宋体" w:hAnsi="宋体"/>
                <w:b/>
                <w:bCs/>
                <w:sz w:val="32"/>
                <w:vertAlign w:val="baseline"/>
              </w:rPr>
            </w:pPr>
            <w:r>
              <w:rPr>
                <w:rFonts w:hint="eastAsia" w:ascii="宋体" w:hAnsi="宋体"/>
                <w:b w:val="0"/>
                <w:bCs w:val="0"/>
                <w:sz w:val="32"/>
                <w:vertAlign w:val="baseline"/>
              </w:rPr>
              <w:t>设计学院</w:t>
            </w:r>
          </w:p>
        </w:tc>
      </w:tr>
      <w:tr w14:paraId="36B6F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8" w:type="dxa"/>
            <w:tcBorders>
              <w:top w:val="nil"/>
              <w:left w:val="nil"/>
              <w:bottom w:val="nil"/>
              <w:right w:val="nil"/>
            </w:tcBorders>
          </w:tcPr>
          <w:p w14:paraId="22F88765">
            <w:pPr>
              <w:spacing w:line="360" w:lineRule="auto"/>
              <w:jc w:val="right"/>
              <w:rPr>
                <w:rFonts w:hint="eastAsia" w:ascii="宋体" w:hAnsi="宋体" w:eastAsia="宋体"/>
                <w:b/>
                <w:bCs/>
                <w:sz w:val="32"/>
                <w:vertAlign w:val="baseline"/>
                <w:lang w:val="en-US" w:eastAsia="zh-CN"/>
              </w:rPr>
            </w:pPr>
            <w:r>
              <w:rPr>
                <w:rFonts w:hint="eastAsia"/>
                <w:color w:val="000000"/>
                <w:sz w:val="32"/>
                <w:szCs w:val="32"/>
              </w:rPr>
              <w:t>专</w:t>
            </w:r>
            <w:r>
              <w:rPr>
                <w:color w:val="000000"/>
                <w:sz w:val="32"/>
                <w:szCs w:val="32"/>
              </w:rPr>
              <w:t xml:space="preserve">    </w:t>
            </w:r>
            <w:r>
              <w:rPr>
                <w:rFonts w:hint="eastAsia"/>
                <w:color w:val="000000"/>
                <w:sz w:val="32"/>
                <w:szCs w:val="32"/>
              </w:rPr>
              <w:t>业</w:t>
            </w:r>
            <w:r>
              <w:rPr>
                <w:rFonts w:hint="eastAsia"/>
                <w:color w:val="000000"/>
                <w:sz w:val="32"/>
                <w:szCs w:val="32"/>
                <w:lang w:eastAsia="zh-CN"/>
              </w:rPr>
              <w:t>：</w:t>
            </w:r>
          </w:p>
        </w:tc>
        <w:tc>
          <w:tcPr>
            <w:tcW w:w="5238" w:type="dxa"/>
            <w:tcBorders>
              <w:top w:val="single" w:color="auto" w:sz="4" w:space="0"/>
              <w:left w:val="nil"/>
              <w:bottom w:val="single" w:color="auto" w:sz="4" w:space="0"/>
              <w:right w:val="nil"/>
            </w:tcBorders>
          </w:tcPr>
          <w:p w14:paraId="1C568EF5">
            <w:pPr>
              <w:spacing w:line="360" w:lineRule="auto"/>
              <w:jc w:val="center"/>
              <w:rPr>
                <w:rFonts w:hint="eastAsia" w:ascii="宋体" w:hAnsi="宋体"/>
                <w:b/>
                <w:bCs/>
                <w:sz w:val="32"/>
                <w:vertAlign w:val="baseline"/>
              </w:rPr>
            </w:pPr>
            <w:r>
              <w:rPr>
                <w:rFonts w:hint="eastAsia" w:ascii="宋体" w:hAnsi="宋体"/>
                <w:b w:val="0"/>
                <w:bCs w:val="0"/>
                <w:sz w:val="32"/>
                <w:vertAlign w:val="baseline"/>
              </w:rPr>
              <w:t>艺术设计学</w:t>
            </w:r>
          </w:p>
        </w:tc>
      </w:tr>
      <w:tr w14:paraId="06FB5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8" w:type="dxa"/>
            <w:tcBorders>
              <w:top w:val="nil"/>
              <w:left w:val="nil"/>
              <w:bottom w:val="nil"/>
              <w:right w:val="nil"/>
            </w:tcBorders>
          </w:tcPr>
          <w:p w14:paraId="40A9D5CA">
            <w:pPr>
              <w:spacing w:line="360" w:lineRule="auto"/>
              <w:jc w:val="right"/>
              <w:rPr>
                <w:rFonts w:hint="eastAsia" w:ascii="宋体" w:hAnsi="宋体"/>
                <w:b/>
                <w:bCs/>
                <w:sz w:val="32"/>
                <w:vertAlign w:val="baseline"/>
              </w:rPr>
            </w:pPr>
            <w:r>
              <w:rPr>
                <w:rFonts w:hint="eastAsia"/>
                <w:color w:val="000000"/>
                <w:sz w:val="32"/>
                <w:szCs w:val="32"/>
              </w:rPr>
              <w:t>学生姓名：</w:t>
            </w:r>
          </w:p>
        </w:tc>
        <w:tc>
          <w:tcPr>
            <w:tcW w:w="5238" w:type="dxa"/>
            <w:tcBorders>
              <w:top w:val="single" w:color="auto" w:sz="4" w:space="0"/>
              <w:left w:val="nil"/>
              <w:bottom w:val="single" w:color="auto" w:sz="4" w:space="0"/>
              <w:right w:val="nil"/>
            </w:tcBorders>
          </w:tcPr>
          <w:p w14:paraId="2AE64BC1">
            <w:pPr>
              <w:spacing w:line="360" w:lineRule="auto"/>
              <w:jc w:val="center"/>
              <w:rPr>
                <w:rFonts w:hint="eastAsia" w:ascii="宋体" w:hAnsi="宋体" w:eastAsia="宋体"/>
                <w:b/>
                <w:bCs/>
                <w:sz w:val="32"/>
                <w:vertAlign w:val="baseline"/>
                <w:lang w:eastAsia="zh-CN"/>
              </w:rPr>
            </w:pPr>
            <w:r>
              <w:rPr>
                <w:rFonts w:hint="eastAsia" w:ascii="宋体" w:hAnsi="宋体"/>
                <w:b w:val="0"/>
                <w:bCs w:val="0"/>
                <w:sz w:val="32"/>
                <w:vertAlign w:val="baseline"/>
                <w:lang w:val="en-US" w:eastAsia="zh-CN"/>
              </w:rPr>
              <w:t>xxx</w:t>
            </w:r>
          </w:p>
        </w:tc>
      </w:tr>
      <w:tr w14:paraId="0EC9F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8" w:type="dxa"/>
            <w:tcBorders>
              <w:top w:val="nil"/>
              <w:left w:val="nil"/>
              <w:bottom w:val="nil"/>
              <w:right w:val="nil"/>
            </w:tcBorders>
          </w:tcPr>
          <w:p w14:paraId="7ED36F49">
            <w:pPr>
              <w:spacing w:line="360" w:lineRule="auto"/>
              <w:jc w:val="right"/>
              <w:rPr>
                <w:rFonts w:hint="eastAsia" w:ascii="宋体" w:hAnsi="宋体"/>
                <w:b/>
                <w:bCs/>
                <w:sz w:val="32"/>
                <w:vertAlign w:val="baseline"/>
              </w:rPr>
            </w:pPr>
            <w:r>
              <w:rPr>
                <w:rFonts w:hint="eastAsia"/>
                <w:color w:val="000000"/>
                <w:sz w:val="32"/>
                <w:szCs w:val="32"/>
              </w:rPr>
              <w:t>学</w:t>
            </w:r>
            <w:r>
              <w:rPr>
                <w:color w:val="000000"/>
                <w:sz w:val="32"/>
                <w:szCs w:val="32"/>
              </w:rPr>
              <w:t xml:space="preserve">    </w:t>
            </w:r>
            <w:r>
              <w:rPr>
                <w:rFonts w:hint="eastAsia"/>
                <w:color w:val="000000"/>
                <w:sz w:val="32"/>
                <w:szCs w:val="32"/>
              </w:rPr>
              <w:t>号：</w:t>
            </w:r>
          </w:p>
        </w:tc>
        <w:tc>
          <w:tcPr>
            <w:tcW w:w="5238" w:type="dxa"/>
            <w:tcBorders>
              <w:top w:val="single" w:color="auto" w:sz="4" w:space="0"/>
              <w:left w:val="nil"/>
              <w:bottom w:val="single" w:color="auto" w:sz="4" w:space="0"/>
              <w:right w:val="nil"/>
            </w:tcBorders>
          </w:tcPr>
          <w:p w14:paraId="1AC25BBF">
            <w:pPr>
              <w:spacing w:line="360" w:lineRule="auto"/>
              <w:jc w:val="center"/>
              <w:rPr>
                <w:rFonts w:hint="eastAsia" w:ascii="宋体" w:hAnsi="宋体"/>
                <w:b/>
                <w:bCs/>
                <w:sz w:val="32"/>
                <w:vertAlign w:val="baseline"/>
              </w:rPr>
            </w:pPr>
            <w:r>
              <w:rPr>
                <w:rFonts w:hint="eastAsia" w:ascii="宋体" w:hAnsi="宋体"/>
                <w:b w:val="0"/>
                <w:bCs w:val="0"/>
                <w:sz w:val="32"/>
                <w:vertAlign w:val="baseline"/>
              </w:rPr>
              <w:t>2230118011</w:t>
            </w:r>
          </w:p>
        </w:tc>
      </w:tr>
      <w:tr w14:paraId="02C7D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8" w:type="dxa"/>
            <w:tcBorders>
              <w:top w:val="nil"/>
              <w:left w:val="nil"/>
              <w:bottom w:val="nil"/>
              <w:right w:val="nil"/>
            </w:tcBorders>
          </w:tcPr>
          <w:p w14:paraId="5E62ED68">
            <w:pPr>
              <w:spacing w:line="360" w:lineRule="auto"/>
              <w:jc w:val="right"/>
              <w:rPr>
                <w:rFonts w:hint="eastAsia" w:ascii="宋体" w:hAnsi="宋体"/>
                <w:b/>
                <w:bCs/>
                <w:sz w:val="32"/>
                <w:vertAlign w:val="baseline"/>
              </w:rPr>
            </w:pPr>
            <w:r>
              <w:rPr>
                <w:rFonts w:hint="eastAsia"/>
                <w:color w:val="000000"/>
                <w:sz w:val="32"/>
                <w:szCs w:val="32"/>
              </w:rPr>
              <w:t>指导教师：</w:t>
            </w:r>
          </w:p>
        </w:tc>
        <w:tc>
          <w:tcPr>
            <w:tcW w:w="5238" w:type="dxa"/>
            <w:tcBorders>
              <w:top w:val="single" w:color="auto" w:sz="4" w:space="0"/>
              <w:left w:val="nil"/>
              <w:bottom w:val="single" w:color="auto" w:sz="4" w:space="0"/>
              <w:right w:val="nil"/>
            </w:tcBorders>
          </w:tcPr>
          <w:p w14:paraId="4C474E37">
            <w:pPr>
              <w:spacing w:line="360" w:lineRule="auto"/>
              <w:jc w:val="center"/>
              <w:rPr>
                <w:rFonts w:hint="default" w:ascii="宋体" w:hAnsi="宋体" w:eastAsia="宋体"/>
                <w:b/>
                <w:bCs/>
                <w:sz w:val="32"/>
                <w:vertAlign w:val="baseline"/>
                <w:lang w:val="en-US" w:eastAsia="zh-CN"/>
              </w:rPr>
            </w:pPr>
            <w:r>
              <w:rPr>
                <w:rFonts w:hint="eastAsia" w:ascii="宋体" w:hAnsi="宋体"/>
                <w:b/>
                <w:bCs/>
                <w:sz w:val="32"/>
                <w:vertAlign w:val="baseline"/>
                <w:lang w:val="en-US" w:eastAsia="zh-CN"/>
              </w:rPr>
              <w:t>xx</w:t>
            </w:r>
          </w:p>
        </w:tc>
      </w:tr>
    </w:tbl>
    <w:p w14:paraId="12FB7E64">
      <w:pPr>
        <w:spacing w:line="360" w:lineRule="auto"/>
        <w:ind w:firstLine="321" w:firstLineChars="100"/>
        <w:rPr>
          <w:rFonts w:hint="eastAsia" w:ascii="宋体" w:hAnsi="宋体"/>
          <w:b/>
          <w:bCs/>
          <w:sz w:val="32"/>
        </w:rPr>
      </w:pPr>
    </w:p>
    <w:p w14:paraId="579FD3C9">
      <w:pPr>
        <w:spacing w:line="360" w:lineRule="auto"/>
        <w:ind w:firstLine="321" w:firstLineChars="100"/>
        <w:rPr>
          <w:rFonts w:hint="eastAsia" w:ascii="宋体" w:hAnsi="宋体"/>
          <w:b/>
          <w:bCs/>
          <w:sz w:val="32"/>
        </w:rPr>
      </w:pPr>
    </w:p>
    <w:p w14:paraId="3B93DCD5">
      <w:pPr>
        <w:spacing w:line="360" w:lineRule="auto"/>
        <w:jc w:val="center"/>
        <w:rPr>
          <w:rFonts w:hint="default" w:ascii="宋体" w:hAnsi="宋体"/>
          <w:b w:val="0"/>
          <w:bCs w:val="0"/>
          <w:sz w:val="32"/>
        </w:rPr>
      </w:pPr>
      <w:r>
        <w:rPr>
          <w:rFonts w:hint="eastAsia" w:ascii="宋体" w:hAnsi="宋体"/>
          <w:color w:val="000000"/>
          <w:sz w:val="32"/>
          <w:szCs w:val="32"/>
          <w:lang w:val="en-US" w:eastAsia="zh-CN"/>
        </w:rPr>
        <w:t>二</w:t>
      </w:r>
      <w:r>
        <w:rPr>
          <w:rFonts w:hint="eastAsia" w:ascii="宋体" w:hAnsi="宋体"/>
          <w:color w:val="000000"/>
          <w:sz w:val="32"/>
          <w:szCs w:val="32"/>
        </w:rPr>
        <w:t>〇</w:t>
      </w:r>
      <w:r>
        <w:rPr>
          <w:rFonts w:hint="eastAsia" w:ascii="宋体" w:hAnsi="宋体"/>
          <w:color w:val="000000"/>
          <w:sz w:val="32"/>
          <w:szCs w:val="32"/>
          <w:lang w:val="en-US" w:eastAsia="zh-CN"/>
        </w:rPr>
        <w:t xml:space="preserve">二六 </w:t>
      </w:r>
      <w:r>
        <w:rPr>
          <w:rFonts w:hint="eastAsia" w:ascii="宋体" w:hAnsi="宋体"/>
          <w:b w:val="0"/>
          <w:bCs w:val="0"/>
          <w:sz w:val="32"/>
          <w:lang w:val="en-US" w:eastAsia="zh-CN"/>
        </w:rPr>
        <w:t>年 九 月</w:t>
      </w:r>
    </w:p>
    <w:p w14:paraId="5373787C">
      <w:pPr>
        <w:spacing w:line="500" w:lineRule="exact"/>
        <w:rPr>
          <w:rFonts w:hint="eastAsia" w:ascii="宋体" w:hAnsi="宋体"/>
          <w:b/>
          <w:bCs w:val="0"/>
          <w:sz w:val="24"/>
          <w:szCs w:val="24"/>
          <w:lang w:val="en-US" w:eastAsia="zh-CN"/>
        </w:rPr>
        <w:sectPr>
          <w:footerReference r:id="rId5" w:type="even"/>
          <w:pgSz w:w="11906" w:h="16838"/>
          <w:pgMar w:top="1134" w:right="1134" w:bottom="1134" w:left="1134" w:header="851" w:footer="992" w:gutter="0"/>
          <w:cols w:space="708" w:num="1"/>
          <w:docGrid w:type="lines" w:linePitch="312" w:charSpace="0"/>
        </w:sect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34"/>
        <w:gridCol w:w="6924"/>
      </w:tblGrid>
      <w:tr w14:paraId="7C334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8" w:hRule="atLeast"/>
          <w:jc w:val="center"/>
        </w:trPr>
        <w:tc>
          <w:tcPr>
            <w:tcW w:w="2734" w:type="dxa"/>
            <w:vAlign w:val="center"/>
          </w:tcPr>
          <w:p w14:paraId="28056533">
            <w:pPr>
              <w:spacing w:line="500" w:lineRule="exact"/>
              <w:rPr>
                <w:rFonts w:hint="default" w:ascii="宋体" w:hAnsi="宋体" w:eastAsia="宋体"/>
                <w:bCs/>
                <w:sz w:val="28"/>
                <w:szCs w:val="28"/>
                <w:lang w:val="en-US" w:eastAsia="zh-CN"/>
              </w:rPr>
            </w:pPr>
            <w:r>
              <w:rPr>
                <w:rFonts w:hint="eastAsia" w:ascii="宋体" w:hAnsi="宋体"/>
                <w:b/>
                <w:bCs/>
                <w:sz w:val="24"/>
                <w:lang w:val="en-US" w:eastAsia="zh-CN"/>
              </w:rPr>
              <w:t>毕业论文（设计）题目</w:t>
            </w:r>
          </w:p>
        </w:tc>
        <w:tc>
          <w:tcPr>
            <w:tcW w:w="6924" w:type="dxa"/>
            <w:vAlign w:val="center"/>
          </w:tcPr>
          <w:p w14:paraId="1D7634A6">
            <w:pPr>
              <w:spacing w:line="500" w:lineRule="exact"/>
              <w:rPr>
                <w:rFonts w:hint="default" w:ascii="宋体" w:hAnsi="宋体"/>
                <w:bCs/>
                <w:sz w:val="28"/>
                <w:szCs w:val="28"/>
              </w:rPr>
            </w:pPr>
            <w:r>
              <w:rPr>
                <w:rFonts w:hint="default" w:ascii="宋体" w:hAnsi="宋体"/>
                <w:bCs/>
                <w:sz w:val="28"/>
                <w:szCs w:val="28"/>
              </w:rPr>
              <w:t>面向老年驾驶员的汽车HMI界面视觉要素适老化设计研究</w:t>
            </w:r>
          </w:p>
        </w:tc>
      </w:tr>
      <w:tr w14:paraId="42855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jc w:val="center"/>
        </w:trPr>
        <w:tc>
          <w:tcPr>
            <w:tcW w:w="9658" w:type="dxa"/>
            <w:gridSpan w:val="2"/>
          </w:tcPr>
          <w:p w14:paraId="3D63D678">
            <w:pPr>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一、选题依据（包括目的、意义、国内外现状和发展趋势，主要参考文献）：</w:t>
            </w:r>
          </w:p>
          <w:p w14:paraId="3E107BD5">
            <w:pPr>
              <w:pStyle w:val="14"/>
            </w:pPr>
            <w:r>
              <w:rPr>
                <w:rFonts w:hint="eastAsia"/>
                <w:lang w:val="zh-CN"/>
              </w:rPr>
              <w:t>（</w:t>
            </w:r>
            <w:r>
              <w:rPr>
                <w:rFonts w:hint="eastAsia"/>
                <w:lang w:val="en-US" w:eastAsia="zh-CN"/>
              </w:rPr>
              <w:t>一）</w:t>
            </w:r>
            <w:r>
              <w:rPr>
                <w:lang w:val="zh-CN"/>
              </w:rPr>
              <w:t>研究背景：</w:t>
            </w:r>
            <w:r>
              <w:commentReference w:id="0"/>
            </w:r>
          </w:p>
          <w:p w14:paraId="42D81FC1">
            <w:pPr>
              <w:pStyle w:val="14"/>
            </w:pPr>
            <w:r>
              <w:rPr>
                <w:lang w:val="zh-CN"/>
              </w:rPr>
              <w:t>2024年9月13日，第十四届全国人民代表大会常务委员会第十一次会议通过了《关于实施渐进式延迟法定退休年龄的决定》，批准了《国务院关于渐进式延迟法定退休年龄的办法》，明确从2025年1月1日起正式实施渐进式延迟法定退休年龄。男职工原法定退休年龄为60周岁，将逐步延迟至63周岁；女职工由原法定退休年龄为50周岁和55周岁，将分别逐步延迟至55周岁和58周岁。</w:t>
            </w:r>
          </w:p>
          <w:p w14:paraId="719EA766">
            <w:pPr>
              <w:pStyle w:val="14"/>
            </w:pPr>
            <w:r>
              <w:rPr>
                <w:lang w:val="zh-CN"/>
              </w:rPr>
              <w:t>延迟退休对用户群体有以下几方面的影响：</w:t>
            </w:r>
          </w:p>
          <w:p w14:paraId="79B1E83B">
            <w:pPr>
              <w:pStyle w:val="14"/>
            </w:pPr>
            <w:r>
              <w:rPr>
                <w:rFonts w:hint="eastAsia"/>
                <w:lang w:val="en-US" w:eastAsia="zh-CN"/>
              </w:rPr>
              <w:t>1.</w:t>
            </w:r>
            <w:r>
              <w:rPr>
                <w:lang w:val="zh-CN"/>
              </w:rPr>
              <w:t>经济层面：中老年人延工可增加收入，技术、专业岗位者凭经验提升价值，改善生活;</w:t>
            </w:r>
          </w:p>
          <w:p w14:paraId="20BEC380">
            <w:pPr>
              <w:pStyle w:val="14"/>
            </w:pPr>
            <w:r>
              <w:rPr>
                <w:rFonts w:hint="eastAsia"/>
                <w:lang w:val="en-US" w:eastAsia="zh-CN"/>
              </w:rPr>
              <w:t>2.</w:t>
            </w:r>
            <w:r>
              <w:rPr>
                <w:lang w:val="zh-CN"/>
              </w:rPr>
              <w:t>社会层面：延迟退休能补充中老年人劳动力，缓解多领域人力缺口，维持社会生产与服务（如日本缓解护理业人力不足）;</w:t>
            </w:r>
          </w:p>
          <w:p w14:paraId="6296D41E">
            <w:pPr>
              <w:pStyle w:val="14"/>
            </w:pPr>
            <w:r>
              <w:rPr>
                <w:rFonts w:hint="eastAsia"/>
                <w:lang w:val="en-US" w:eastAsia="zh-CN"/>
              </w:rPr>
              <w:t>3.</w:t>
            </w:r>
            <w:r>
              <w:rPr>
                <w:lang w:val="zh-CN"/>
              </w:rPr>
              <w:t>个人价值：延迟退休帮助中老年人保持社会角色，避免退休后价值感下降，为事业心强者带来持续成就感;</w:t>
            </w:r>
          </w:p>
          <w:p w14:paraId="2939CFCE">
            <w:pPr>
              <w:pStyle w:val="14"/>
            </w:pPr>
            <w:r>
              <w:rPr>
                <w:lang w:val="zh-CN"/>
              </w:rPr>
              <w:t>《国家积极应对人口老龄化中长期规划》中提到了‘老年友好型社会’ 在交通出行领域的具体要求包括：以养老、孝老、敬老为导向，完善交通出行的适老化配套，强化老年人出行权益的法治保障，推动家庭、社会、政府协同构建老年人安全便捷出行的环境。《规划》中‘老年友好型社会’在交通出行领域的建设目标，为老年人便捷、安全出行提供了政策支撑，直接推动老年群体在社会活动范围扩大，老年驾驶员数量增多成为这一趋势的显著体现。​</w:t>
            </w:r>
          </w:p>
          <w:p w14:paraId="021FBAAB">
            <w:pPr>
              <w:pStyle w:val="14"/>
            </w:pPr>
            <w:r>
              <w:rPr>
                <w:lang w:val="zh-CN"/>
              </w:rPr>
              <w:t>然而，现有汽车 HMI 界面在设计上多以普通成年用户为基准，在适配老年驾驶员需求方面存在明显不足。从视觉上看，字体偏小、色彩对比度不足等问题，难以适应老年人视力退化的特点；交互逻辑复杂、操作步骤繁琐，与老年人熟悉的简化操作习惯相悖；在信息反馈上，缺乏符合老年人生理特征的多感官提示，这些不足容易导致老年驾驶员操作失误，增加驾驶风险，与政策所追求的交通出行安全目标相抵触。​</w:t>
            </w:r>
          </w:p>
          <w:p w14:paraId="1DDB9E19">
            <w:pPr>
              <w:pStyle w:val="14"/>
            </w:pPr>
            <w:r>
              <w:rPr>
                <w:lang w:val="zh-CN"/>
              </w:rPr>
              <w:t>因此，针对汽车 HMI 界面进行适老化研究具有强烈的必要性。这不仅是响应《国家积极应对人口老龄化中长期规划》中构建老年友好型交通环境的要求，更是解决老年驾驶员实际出行痛点、保障其驾驶安全、提升其出行体验的关键举措，同时也能为汽车行业挖掘新的市场潜力，推动汽车行业更贴向老年群体需求的人性化、精细化方向发展。</w:t>
            </w:r>
          </w:p>
          <w:p w14:paraId="2CAABCD4">
            <w:pPr>
              <w:pStyle w:val="14"/>
            </w:pPr>
            <w:r>
              <w:rPr>
                <w:lang w:val="zh-CN"/>
              </w:rPr>
              <w:t>本课题旨在探讨和构建基于用户体验的汽车HMI适老化UI设计，通过深入剖析现有的“长辈模式”、多模态交互、智能辅助系统以及人机交互方法，打造更人性化、易用性更强的界面，提升老年用户的使用体验。同时，本研究将梳理汽车HMI适老化UI设计的现状与问题，提出解决方案和发展建议，以推动老年用户对适老化汽车产品的接受度，促进了汽车行业的持续创新和发展。</w:t>
            </w:r>
          </w:p>
          <w:p w14:paraId="4089E958">
            <w:pPr>
              <w:pStyle w:val="14"/>
            </w:pPr>
            <w:r>
              <w:rPr>
                <w:lang w:val="zh-CN"/>
              </w:rPr>
              <w:t>研究目的：</w:t>
            </w:r>
          </w:p>
          <w:p w14:paraId="243970E9">
            <w:pPr>
              <w:pStyle w:val="14"/>
            </w:pPr>
            <w:r>
              <w:rPr>
                <w:lang w:val="zh-CN"/>
              </w:rPr>
              <w:t>本研究旨在通过系统分析和综合评价已有的研究和实践，揭示汽车HMI适老化UI界面设计的现状和存在的问题，提出相应的解决方案，为国家政策制定和实施提供参考。老龄化趋势为汽车 HMI 适老化 UI 设计带来发展机遇，这类设计能减少老年用户操作失误与困惑，提升界面的易用性和可操作性；适老化设计能贴合老年用户习惯与需求，增强驾驶安全性，降低操作风险；从多维度进行适老化设计，探索 HMI 中的创新融合，满足消费需求。</w:t>
            </w:r>
          </w:p>
          <w:p w14:paraId="6959B0CA">
            <w:pPr>
              <w:pStyle w:val="14"/>
            </w:pPr>
            <w:r>
              <w:rPr>
                <w:lang w:val="zh-CN"/>
              </w:rPr>
              <w:t>研究意义：</w:t>
            </w:r>
          </w:p>
          <w:p w14:paraId="781092DF">
            <w:pPr>
              <w:pStyle w:val="14"/>
            </w:pPr>
            <w:r>
              <w:rPr>
                <w:lang w:val="zh-CN"/>
              </w:rPr>
              <w:t>随着汽车行业的不断发展，技术也在不断进步，用户群体的主角不再是年轻用户，老年用户也在不断加入这一趋势，课题主要针对老年用户的感官退化、认知和操作能力下降等问题进行探讨，旨在深化和丰富与之密切相关的视觉、听觉、触觉、布局、交互和情感等多个方面的适老化研究，弥补当前研究的不足，具备重要的理论借鉴意义。</w:t>
            </w:r>
          </w:p>
          <w:p w14:paraId="7F31FBAE">
            <w:pPr>
              <w:pStyle w:val="14"/>
            </w:pPr>
            <w:r>
              <w:rPr>
                <w:lang w:val="zh-CN"/>
              </w:rPr>
              <w:t>国内外现状：</w:t>
            </w:r>
          </w:p>
          <w:p w14:paraId="2556A83A">
            <w:pPr>
              <w:pStyle w:val="14"/>
            </w:pPr>
            <w:r>
              <w:rPr>
                <w:lang w:val="zh-CN"/>
              </w:rPr>
              <w:t>国内研究现状：我国在汽车 HMI（人机交互界面）适老化设计领域的研究主要围绕老年用户的生理、心理特点及实际需求展开，通过多学科交叉与技术创新，系统性地优化界面设计与交互逻辑。</w:t>
            </w:r>
          </w:p>
          <w:p w14:paraId="1792E9E9">
            <w:pPr>
              <w:pStyle w:val="14"/>
            </w:pPr>
            <w:r>
              <w:rPr>
                <w:lang w:val="zh-CN"/>
              </w:rPr>
              <w:t>1.学术研究：米良宇在他的研究中梳理了老年驾驶群体生理、心理及认知特性在驾驶与交互中产生的问题提出了基于认知负荷理论的汽车人机交互界面适老化设计特征，通过实验探究老年驾驶群体在不同汽车人机界面交互方式下完成任务的时间差异，明确其车内交互行为特征，分析目标用户在认知记忆特点及人机负荷影响因素</w:t>
            </w:r>
            <w:r>
              <w:rPr>
                <w:vertAlign w:val="superscript"/>
                <w:lang w:val="zh-CN"/>
              </w:rPr>
              <w:t>[1]</w:t>
            </w:r>
            <w:r>
              <w:rPr>
                <w:lang w:val="zh-CN"/>
              </w:rPr>
              <w:t>；林雨婷在她的研究中也从老龄化驾驶员驾驶情境、人机交互行为与汽车中控界面的影响关系出发，详细分析了老龄化驾驶群体需求、行为特性等与目前汽车中控人机界面及实际使用情境存在差异，产品结构不够简洁明确，视觉设计方面不符合用户技能特征与喜好度等问题</w:t>
            </w:r>
            <w:r>
              <w:rPr>
                <w:vertAlign w:val="superscript"/>
                <w:lang w:val="zh-CN"/>
              </w:rPr>
              <w:t>[2]</w:t>
            </w:r>
            <w:r>
              <w:rPr>
                <w:lang w:val="zh-CN"/>
              </w:rPr>
              <w:t>。</w:t>
            </w:r>
          </w:p>
          <w:p w14:paraId="778D2265">
            <w:pPr>
              <w:pStyle w:val="14"/>
            </w:pPr>
            <w:r>
              <w:rPr>
                <w:lang w:val="zh-CN"/>
              </w:rPr>
              <w:t>2.应用研究：大家熟知的比亚迪企业其比亚迪汉 EV的DiLink系统采用20pt默认字体并支持三级调节（最大25pt）,搭配蓝白高对比配色，使信息识别效率提升30%；唐EV的DMS疲劳监测系统，能识别闭眼（＞2秒）、打哈欠等特征，触发三级预警（蜂鸣提示-座椅震动-自动减速至应急车道）准确率高达95%。它们通过深度洞察老年用户需求，将技术创新与人性化设计结合，才形成了具有代表性的适老化解决方案，不仅提高了产品的安全性和可靠性，也让用户减少驾驶风险；</w:t>
            </w:r>
          </w:p>
          <w:p w14:paraId="4BC6735E">
            <w:pPr>
              <w:pStyle w:val="14"/>
            </w:pPr>
            <w:r>
              <w:rPr>
                <w:lang w:val="zh-CN"/>
              </w:rPr>
              <w:t>国内从用户需求特征、视觉与交互设计优化、安全性和可靠性的提升以及技术创新与建设等维度发力，如比亚迪的视觉优化、五菱的物理按键等，构建了更安全、易用的老年出行生态。未来，随着 AI、AR 等技术的深度应用，汽车 HMI 将从 “功能适配” 向 “情感交互” 进阶，真正实现 “适老化” 到 “享老化” 的跨越。当前，我国汽车 HMI 适老化设计已进入 “场景深耕” 阶段，但仍存在明显短板：​</w:t>
            </w:r>
          </w:p>
          <w:p w14:paraId="5160D60C">
            <w:pPr>
              <w:pStyle w:val="14"/>
            </w:pPr>
            <w:r>
              <w:rPr>
                <w:lang w:val="zh-CN"/>
              </w:rPr>
              <w:t>（1）认知层面应对不足：侧重视觉优化，对认知衰退适配欠缺，菜单层级复杂，操作逻辑脱离老年经验（如专业术语不够通俗化），误触后无一键撤销，甚至需要重启系统，加剧操作焦虑；</w:t>
            </w:r>
          </w:p>
          <w:p w14:paraId="243EF4A5">
            <w:pPr>
              <w:pStyle w:val="14"/>
            </w:pPr>
            <w:r>
              <w:rPr>
                <w:lang w:val="zh-CN"/>
              </w:rPr>
              <w:t>（2）交互适配碎片化：实体按键与虚拟交互缺乏协同，语音对地方语言识别率不足40%，且与触屏操作无法互补，多模态反馈协同性差，如导航仅靠屏幕显示，未匹配震动或语音强化，难适配注意力分散等特点；</w:t>
            </w:r>
          </w:p>
          <w:p w14:paraId="5B064A3D">
            <w:pPr>
              <w:pStyle w:val="14"/>
            </w:pPr>
            <w:r>
              <w:rPr>
                <w:lang w:val="zh-CN"/>
              </w:rPr>
              <w:t>（3）场景覆盖存在盲区：集中于驾驶高频操作，特殊场景考量不足，突发状况仍用专业代码或图标提示，没有直白指引，夜间屏幕亮度调节延迟，强光致疲劳、弱光看不清，缺乏针对瞳孔调节衰退的动态适配。</w:t>
            </w:r>
          </w:p>
          <w:p w14:paraId="2F13C825">
            <w:pPr>
              <w:pStyle w:val="14"/>
            </w:pPr>
            <w:r>
              <w:rPr>
                <w:lang w:val="zh-CN"/>
              </w:rPr>
              <w:t>国外研究状况：由于国外发展时间更长，其汽车产业体系已趋于成熟，且出于环境保护需求，正逐步从燃油车向新能源车转型，这一转变也让我国看到了商机。</w:t>
            </w:r>
          </w:p>
          <w:p w14:paraId="5C8997C9">
            <w:pPr>
              <w:pStyle w:val="14"/>
            </w:pPr>
            <w:r>
              <w:rPr>
                <w:lang w:val="zh-CN"/>
              </w:rPr>
              <w:t>1.学术研究：Dale Steinhardt在他的研究中也指出老年驾驶用户是道路使用者中增长最快的群体，随着年龄增长，其认知和生理能力下降，他提出未来车载界面设计必须考虑老年驾驶群体的需求和能力，现有研究多集中在车载技术的人体工程学和人机界面方面，但缺乏对提高老年驾驶员道路安全的相关技术和功能的全面研究。该论文基于交通心理学理论和事故数据，对相关技术干预措施进行了概念化阐述，交通心理学中“风险补偿理论”（Risk Compensation Theory）和“有限理性模型”（Bounded Rationality Model）,分析老年驾驶员在信息处理、风险判断中的行为特征，再整合多国交通事故统计数据，基于这些数据分析显示，视觉信息处理延迟和复杂场景决策失误是老年驾驶员事故的主要诱因，因此感知增强和决策辅助功能应作为设计重点</w:t>
            </w:r>
            <w:r>
              <w:rPr>
                <w:vertAlign w:val="superscript"/>
                <w:lang w:val="zh-CN"/>
              </w:rPr>
              <w:t xml:space="preserve"> [11]</w:t>
            </w:r>
            <w:r>
              <w:rPr>
                <w:lang w:val="zh-CN"/>
              </w:rPr>
              <w:t>。</w:t>
            </w:r>
          </w:p>
          <w:p w14:paraId="5BB6E4D1">
            <w:pPr>
              <w:pStyle w:val="14"/>
            </w:pPr>
            <w:r>
              <w:rPr>
                <w:lang w:val="zh-CN"/>
              </w:rPr>
              <w:t>2.应用研究：国外在多模态交互的生理适配上，宝马 iDrive 9 系统通过单手触控板 + 触觉反馈补偿设计实现低误操作率 。宝马 iX系统配备UWB 超宽带雷达，实时监测驾驶员头部姿态，当检测到头部下垂 &gt; 2 秒（疲劳特征）时，方向盘震动 + 座椅脉冲按摩同步启动，该系统反应速度比传统摄像头快 0.5 秒；系统还支持代际协作模式，子女可通过手机 APP 远程查看父母的驾驶状态，并设置电子围栏预警。国外汽车 HMI 适老化设计已从功能适配进入体验重构阶段，宝马的 AR-HUD、奔驰的健康监测、福特的方言语音、丰田的生理适配等技术创新，正在构建更安全、智能的老年出行生态。</w:t>
            </w:r>
          </w:p>
          <w:p w14:paraId="0D303203">
            <w:pPr>
              <w:pStyle w:val="14"/>
            </w:pPr>
            <w:r>
              <w:rPr>
                <w:lang w:val="zh-CN"/>
              </w:rPr>
              <w:t>国外汽车 HMI 适老化设计虽在技术应用上较为成熟，但也存在一些明显不足，尤其在文化适配和本土化结合方面较为突出：​</w:t>
            </w:r>
          </w:p>
          <w:p w14:paraId="30EC1FF5">
            <w:pPr>
              <w:pStyle w:val="14"/>
            </w:pPr>
            <w:r>
              <w:rPr>
                <w:lang w:val="zh-CN"/>
              </w:rPr>
              <w:t>（1）文化与语言适配存在显著缺口：国外品牌的语音交互系统多基于西方语境开发，对中国地域文化和语言习惯的适配不足。以宝马 iDrive 系统为例，其语音指令逻辑贴合英语语法结构，对中文的口语化表达识别准确率较低，更不用说方言了，对粤语、四川话等方言的识别率不足 50%。而且，系统中的功能命名也带有西方文化印记，如将 “导航至菜市场” 默认命名为“导航至食品市场”，与老年用户的日常用语习惯脱节，增加了理解和操作难度。</w:t>
            </w:r>
          </w:p>
          <w:p w14:paraId="4E11BDA1">
            <w:pPr>
              <w:pStyle w:val="14"/>
            </w:pPr>
            <w:r>
              <w:rPr>
                <w:lang w:val="zh-CN"/>
              </w:rPr>
              <w:t>（2）操作逻辑与使用习惯适配不足：国外老年用户更习惯独立操作和复杂的数字化交互，而中国老年群体在操作上更依赖直观、简化的逻辑，且受家庭观念影响，对与家人的协同功能需求不同。比如宝马 iX 的代际协作模式，虽支持子女远程查看驾驶状态，但在权限设置上较为复杂，需要多次验证步骤才能完成绑定，不符合中国老年人简单直接的操作期待。</w:t>
            </w:r>
          </w:p>
          <w:p w14:paraId="04C38284">
            <w:pPr>
              <w:pStyle w:val="14"/>
            </w:pPr>
            <w:r>
              <w:rPr>
                <w:lang w:val="zh-CN"/>
              </w:rPr>
              <w:t>综上所述：</w:t>
            </w:r>
          </w:p>
          <w:p w14:paraId="532E2CBB">
            <w:pPr>
              <w:pStyle w:val="14"/>
            </w:pPr>
            <w:r>
              <w:rPr>
                <w:lang w:val="zh-CN"/>
              </w:rPr>
              <w:t>无论发展怎样迅速，在针对用户的驾驶安全方面还是存在问题，未来在汽车HMI适老化界面设计中，本研究将从单一界面优化升级为全感官适老化交互系统，再结合老年用户“代际协作需求”（子女远程协助），设计“跨设备适老化交互体系”，既满足老年用户的生理功能需求，又通过预防性关怀设计提升情感安全感，真正实现 "以用户为中心" 的适老化 HMI 设计目标。</w:t>
            </w:r>
          </w:p>
          <w:p w14:paraId="79EDFAF0">
            <w:pPr>
              <w:pStyle w:val="14"/>
            </w:pPr>
            <w:r>
              <w:rPr>
                <w:lang w:val="zh-CN"/>
              </w:rPr>
              <w:t>主要参考文献;</w:t>
            </w:r>
          </w:p>
          <w:p w14:paraId="54E47F80">
            <w:pPr>
              <w:pStyle w:val="14"/>
            </w:pPr>
            <w:r>
              <w:rPr>
                <w:lang w:val="zh-CN"/>
              </w:rPr>
              <w:t xml:space="preserve">[1]米良宇.基于认知负荷理论的汽车人机交互界面适老化设计策略研究[D].郑州轻工业大学,2023. </w:t>
            </w:r>
          </w:p>
          <w:p w14:paraId="36B1B062">
            <w:pPr>
              <w:pStyle w:val="14"/>
            </w:pPr>
            <w:r>
              <w:rPr>
                <w:lang w:val="zh-CN"/>
              </w:rPr>
              <w:t>[2]林雨婷.基于FBM模型的汽车中控人机界面适老化设计研究[D].华南理工大学,2020.</w:t>
            </w:r>
          </w:p>
          <w:p w14:paraId="2C370BE1">
            <w:pPr>
              <w:pStyle w:val="14"/>
            </w:pPr>
            <w:r>
              <w:rPr>
                <w:lang w:val="zh-CN"/>
              </w:rPr>
              <w:t>[3]薛遥.基于服务导向的汽车适老化交互界面设计[J].黄冈师范学院学报,2023.</w:t>
            </w:r>
          </w:p>
          <w:p w14:paraId="1C8DDA80">
            <w:pPr>
              <w:pStyle w:val="14"/>
            </w:pPr>
            <w:r>
              <w:rPr>
                <w:lang w:val="zh-CN"/>
              </w:rPr>
              <w:t>[4]马延飞.基于人机交互理论的新能源汽车适老化界面设计研究[D].中原工学院,2024.</w:t>
            </w:r>
          </w:p>
          <w:p w14:paraId="6806588D">
            <w:pPr>
              <w:pStyle w:val="14"/>
            </w:pPr>
            <w:r>
              <w:rPr>
                <w:lang w:val="zh-CN"/>
              </w:rPr>
              <w:t>[5]薛遥,江月亭,汪善平.汽车人机交互界面的适老化设计研究[J].机械设计,2023.</w:t>
            </w:r>
          </w:p>
          <w:p w14:paraId="505308CC">
            <w:pPr>
              <w:pStyle w:val="14"/>
            </w:pPr>
            <w:r>
              <w:rPr>
                <w:lang w:val="zh-CN"/>
              </w:rPr>
              <w:t xml:space="preserve">[6]张鑫蕊.基于多模态交互的新能源汽车HMI设计研究[D].北方工业大学,2024. </w:t>
            </w:r>
          </w:p>
          <w:p w14:paraId="7D9F8805">
            <w:pPr>
              <w:pStyle w:val="14"/>
            </w:pPr>
            <w:r>
              <w:rPr>
                <w:lang w:val="zh-CN"/>
              </w:rPr>
              <w:t>[7]邱大鹏.基于老龄驾驶行为的汽车人机交互适老化设计研究[D].江南大学,2020.</w:t>
            </w:r>
          </w:p>
          <w:p w14:paraId="47E6C54B">
            <w:pPr>
              <w:pStyle w:val="14"/>
            </w:pPr>
            <w:r>
              <w:rPr>
                <w:lang w:val="zh-CN"/>
              </w:rPr>
              <w:t>[8]付雁博.新能源汽车交互界面适老性研究[D].长春工业大学,2024.</w:t>
            </w:r>
          </w:p>
          <w:p w14:paraId="21A323E1">
            <w:pPr>
              <w:pStyle w:val="14"/>
            </w:pPr>
            <w:r>
              <w:rPr>
                <w:lang w:val="zh-CN"/>
              </w:rPr>
              <w:t>[9]李君华,沈柯宇,徐源,等.车载人机交互界面的适老化设计研究[J].包装工程,2023.</w:t>
            </w:r>
          </w:p>
          <w:p w14:paraId="092AF296">
            <w:pPr>
              <w:pStyle w:val="14"/>
            </w:pPr>
            <w:r>
              <w:rPr>
                <w:lang w:val="zh-CN"/>
              </w:rPr>
              <w:t>[10]W D E ,J L M ,Liang Z , et al.Use, perceptions, and benefits of automotive technologies among aging drivers.[J].Injury epidemiology,2016.</w:t>
            </w:r>
          </w:p>
          <w:p w14:paraId="6A4EFFF3">
            <w:pPr>
              <w:pStyle w:val="14"/>
            </w:pPr>
            <w:r>
              <w:rPr>
                <w:lang w:val="zh-CN"/>
              </w:rPr>
              <w:t>[11]Rakotonirainy A ,Steinhardt D .In-vehicle technology functional requirements for older drivers[C]//Queensland University of Technology, Australia;;Queensland University of Technology, Australia,2009.</w:t>
            </w:r>
          </w:p>
        </w:tc>
      </w:tr>
      <w:tr w14:paraId="06437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3" w:hRule="atLeast"/>
          <w:jc w:val="center"/>
        </w:trPr>
        <w:tc>
          <w:tcPr>
            <w:tcW w:w="9658" w:type="dxa"/>
            <w:gridSpan w:val="2"/>
          </w:tcPr>
          <w:p w14:paraId="00836101">
            <w:pPr>
              <w:rPr>
                <w:rFonts w:hint="eastAsia" w:ascii="仿宋" w:hAnsi="仿宋" w:eastAsia="仿宋"/>
                <w:b/>
                <w:sz w:val="28"/>
                <w:szCs w:val="28"/>
              </w:rPr>
            </w:pPr>
            <w:r>
              <w:rPr>
                <w:rFonts w:hint="eastAsia" w:ascii="宋体" w:hAnsi="宋体" w:eastAsia="宋体" w:cs="宋体"/>
                <w:b/>
                <w:sz w:val="24"/>
                <w:szCs w:val="24"/>
              </w:rPr>
              <w:t>二、研究内容（具体研究/设计内容，重点解决的问题，预期结果）：</w:t>
            </w:r>
          </w:p>
          <w:p w14:paraId="462BCEB7">
            <w:pPr>
              <w:pStyle w:val="14"/>
            </w:pPr>
            <w:r>
              <w:rPr>
                <w:lang w:val="en-US"/>
              </w:rPr>
              <w:t>本课题的主要研究内容;</w:t>
            </w:r>
          </w:p>
          <w:p w14:paraId="1F9B78C0">
            <w:pPr>
              <w:pStyle w:val="14"/>
            </w:pPr>
            <w:r>
              <w:rPr>
                <w:lang w:val="en-US"/>
              </w:rPr>
              <w:t>（1）用户研究：充分考虑老年用户的感官退化、认知和操作能力下降等特点实现精准适配、情感关怀、生态协同等设计目标；</w:t>
            </w:r>
          </w:p>
          <w:p w14:paraId="6DE08366">
            <w:pPr>
              <w:pStyle w:val="14"/>
            </w:pPr>
            <w:r>
              <w:rPr>
                <w:lang w:val="en-US"/>
              </w:rPr>
              <w:t>（2）多场景需求分析：汽车HMI适老化界面设计并非仅应用在老年用户，我们的研究从不同用户的个性需求出发，能从多角色、多场景下都可以使用户驾驶体验得到满足；</w:t>
            </w:r>
          </w:p>
          <w:p w14:paraId="78E109B8">
            <w:pPr>
              <w:pStyle w:val="14"/>
            </w:pPr>
            <w:r>
              <w:rPr>
                <w:lang w:val="en-US"/>
              </w:rPr>
              <w:t>（3）视觉要素设计：探索和设计出更符合用户群体的字体、颜色以及图标要素等，方便用户去使用产品；</w:t>
            </w:r>
          </w:p>
          <w:p w14:paraId="648EC5D3">
            <w:pPr>
              <w:pStyle w:val="14"/>
            </w:pPr>
            <w:r>
              <w:rPr>
                <w:lang w:val="en-US"/>
              </w:rPr>
              <w:t>（4）布局和交互方式: 遵循简洁明了的原则，减少界面上的信息干扰，功能模块划分要清晰，防止用户出现混乱的现象，以及完善视觉、触觉、听觉等交互方式；</w:t>
            </w:r>
          </w:p>
          <w:p w14:paraId="36D5A128">
            <w:pPr>
              <w:pStyle w:val="14"/>
            </w:pPr>
            <w:r>
              <w:rPr>
                <w:lang w:val="en-US"/>
              </w:rPr>
              <w:t>需重点解决问题：</w:t>
            </w:r>
          </w:p>
          <w:p w14:paraId="2917445C">
            <w:pPr>
              <w:pStyle w:val="14"/>
            </w:pPr>
            <w:r>
              <w:rPr>
                <w:lang w:val="en-US"/>
              </w:rPr>
              <w:t>首先，在设计汽车HMI适老化界面时，我们要充分考虑老年用户的感官退化、认知和操作能力下降等特点，从视觉、听觉、触觉等感官维度以及布局、交互和情感等设计层面进行适老化设计；还要使用专业的设计术语和方法，确保设计方案的科学性和合理性；也要注重细节，如字体样式、颜色对比度、图标设计、反馈机制等，每一个细节都要以老年用户的需求为出发点;此外，基于多感官代偿设计理念，针对单一感官退化用户，建立视觉 - 听觉 - 触觉 - 嗅觉的跨通道信息补偿机制（如视力障碍者通过震动导航，听力障碍者通过视觉闪烁预警）；最后要以健康安全一体化，考虑将驾驶员生理数据与车辆控制系统深度融合，实现 "人 - 车 - 环境" 的主动安全防护，例如根据疲劳度自动限制车速、针对血压异常触发应急停车程序等。</w:t>
            </w:r>
          </w:p>
          <w:p w14:paraId="7B32A9D8">
            <w:pPr>
              <w:pStyle w:val="14"/>
            </w:pPr>
            <w:r>
              <w:rPr>
                <w:lang w:val="en-US"/>
              </w:rPr>
              <w:t>此外，我们还要设计出符合老年用户使用习惯和需求的汽车 HMI 界面，提升老年驾驶员驾驶汽车时的体验，让他们能轻松、安全、舒适地使用汽车的各项功能；最大限度地减少老年用户在使用过程中的操作失误和困惑，提高界面的易用性和可操作性；还要通过温馨、亲切的界面设计，缓解老年用户对科技产品的陌生感和畏惧感，让他们感受到产品的关怀和尊重。</w:t>
            </w:r>
          </w:p>
          <w:p w14:paraId="2AA5168A">
            <w:pPr>
              <w:pStyle w:val="14"/>
            </w:pPr>
            <w:r>
              <w:rPr>
                <w:lang w:val="en-US"/>
              </w:rPr>
              <w:t>预期结果：</w:t>
            </w:r>
          </w:p>
          <w:p w14:paraId="381330EC">
            <w:pPr>
              <w:pStyle w:val="14"/>
            </w:pPr>
            <w:r>
              <w:rPr>
                <w:lang w:val="en-US"/>
              </w:rPr>
              <w:t>首先，深入剖析目标用户的需求，再根据其生理、心理特征提出一套适应汽车HMI适老化界面的设计思路，依据该思路将目标用户对汽车的普通体验提升为适合其驾驶的用车体验，让他们能轻松、安全、舒适地使用汽车各项功能，其次还要以科学的、严谨的设计手法，把界面布局、视觉要素、交互方式更合理化，更大程度地提升用户的体验感、舒适度、便捷度以及满意度，为用户提供符合自身的个性化体验。</w:t>
            </w:r>
          </w:p>
        </w:tc>
      </w:tr>
      <w:tr w14:paraId="15098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0" w:hRule="atLeast"/>
          <w:jc w:val="center"/>
        </w:trPr>
        <w:tc>
          <w:tcPr>
            <w:tcW w:w="9658" w:type="dxa"/>
            <w:gridSpan w:val="2"/>
          </w:tcPr>
          <w:p w14:paraId="23656E6E">
            <w:pPr>
              <w:pStyle w:val="4"/>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三、研究/设计方案（包括不少于三个研究/设计方法、技术路线，理论分析、计算、实验方法和步骤及其可行性，可能出现的技术问题及解决办法）：</w:t>
            </w:r>
          </w:p>
          <w:p w14:paraId="4E50A8E1">
            <w:pPr>
              <w:pStyle w:val="14"/>
            </w:pPr>
            <w:r>
              <w:rPr>
                <w:lang w:val="en-US"/>
              </w:rPr>
              <w:t>第一阶段：对用户需求与特点分析</w:t>
            </w:r>
          </w:p>
          <w:p w14:paraId="4BE136F0">
            <w:pPr>
              <w:pStyle w:val="14"/>
            </w:pPr>
            <w:r>
              <w:rPr>
                <w:lang w:val="en-US"/>
              </w:rPr>
              <w:t>对现有案例调研：对现有的汽车HMI适老化界面设计的汽车产品进行实地调查，并整理分析调查结果；</w:t>
            </w:r>
          </w:p>
          <w:p w14:paraId="51AAE8D9">
            <w:pPr>
              <w:pStyle w:val="14"/>
            </w:pPr>
            <w:r>
              <w:rPr>
                <w:lang w:val="en-US"/>
              </w:rPr>
              <w:t>对老年用户进行访谈：对访谈结果进行分析整理，根据结果研究汽车HMI适老化界面如何更好地服务目标用户，提升其体验感，以及思考能对汽车HMI适老化设计产生的影响；</w:t>
            </w:r>
          </w:p>
          <w:p w14:paraId="3CB48710">
            <w:pPr>
              <w:pStyle w:val="14"/>
            </w:pPr>
            <w:r>
              <w:rPr>
                <w:lang w:val="en-US"/>
              </w:rPr>
              <w:t>分析用户的生理、心理特征：由于目标用户是老年群体，那么可能会出现感官退化、认知和操作能力下降以及他们的情感和心理需求也要重点关注，设计出一套能使用户安全的、便捷的方案；</w:t>
            </w:r>
          </w:p>
          <w:p w14:paraId="0C3F1485">
            <w:pPr>
              <w:pStyle w:val="14"/>
            </w:pPr>
            <w:r>
              <w:rPr>
                <w:lang w:val="en-US"/>
              </w:rPr>
              <w:t>理论分析：我将结合市场趋势，分析用户需求，来设计汽车HMI适老化界面，同时结合目标用户的生理、心理特征以及他们的情感需求，探索出适老化与智能化如何更好地结合起来，此外，我会通过文献研究法、调查研究法、信息研究法等支持我的理论基础，以论证本课题汽车HMI适老化界面设计方案的可行性。</w:t>
            </w:r>
          </w:p>
          <w:p w14:paraId="483C3898">
            <w:pPr>
              <w:pStyle w:val="14"/>
            </w:pPr>
            <w:r>
              <w:rPr>
                <w:lang w:val="en-US"/>
              </w:rPr>
              <w:t>第二阶段：分析市场趋势与发展</w:t>
            </w:r>
          </w:p>
          <w:p w14:paraId="15CB15FF">
            <w:pPr>
              <w:pStyle w:val="14"/>
            </w:pPr>
            <w:r>
              <w:rPr>
                <w:lang w:val="en-US"/>
              </w:rPr>
              <w:t>实地考察：对现有汽车HMI适老化界面的品牌进行实地考察，并整理分析调查结果，为本课题收集有用信息；</w:t>
            </w:r>
          </w:p>
          <w:p w14:paraId="56A19986">
            <w:pPr>
              <w:pStyle w:val="14"/>
            </w:pPr>
            <w:r>
              <w:rPr>
                <w:lang w:val="en-US"/>
              </w:rPr>
              <w:t>市场趋势分析：根据实地考察的结果，以及相关研究结论，来得到当前汽车HMI适老化界面的趋势发展；</w:t>
            </w:r>
          </w:p>
          <w:p w14:paraId="154AFFE4">
            <w:pPr>
              <w:pStyle w:val="14"/>
            </w:pPr>
            <w:r>
              <w:rPr>
                <w:lang w:val="en-US"/>
              </w:rPr>
              <w:t>理论分析：我将评估现有汽车品牌在HMI适老化界面设计的适用性，结合未来发展趋势，探索更具安全性、创新性与便捷性的设计方案，这些方案能够提升用户的体验度、舒适度以及满意度。不同品牌的适老化设计侧重不同（如有的侧重语音交互，有的侧重物理按键保留），若评估时仅关注 “功能有无”（如是否有大字体），而忽略 “场景有效性”（如强光下大字体是否清晰、紧急场景下操作路径是否最短），可能误判设计价值，导致借鉴方向偏离核心需求；因此需要我们客观对比现有设计，获取有效信息。</w:t>
            </w:r>
          </w:p>
          <w:p w14:paraId="3B101920">
            <w:pPr>
              <w:pStyle w:val="14"/>
            </w:pPr>
            <w:r>
              <w:rPr>
                <w:lang w:val="en-US"/>
              </w:rPr>
              <w:t>第三阶段：概念设计与落实</w:t>
            </w:r>
          </w:p>
          <w:p w14:paraId="3938B022">
            <w:pPr>
              <w:pStyle w:val="14"/>
            </w:pPr>
            <w:r>
              <w:rPr>
                <w:lang w:val="en-US"/>
              </w:rPr>
              <w:t>界面布局设计：避免使用复杂的逻辑和多层级菜单，让老年用户能快速找到所需的功能，在遵循设计原则的基础上，对界面布局进行创新设计；</w:t>
            </w:r>
          </w:p>
          <w:p w14:paraId="7BADB212">
            <w:pPr>
              <w:pStyle w:val="14"/>
            </w:pPr>
            <w:r>
              <w:rPr>
                <w:lang w:val="en-US"/>
              </w:rPr>
              <w:t>视觉要素设计：字体选择易读的无衬线字体，颜色采用高对比度搭配以易于区分，图标采用象形设计；</w:t>
            </w:r>
          </w:p>
          <w:p w14:paraId="1CE434E1">
            <w:pPr>
              <w:pStyle w:val="14"/>
            </w:pPr>
            <w:r>
              <w:rPr>
                <w:lang w:val="en-US"/>
              </w:rPr>
              <w:t>理论分析：在汽车 HMI适老化界面 设计中，我会从多学科理论中汲取灵感，构建既符合用户行为逻辑又兼具品牌辨识度的解决方案，以认知心理学和感知理论为基础，优化界面布局的直观性 ，通过分析用户的信息处理习惯与感官接收规律，确保操作流程自然流畅，同时兼容不同尺寸屏幕和交互设备的适配需求。</w:t>
            </w:r>
          </w:p>
          <w:p w14:paraId="243EB184">
            <w:pPr>
              <w:pStyle w:val="14"/>
            </w:pPr>
            <w:r>
              <w:rPr>
                <w:lang w:val="en-US"/>
              </w:rPr>
              <w:t xml:space="preserve">可能出现的问题以及解决方法： </w:t>
            </w:r>
          </w:p>
          <w:p w14:paraId="3940618F">
            <w:pPr>
              <w:pStyle w:val="14"/>
            </w:pPr>
            <w:r>
              <w:rPr>
                <w:lang w:val="en-US"/>
              </w:rPr>
              <w:t>1.由于目标用户是老年群体，那么会存在对智能化产品接受度不高甚至抗拒的问题，此外还会出现汽车HMI适老化界面不能满足多样化用户的需求，以及技术创新不足的问题，为防止这些问题风险，我会通过问卷调查、文献分析、市场分析找准问题根源，进而提高用户接受度，针对用户的多样化需求，采用多模式设计方法以适应不同用户，确保设计方案的可行性。</w:t>
            </w:r>
          </w:p>
          <w:p w14:paraId="53943FEC">
            <w:pPr>
              <w:pStyle w:val="14"/>
            </w:pPr>
            <w:r>
              <w:rPr>
                <w:lang w:val="en-US"/>
              </w:rPr>
              <w:t>2.不同品牌的适老化设计侧重不同（如有的侧重语音交互，有的侧重物理按键保留），若评估时仅关注 “是否有大字体”是“功能有无”的直接体现，而忽略 “场景有效性”（如强光下大字体是否仍清晰可读、紧急场景下操作路径是否最短），可能误判设计价值，导致借鉴方向偏离核心需求；因此在评估时需要我们客观对比现有设计，获取有效信息。</w:t>
            </w:r>
          </w:p>
          <w:p w14:paraId="0A3C2756">
            <w:pPr>
              <w:pStyle w:val="14"/>
            </w:pPr>
            <w:r>
              <w:rPr>
                <w:lang w:val="en-US"/>
              </w:rPr>
              <w:t>3.设计方案因过度追求新颖而变得复杂，偏离用户长期形成的操作习惯，进而削弱使用体验，此外视觉元素设计若缺乏系统性规划，可能出现信息层级混乱、核心内容传递模糊等问题。为有效规避这些风险，设计时要紧扣目标用户的需求，不能因追求视觉效果而忽视使用体验，确保操作逻辑贴合用户需求；同时对视觉元素进行迭代调整，强化色彩对比、明确信息优先级，最终实现既具创新性又对用户友好的设计方案。</w:t>
            </w:r>
          </w:p>
          <w:p w14:paraId="58E13464">
            <w:pPr>
              <w:pStyle w:val="14"/>
            </w:pPr>
            <w:r>
              <w:rPr>
                <w:lang w:val="en-US"/>
              </w:rPr>
              <w:t>技术路线：</w:t>
            </w:r>
          </w:p>
          <w:p w14:paraId="1BBDB9F5">
            <w:pPr>
              <w:pStyle w:val="14"/>
              <w:spacing w:line="240" w:lineRule="auto"/>
            </w:pPr>
            <w:r>
              <w:drawing>
                <wp:inline distT="0" distB="0" distL="0" distR="0">
                  <wp:extent cx="6134100" cy="81153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6134100" cy="8115300"/>
                          </a:xfrm>
                          <a:prstGeom prst="rect">
                            <a:avLst/>
                          </a:prstGeom>
                        </pic:spPr>
                      </pic:pic>
                    </a:graphicData>
                  </a:graphic>
                </wp:inline>
              </w:drawing>
            </w:r>
          </w:p>
        </w:tc>
      </w:tr>
      <w:tr w14:paraId="240AB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6" w:hRule="atLeast"/>
          <w:jc w:val="center"/>
        </w:trPr>
        <w:tc>
          <w:tcPr>
            <w:tcW w:w="9658" w:type="dxa"/>
            <w:gridSpan w:val="2"/>
          </w:tcPr>
          <w:p w14:paraId="51CCA3C1">
            <w:pPr>
              <w:rPr>
                <w:rFonts w:hint="eastAsia" w:ascii="宋体" w:hAnsi="宋体" w:eastAsia="宋体" w:cs="宋体"/>
                <w:b/>
                <w:kern w:val="2"/>
                <w:sz w:val="24"/>
                <w:szCs w:val="24"/>
                <w:lang w:val="en-US" w:eastAsia="zh-CN" w:bidi="ar-SA"/>
              </w:rPr>
            </w:pPr>
            <w:r>
              <w:rPr>
                <w:rFonts w:hint="eastAsia" w:ascii="宋体" w:hAnsi="宋体" w:eastAsia="宋体" w:cs="宋体"/>
                <w:b/>
                <w:kern w:val="2"/>
                <w:sz w:val="24"/>
                <w:szCs w:val="24"/>
                <w:lang w:val="en-US" w:eastAsia="zh-CN" w:bidi="ar-SA"/>
              </w:rPr>
              <w:t>四、</w:t>
            </w:r>
            <w:r>
              <w:rPr>
                <w:rFonts w:hint="eastAsia" w:ascii="宋体" w:hAnsi="宋体" w:eastAsia="宋体" w:cs="宋体"/>
                <w:b/>
                <w:sz w:val="24"/>
                <w:szCs w:val="24"/>
                <w:lang w:val="en-US" w:eastAsia="zh-CN"/>
              </w:rPr>
              <w:t>研究计划与进度安排</w:t>
            </w:r>
            <w:r>
              <w:rPr>
                <w:rFonts w:hint="eastAsia" w:ascii="宋体" w:hAnsi="宋体" w:eastAsia="宋体" w:cs="宋体"/>
                <w:b/>
                <w:sz w:val="24"/>
                <w:szCs w:val="24"/>
              </w:rPr>
              <w:t>：</w:t>
            </w:r>
          </w:p>
          <w:p w14:paraId="6C2B1932">
            <w:pPr>
              <w:pStyle w:val="14"/>
            </w:pPr>
            <w:r>
              <w:rPr>
                <w:lang w:val="en-US"/>
              </w:rPr>
              <w:t>2025年8月30日，下达任务书；</w:t>
            </w:r>
          </w:p>
          <w:p w14:paraId="47B235CB">
            <w:pPr>
              <w:pStyle w:val="14"/>
            </w:pPr>
            <w:r>
              <w:rPr>
                <w:lang w:val="en-US"/>
              </w:rPr>
              <w:t>2025年8月30日至2025年9月13日，撰写开题报告，与导师沟通并完善开题报告，以及预期设计方案意向图；</w:t>
            </w:r>
          </w:p>
          <w:p w14:paraId="4C8E2C93">
            <w:pPr>
              <w:pStyle w:val="14"/>
            </w:pPr>
            <w:r>
              <w:rPr>
                <w:lang w:val="en-US"/>
              </w:rPr>
              <w:t>2025年9月14日，开题答辩；</w:t>
            </w:r>
          </w:p>
          <w:p w14:paraId="0E319D44">
            <w:pPr>
              <w:pStyle w:val="14"/>
            </w:pPr>
            <w:r>
              <w:rPr>
                <w:lang w:val="en-US"/>
              </w:rPr>
              <w:t>2025年9月15日至2025年11月中旬，撰写论文前设计相关作品，期间保持与导师沟通；</w:t>
            </w:r>
          </w:p>
          <w:p w14:paraId="011B24E2">
            <w:pPr>
              <w:pStyle w:val="14"/>
            </w:pPr>
            <w:r>
              <w:rPr>
                <w:lang w:val="en-US"/>
              </w:rPr>
              <w:t>2025年11 月中旬，中期答辩，按要求设计作品完成50%，论文完成两个章节；</w:t>
            </w:r>
          </w:p>
          <w:p w14:paraId="60381205">
            <w:pPr>
              <w:pStyle w:val="14"/>
            </w:pPr>
            <w:r>
              <w:rPr>
                <w:lang w:val="en-US"/>
              </w:rPr>
              <w:t>2025年11 月中旬至12月底，继续撰写论文和设计作品，形成论文初稿，期间保持与导师沟通；</w:t>
            </w:r>
          </w:p>
          <w:p w14:paraId="12780DA5">
            <w:pPr>
              <w:pStyle w:val="14"/>
            </w:pPr>
            <w:r>
              <w:rPr>
                <w:lang w:val="en-US"/>
              </w:rPr>
              <w:t>2025年12月底，完成论文定稿，提交论文定稿查重，基本完成作品电子稿；</w:t>
            </w:r>
          </w:p>
          <w:p w14:paraId="77504E2D">
            <w:pPr>
              <w:pStyle w:val="14"/>
            </w:pPr>
            <w:r>
              <w:rPr>
                <w:lang w:val="en-US"/>
              </w:rPr>
              <w:t>2026年1月初至4月初，修订论文，并优化完成设计作品及衍生周边打印制作；</w:t>
            </w:r>
          </w:p>
          <w:p w14:paraId="28B9F219">
            <w:pPr>
              <w:pStyle w:val="14"/>
            </w:pPr>
            <w:r>
              <w:rPr>
                <w:lang w:val="en-US"/>
              </w:rPr>
              <w:t>2026年4月中旬至4月下旬，提交论文终稿，参加毕业答辩。</w:t>
            </w:r>
          </w:p>
        </w:tc>
      </w:tr>
      <w:tr w14:paraId="088D4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1" w:hRule="atLeast"/>
          <w:jc w:val="center"/>
        </w:trPr>
        <w:tc>
          <w:tcPr>
            <w:tcW w:w="9658" w:type="dxa"/>
            <w:gridSpan w:val="2"/>
          </w:tcPr>
          <w:p w14:paraId="338E0E3B">
            <w:pPr>
              <w:spacing w:line="500" w:lineRule="exact"/>
              <w:rPr>
                <w:rFonts w:hint="eastAsia" w:ascii="宋体" w:hAnsi="宋体" w:eastAsia="宋体" w:cs="宋体"/>
                <w:b/>
                <w:sz w:val="24"/>
                <w:szCs w:val="24"/>
              </w:rPr>
            </w:pPr>
            <w:r>
              <w:rPr>
                <w:rFonts w:hint="eastAsia" w:ascii="宋体" w:hAnsi="宋体" w:eastAsia="宋体" w:cs="宋体"/>
                <w:b/>
                <w:sz w:val="24"/>
                <w:szCs w:val="24"/>
                <w:lang w:val="en-US" w:eastAsia="zh-CN"/>
              </w:rPr>
              <w:t>五、预期达到的效果与</w:t>
            </w:r>
            <w:r>
              <w:rPr>
                <w:rFonts w:hint="eastAsia" w:ascii="宋体" w:hAnsi="宋体" w:eastAsia="宋体" w:cs="宋体"/>
                <w:b/>
                <w:sz w:val="24"/>
                <w:szCs w:val="24"/>
              </w:rPr>
              <w:t>存在的主要困难：</w:t>
            </w:r>
          </w:p>
          <w:p w14:paraId="351BF0AA">
            <w:pPr>
              <w:pStyle w:val="14"/>
            </w:pPr>
            <w:r>
              <w:rPr>
                <w:lang w:val="en-US"/>
              </w:rPr>
              <w:t>预期达到效果:</w:t>
            </w:r>
          </w:p>
          <w:p w14:paraId="2AEDED96">
            <w:pPr>
              <w:pStyle w:val="14"/>
            </w:pPr>
            <w:r>
              <w:rPr>
                <w:lang w:val="en-US"/>
              </w:rPr>
              <w:t>（1）优化的汽车HMI适老化界面设计方法：预期将针对用户的需求和特征提出一套汽车HMI适老化界面设计方法，为未来汽车HMI适老化界面设计提供理论支持和参考；</w:t>
            </w:r>
          </w:p>
          <w:p w14:paraId="42C04E8A">
            <w:pPr>
              <w:pStyle w:val="14"/>
            </w:pPr>
            <w:r>
              <w:rPr>
                <w:lang w:val="en-US"/>
              </w:rPr>
              <w:t>（2）提高用户体验的舒适度：通过深入剖析目标用户的需求和行为，针对用户感官退化、认知和操作能力下降等特点构建合理方案；例如，界面设计采用高对比度配色方案，文字与图标采用加粗设计，同时保留字体缩放功能，以提高用户的体验感、舒适度、便捷度以及满意度；</w:t>
            </w:r>
          </w:p>
          <w:p w14:paraId="57DE0DC4">
            <w:pPr>
              <w:pStyle w:val="14"/>
            </w:pPr>
            <w:r>
              <w:rPr>
                <w:lang w:val="en-US"/>
              </w:rPr>
              <w:t>（3）增强用户的驾驶的安全度：预期通过界面布局、交互设计等优化，以简洁明了的界面，简化用户的操作步骤，减少分心，比如，常用功能（调节空调温度）支持一键触发，能通过方向盘实体按键或语音指令直接控制，替代传统的多层级操作，在驾驶状态时界面自动切换到“极简模式”，避免用户注意力分散，提升驾驶时的安全性。</w:t>
            </w:r>
          </w:p>
          <w:p w14:paraId="38D6A735">
            <w:pPr>
              <w:pStyle w:val="14"/>
            </w:pPr>
            <w:r>
              <w:rPr>
                <w:lang w:val="en-US"/>
              </w:rPr>
              <w:t>主要困难：</w:t>
            </w:r>
          </w:p>
          <w:p w14:paraId="3428C7C1">
            <w:pPr>
              <w:pStyle w:val="14"/>
            </w:pPr>
            <w:r>
              <w:rPr>
                <w:lang w:val="en-US"/>
              </w:rPr>
              <w:t>（1）用户接受度:由于目标用户有存在感官退化、认知和操作能力下降的老年用户，所以他们对新事物的接受度并不高；</w:t>
            </w:r>
          </w:p>
          <w:p w14:paraId="7D22F219">
            <w:pPr>
              <w:pStyle w:val="14"/>
            </w:pPr>
            <w:r>
              <w:rPr>
                <w:lang w:val="en-US"/>
              </w:rPr>
              <w:t>(2)数据深度挖掘受限：由于驾驶场景具有特殊性，所以我们在获得用户数据时的操作行为和心理状态难以精准捕捉，仅能通过问卷调查和简单的访谈，难以深入了解；</w:t>
            </w:r>
          </w:p>
          <w:p w14:paraId="3CD3C571">
            <w:pPr>
              <w:pStyle w:val="14"/>
            </w:pPr>
            <w:r>
              <w:rPr>
                <w:lang w:val="en-US"/>
              </w:rPr>
              <w:t>（3）资源和时间限制;在设计和研究中可能会受到资金、技术以及时间的限制。</w:t>
            </w:r>
          </w:p>
        </w:tc>
      </w:tr>
      <w:tr w14:paraId="75B1B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658" w:type="dxa"/>
            <w:gridSpan w:val="2"/>
          </w:tcPr>
          <w:p w14:paraId="6BBC5BB1">
            <w:pPr>
              <w:spacing w:line="500" w:lineRule="exact"/>
              <w:rPr>
                <w:rFonts w:hint="eastAsia" w:ascii="宋体" w:hAnsi="宋体" w:eastAsia="宋体" w:cs="宋体"/>
                <w:b/>
                <w:sz w:val="24"/>
                <w:szCs w:val="24"/>
              </w:rPr>
            </w:pPr>
            <w:r>
              <w:rPr>
                <w:rFonts w:hint="eastAsia" w:ascii="宋体" w:hAnsi="宋体" w:eastAsia="宋体" w:cs="宋体"/>
                <w:b/>
                <w:sz w:val="24"/>
                <w:szCs w:val="24"/>
              </w:rPr>
              <w:t>指导教师意见（</w:t>
            </w:r>
            <w:r>
              <w:rPr>
                <w:rFonts w:hint="eastAsia" w:ascii="宋体" w:hAnsi="宋体" w:eastAsia="宋体" w:cs="宋体"/>
                <w:b/>
                <w:sz w:val="24"/>
                <w:szCs w:val="24"/>
                <w:lang w:val="en-US" w:eastAsia="zh-CN"/>
              </w:rPr>
              <w:t>教师可根据</w:t>
            </w:r>
            <w:r>
              <w:rPr>
                <w:rFonts w:hint="eastAsia" w:ascii="宋体" w:hAnsi="宋体" w:eastAsia="宋体" w:cs="宋体"/>
                <w:b/>
                <w:sz w:val="24"/>
                <w:szCs w:val="24"/>
              </w:rPr>
              <w:t>研究的理论意义和应用价值、创新之处、研究方法可行性等</w:t>
            </w:r>
            <w:r>
              <w:rPr>
                <w:rFonts w:hint="eastAsia" w:ascii="宋体" w:hAnsi="宋体" w:eastAsia="宋体" w:cs="宋体"/>
                <w:b/>
                <w:sz w:val="24"/>
                <w:szCs w:val="24"/>
                <w:lang w:eastAsia="zh-CN"/>
              </w:rPr>
              <w:t>，</w:t>
            </w:r>
            <w:r>
              <w:rPr>
                <w:rFonts w:hint="eastAsia" w:ascii="宋体" w:hAnsi="宋体" w:eastAsia="宋体" w:cs="宋体"/>
                <w:b/>
                <w:sz w:val="24"/>
                <w:szCs w:val="24"/>
                <w:lang w:val="en-US" w:eastAsia="zh-CN"/>
              </w:rPr>
              <w:t>提出不少于两方面的指导意见</w:t>
            </w:r>
            <w:r>
              <w:rPr>
                <w:rFonts w:hint="eastAsia" w:ascii="宋体" w:hAnsi="宋体" w:eastAsia="宋体" w:cs="宋体"/>
                <w:b/>
                <w:sz w:val="24"/>
                <w:szCs w:val="24"/>
              </w:rPr>
              <w:t>）：</w:t>
            </w:r>
          </w:p>
          <w:p w14:paraId="1F7DA4DC">
            <w:pPr>
              <w:spacing w:line="50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该选题聚焦老年驾驶员汽车HMI界面视觉要素适老化设计，紧密结合延迟退休政策与老年友好型社会建设需求，针对老年群体感官退化、认知能力下降等痛点，从视觉、交互、场景适配多维度展开研究，兼具理论填补性与实践实用性，符合艺术设计学“用户为中心”的专业导向。研究方法上，用户访谈、实地考察、竞品分析等手段运用合理，且结合认知负荷理论、多感官代偿理念，确保设计科学性。建议后续在用户调研中，增加对不同健康状况老年群体（如视力障碍、听力障碍）的细分调研，提升设计针对性；同时在视觉要素设计环节，可结合老年群体色彩感知特点（如对高饱和色敏感度变化），补充色彩对比度测试方案，并细化字体字号在不同光照场景下的适配标准，进一步增强界面易用性与安全性。</w:t>
            </w:r>
            <w:r>
              <w:commentReference w:id="1"/>
            </w:r>
          </w:p>
          <w:p w14:paraId="2259AB63">
            <w:pPr>
              <w:spacing w:line="500" w:lineRule="exact"/>
              <w:rPr>
                <w:rFonts w:hint="eastAsia" w:ascii="仿宋" w:hAnsi="仿宋" w:eastAsia="仿宋"/>
                <w:sz w:val="28"/>
                <w:szCs w:val="28"/>
              </w:rPr>
            </w:pPr>
          </w:p>
          <w:p w14:paraId="3DB859B2">
            <w:pPr>
              <w:spacing w:line="500" w:lineRule="exact"/>
              <w:jc w:val="right"/>
              <w:rPr>
                <w:rFonts w:hint="eastAsia" w:ascii="宋体" w:hAnsi="宋体" w:eastAsia="宋体" w:cs="宋体"/>
                <w:sz w:val="24"/>
                <w:szCs w:val="24"/>
                <w:lang w:val="en-US" w:eastAsia="zh-CN"/>
              </w:rPr>
            </w:pPr>
            <w:r>
              <w:rPr>
                <w:rFonts w:hint="eastAsia" w:ascii="仿宋" w:hAnsi="仿宋" w:eastAsia="仿宋"/>
                <w:sz w:val="28"/>
                <w:szCs w:val="28"/>
              </w:rPr>
              <w:t xml:space="preserve"> </w:t>
            </w:r>
            <w:r>
              <w:rPr>
                <w:rFonts w:hint="eastAsia" w:ascii="宋体" w:hAnsi="宋体" w:eastAsia="宋体" w:cs="宋体"/>
                <w:sz w:val="24"/>
                <w:szCs w:val="24"/>
              </w:rPr>
              <w:t>指导教师签名：</w:t>
            </w:r>
            <w:r>
              <w:drawing>
                <wp:inline distT="0" distB="0" distL="0" distR="0">
                  <wp:extent cx="762000" cy="2540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762000" cy="254000"/>
                          </a:xfrm>
                          <a:prstGeom prst="rect">
                            <a:avLst/>
                          </a:prstGeom>
                        </pic:spPr>
                      </pic:pic>
                    </a:graphicData>
                  </a:graphic>
                </wp:inline>
              </w:drawing>
            </w:r>
          </w:p>
          <w:p w14:paraId="682A9547">
            <w:pPr>
              <w:spacing w:line="500" w:lineRule="exact"/>
              <w:jc w:val="right"/>
              <w:rPr>
                <w:rFonts w:hint="default" w:ascii="宋体" w:hAnsi="宋体" w:eastAsia="宋体" w:cs="宋体"/>
                <w:sz w:val="24"/>
                <w:szCs w:val="24"/>
              </w:rPr>
            </w:pPr>
            <w:r>
              <w:rPr>
                <w:rFonts w:hint="eastAsia" w:ascii="宋体" w:hAnsi="宋体" w:eastAsia="宋体" w:cs="宋体"/>
                <w:sz w:val="24"/>
                <w:szCs w:val="24"/>
              </w:rPr>
              <w:t>2025年</w:t>
            </w:r>
            <w:r>
              <w:rPr>
                <w:rFonts w:hint="eastAsia" w:ascii="宋体" w:hAnsi="宋体" w:cs="宋体"/>
                <w:sz w:val="24"/>
                <w:szCs w:val="24"/>
                <w:lang w:val="en-US" w:eastAsia="zh-CN"/>
              </w:rPr>
              <w:t>9</w:t>
            </w:r>
            <w:r>
              <w:rPr>
                <w:rFonts w:hint="eastAsia" w:ascii="宋体" w:hAnsi="宋体" w:eastAsia="宋体" w:cs="宋体"/>
                <w:sz w:val="24"/>
                <w:szCs w:val="24"/>
              </w:rPr>
              <w:t>月</w:t>
            </w:r>
            <w:r>
              <w:rPr>
                <w:rFonts w:hint="eastAsia" w:ascii="宋体" w:hAnsi="宋体" w:cs="宋体"/>
                <w:sz w:val="24"/>
                <w:szCs w:val="24"/>
                <w:lang w:val="en-US" w:eastAsia="zh-CN"/>
              </w:rPr>
              <w:t>20</w:t>
            </w:r>
            <w:r>
              <w:rPr>
                <w:rFonts w:hint="eastAsia" w:ascii="宋体" w:hAnsi="宋体" w:eastAsia="宋体" w:cs="宋体"/>
                <w:sz w:val="24"/>
                <w:szCs w:val="24"/>
              </w:rPr>
              <w:t>日</w:t>
            </w:r>
          </w:p>
        </w:tc>
      </w:tr>
      <w:tr w14:paraId="4FF14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658" w:type="dxa"/>
            <w:gridSpan w:val="2"/>
            <w:vAlign w:val="top"/>
          </w:tcPr>
          <w:p w14:paraId="45E62351">
            <w:pPr>
              <w:spacing w:line="500" w:lineRule="exact"/>
              <w:jc w:val="left"/>
              <w:rPr>
                <w:rFonts w:hint="eastAsia" w:ascii="宋体" w:hAnsi="宋体" w:cs="宋体"/>
                <w:b/>
                <w:bCs/>
                <w:sz w:val="24"/>
                <w:szCs w:val="24"/>
                <w:lang w:val="en-US" w:eastAsia="zh-CN"/>
              </w:rPr>
            </w:pPr>
            <w:r>
              <w:rPr>
                <w:rFonts w:hint="eastAsia" w:ascii="宋体" w:hAnsi="宋体" w:cs="宋体"/>
                <w:b/>
                <w:bCs/>
                <w:sz w:val="24"/>
                <w:szCs w:val="24"/>
                <w:lang w:val="en-US" w:eastAsia="zh-CN"/>
              </w:rPr>
              <w:t>专业负责人意见：</w:t>
            </w:r>
          </w:p>
          <w:p w14:paraId="2E54E272">
            <w:pPr>
              <w:spacing w:line="500" w:lineRule="exact"/>
              <w:ind w:firstLine="480" w:firstLineChars="200"/>
              <w:jc w:val="left"/>
              <w:rPr>
                <w:rFonts w:hint="eastAsia" w:ascii="宋体" w:hAnsi="宋体" w:cs="宋体"/>
                <w:sz w:val="24"/>
                <w:szCs w:val="24"/>
                <w:lang w:val="en-US" w:eastAsia="zh-CN"/>
              </w:rPr>
            </w:pPr>
            <w:r>
              <w:rPr>
                <w:rFonts w:hint="eastAsia" w:ascii="宋体" w:hAnsi="宋体" w:cs="宋体"/>
                <w:sz w:val="24"/>
                <w:szCs w:val="24"/>
                <w:lang w:val="en-US" w:eastAsia="zh-CN"/>
              </w:rPr>
              <w:t>选题具有研究价值与意义，研究内容充实，方案设计合理，同意开题，请按计划执行后续研究。</w:t>
            </w:r>
          </w:p>
          <w:p w14:paraId="009E648F">
            <w:pPr>
              <w:spacing w:line="500" w:lineRule="exact"/>
              <w:jc w:val="left"/>
              <w:rPr>
                <w:rFonts w:hint="default" w:ascii="宋体" w:hAnsi="宋体" w:cs="宋体"/>
                <w:sz w:val="24"/>
                <w:szCs w:val="24"/>
                <w:lang w:val="en-US" w:eastAsia="zh-CN"/>
              </w:rPr>
            </w:pPr>
            <w:r>
              <w:rPr>
                <w:rFonts w:hint="eastAsia" w:ascii="宋体" w:hAnsi="宋体" w:cs="宋体"/>
                <w:sz w:val="24"/>
                <w:szCs w:val="24"/>
                <w:lang w:val="en-US" w:eastAsia="zh-CN"/>
              </w:rPr>
              <w:t xml:space="preserve">  </w:t>
            </w:r>
          </w:p>
          <w:p w14:paraId="2B959260">
            <w:pPr>
              <w:spacing w:line="500" w:lineRule="exact"/>
              <w:jc w:val="right"/>
              <w:rPr>
                <w:rFonts w:hint="eastAsia" w:ascii="宋体" w:hAnsi="宋体" w:eastAsia="宋体" w:cs="宋体"/>
                <w:sz w:val="24"/>
                <w:szCs w:val="24"/>
              </w:rPr>
            </w:pPr>
            <w:r>
              <w:rPr>
                <w:rFonts w:hint="eastAsia" w:ascii="宋体" w:hAnsi="宋体" w:cs="宋体"/>
                <w:sz w:val="24"/>
                <w:szCs w:val="24"/>
                <w:lang w:val="en-US" w:eastAsia="zh-CN"/>
              </w:rPr>
              <w:t>专业</w:t>
            </w:r>
            <w:r>
              <w:rPr>
                <w:rFonts w:hint="eastAsia" w:ascii="宋体" w:hAnsi="宋体" w:eastAsia="宋体" w:cs="宋体"/>
                <w:sz w:val="24"/>
                <w:szCs w:val="24"/>
              </w:rPr>
              <w:t>负责人</w:t>
            </w:r>
            <w:r>
              <w:rPr>
                <w:rFonts w:hint="eastAsia" w:ascii="宋体" w:hAnsi="宋体" w:cs="宋体"/>
                <w:sz w:val="24"/>
                <w:szCs w:val="24"/>
                <w:lang w:val="en-US" w:eastAsia="zh-CN"/>
              </w:rPr>
              <w:t>签名</w:t>
            </w:r>
            <w:r>
              <w:rPr>
                <w:rFonts w:hint="eastAsia" w:ascii="宋体" w:hAnsi="宋体" w:eastAsia="宋体" w:cs="宋体"/>
                <w:sz w:val="24"/>
                <w:szCs w:val="24"/>
              </w:rPr>
              <w:t>:</w:t>
            </w:r>
            <w:r>
              <w:drawing>
                <wp:inline distT="0" distB="0" distL="0" distR="0">
                  <wp:extent cx="762000" cy="2540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1"/>
                          <a:stretch>
                            <a:fillRect/>
                          </a:stretch>
                        </pic:blipFill>
                        <pic:spPr>
                          <a:xfrm>
                            <a:off x="0" y="0"/>
                            <a:ext cx="762000" cy="254000"/>
                          </a:xfrm>
                          <a:prstGeom prst="rect">
                            <a:avLst/>
                          </a:prstGeom>
                        </pic:spPr>
                      </pic:pic>
                    </a:graphicData>
                  </a:graphic>
                </wp:inline>
              </w:drawing>
            </w:r>
          </w:p>
          <w:p w14:paraId="78DEF196">
            <w:pPr>
              <w:spacing w:line="500" w:lineRule="exact"/>
              <w:jc w:val="right"/>
              <w:rPr>
                <w:rFonts w:hint="default" w:ascii="宋体" w:hAnsi="宋体" w:cs="宋体"/>
                <w:sz w:val="24"/>
                <w:szCs w:val="24"/>
                <w:lang w:val="en-US" w:eastAsia="zh-CN"/>
              </w:rPr>
            </w:pPr>
            <w:r>
              <w:rPr>
                <w:rFonts w:hint="eastAsia" w:ascii="宋体" w:hAnsi="宋体" w:eastAsia="宋体" w:cs="宋体"/>
                <w:sz w:val="24"/>
                <w:szCs w:val="24"/>
              </w:rPr>
              <w:t>2025年</w:t>
            </w:r>
            <w:r>
              <w:rPr>
                <w:rFonts w:hint="eastAsia" w:ascii="宋体" w:hAnsi="宋体" w:cs="宋体"/>
                <w:sz w:val="24"/>
                <w:szCs w:val="24"/>
                <w:lang w:val="en-US" w:eastAsia="zh-CN"/>
              </w:rPr>
              <w:t>9</w:t>
            </w:r>
            <w:r>
              <w:rPr>
                <w:rFonts w:hint="eastAsia" w:ascii="宋体" w:hAnsi="宋体" w:eastAsia="宋体" w:cs="宋体"/>
                <w:sz w:val="24"/>
                <w:szCs w:val="24"/>
              </w:rPr>
              <w:t>月</w:t>
            </w:r>
            <w:r>
              <w:rPr>
                <w:rFonts w:hint="eastAsia" w:ascii="宋体" w:hAnsi="宋体" w:cs="宋体"/>
                <w:sz w:val="24"/>
                <w:szCs w:val="24"/>
                <w:lang w:val="en-US" w:eastAsia="zh-CN"/>
              </w:rPr>
              <w:t>2</w:t>
            </w:r>
            <w:r>
              <w:rPr>
                <w:rFonts w:hint="eastAsia" w:ascii="宋体" w:hAnsi="宋体" w:eastAsia="宋体" w:cs="宋体"/>
                <w:sz w:val="24"/>
                <w:szCs w:val="24"/>
              </w:rPr>
              <w:t>1日</w:t>
            </w:r>
          </w:p>
        </w:tc>
      </w:tr>
      <w:tr w14:paraId="11082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9658" w:type="dxa"/>
            <w:gridSpan w:val="2"/>
          </w:tcPr>
          <w:p w14:paraId="0C0807B4">
            <w:pPr>
              <w:spacing w:line="500" w:lineRule="exact"/>
              <w:rPr>
                <w:rFonts w:hint="eastAsia" w:ascii="宋体" w:hAnsi="宋体" w:eastAsia="宋体" w:cs="宋体"/>
                <w:b/>
                <w:sz w:val="24"/>
                <w:szCs w:val="24"/>
              </w:rPr>
            </w:pPr>
            <w:r>
              <w:rPr>
                <w:rFonts w:hint="eastAsia" w:ascii="宋体" w:hAnsi="宋体" w:eastAsia="宋体" w:cs="宋体"/>
                <w:b/>
                <w:sz w:val="24"/>
                <w:szCs w:val="24"/>
              </w:rPr>
              <w:t>所在</w:t>
            </w:r>
            <w:r>
              <w:rPr>
                <w:rFonts w:hint="eastAsia" w:ascii="宋体" w:hAnsi="宋体" w:eastAsia="宋体" w:cs="宋体"/>
                <w:b/>
                <w:sz w:val="24"/>
                <w:szCs w:val="24"/>
                <w:lang w:val="en-US" w:eastAsia="zh-CN"/>
              </w:rPr>
              <w:t>院</w:t>
            </w:r>
            <w:r>
              <w:rPr>
                <w:rFonts w:hint="eastAsia" w:ascii="宋体" w:hAnsi="宋体" w:eastAsia="宋体" w:cs="宋体"/>
                <w:b/>
                <w:sz w:val="24"/>
                <w:szCs w:val="24"/>
              </w:rPr>
              <w:t>系意见:</w:t>
            </w:r>
          </w:p>
          <w:p w14:paraId="4BCB8196">
            <w:pPr>
              <w:spacing w:line="50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同意</w:t>
            </w:r>
          </w:p>
          <w:p w14:paraId="2B5B4373">
            <w:pPr>
              <w:spacing w:line="500" w:lineRule="exact"/>
              <w:rPr>
                <w:rFonts w:hint="eastAsia" w:ascii="宋体" w:hAnsi="宋体" w:eastAsia="宋体" w:cs="宋体"/>
                <w:sz w:val="24"/>
                <w:szCs w:val="24"/>
              </w:rPr>
            </w:pPr>
          </w:p>
          <w:p w14:paraId="57E6ADD9">
            <w:pPr>
              <w:spacing w:line="500" w:lineRule="exact"/>
              <w:jc w:val="right"/>
              <w:rPr>
                <w:rFonts w:hint="eastAsia" w:ascii="宋体" w:hAnsi="宋体" w:eastAsia="宋体" w:cs="宋体"/>
                <w:sz w:val="24"/>
                <w:szCs w:val="24"/>
              </w:rPr>
            </w:pPr>
            <w:r>
              <w:rPr>
                <w:rFonts w:hint="eastAsia" w:ascii="宋体" w:hAnsi="宋体" w:cs="宋体"/>
                <w:sz w:val="24"/>
                <w:szCs w:val="24"/>
                <w:lang w:val="en-US" w:eastAsia="zh-CN"/>
              </w:rPr>
              <w:t>院系</w:t>
            </w:r>
            <w:r>
              <w:rPr>
                <w:rFonts w:hint="eastAsia" w:ascii="宋体" w:hAnsi="宋体" w:eastAsia="宋体" w:cs="宋体"/>
                <w:sz w:val="24"/>
                <w:szCs w:val="24"/>
              </w:rPr>
              <w:t>负责人</w:t>
            </w:r>
            <w:r>
              <w:rPr>
                <w:rFonts w:hint="eastAsia" w:ascii="宋体" w:hAnsi="宋体" w:cs="宋体"/>
                <w:sz w:val="24"/>
                <w:szCs w:val="24"/>
                <w:lang w:val="en-US" w:eastAsia="zh-CN"/>
              </w:rPr>
              <w:t>签名</w:t>
            </w:r>
            <w:r>
              <w:rPr>
                <w:rFonts w:hint="eastAsia" w:ascii="宋体" w:hAnsi="宋体" w:eastAsia="宋体" w:cs="宋体"/>
                <w:sz w:val="24"/>
                <w:szCs w:val="24"/>
              </w:rPr>
              <w:t>:</w:t>
            </w:r>
            <w:r>
              <w:drawing>
                <wp:inline distT="0" distB="0" distL="0" distR="0">
                  <wp:extent cx="762000" cy="2540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2"/>
                          <a:stretch>
                            <a:fillRect/>
                          </a:stretch>
                        </pic:blipFill>
                        <pic:spPr>
                          <a:xfrm>
                            <a:off x="0" y="0"/>
                            <a:ext cx="762000" cy="254000"/>
                          </a:xfrm>
                          <a:prstGeom prst="rect">
                            <a:avLst/>
                          </a:prstGeom>
                        </pic:spPr>
                      </pic:pic>
                    </a:graphicData>
                  </a:graphic>
                </wp:inline>
              </w:drawing>
            </w:r>
          </w:p>
          <w:p w14:paraId="158319FA">
            <w:pPr>
              <w:spacing w:line="500" w:lineRule="exact"/>
              <w:jc w:val="right"/>
              <w:rPr>
                <w:rFonts w:hint="eastAsia" w:ascii="宋体" w:hAnsi="宋体" w:eastAsia="宋体" w:cs="宋体"/>
                <w:sz w:val="24"/>
                <w:szCs w:val="24"/>
              </w:rPr>
            </w:pPr>
            <w:r>
              <w:rPr>
                <w:rFonts w:hint="eastAsia" w:ascii="宋体" w:hAnsi="宋体" w:eastAsia="宋体" w:cs="宋体"/>
                <w:sz w:val="24"/>
                <w:szCs w:val="24"/>
              </w:rPr>
              <w:t>2025年</w:t>
            </w:r>
            <w:r>
              <w:rPr>
                <w:rFonts w:hint="eastAsia" w:ascii="宋体" w:hAnsi="宋体" w:cs="宋体"/>
                <w:sz w:val="24"/>
                <w:szCs w:val="24"/>
                <w:lang w:val="en-US" w:eastAsia="zh-CN"/>
              </w:rPr>
              <w:t>9</w:t>
            </w:r>
            <w:r>
              <w:rPr>
                <w:rFonts w:hint="eastAsia" w:ascii="宋体" w:hAnsi="宋体" w:eastAsia="宋体" w:cs="宋体"/>
                <w:sz w:val="24"/>
                <w:szCs w:val="24"/>
              </w:rPr>
              <w:t>月</w:t>
            </w:r>
            <w:r>
              <w:rPr>
                <w:rFonts w:hint="eastAsia" w:ascii="宋体" w:hAnsi="宋体" w:cs="宋体"/>
                <w:sz w:val="24"/>
                <w:szCs w:val="24"/>
                <w:lang w:val="en-US" w:eastAsia="zh-CN"/>
              </w:rPr>
              <w:t>22</w:t>
            </w:r>
            <w:r>
              <w:rPr>
                <w:rFonts w:hint="eastAsia" w:ascii="宋体" w:hAnsi="宋体" w:eastAsia="宋体" w:cs="宋体"/>
                <w:sz w:val="24"/>
                <w:szCs w:val="24"/>
              </w:rPr>
              <w:t>日</w:t>
            </w:r>
            <w:r>
              <w:commentReference w:id="2"/>
            </w:r>
          </w:p>
        </w:tc>
      </w:tr>
    </w:tbl>
    <w:p w14:paraId="0A6B3F36">
      <w:pPr>
        <w:spacing w:line="500" w:lineRule="exact"/>
        <w:rPr>
          <w:rFonts w:hint="eastAsia" w:ascii="仿宋" w:hAnsi="仿宋" w:eastAsia="仿宋"/>
          <w:sz w:val="28"/>
          <w:szCs w:val="28"/>
        </w:rPr>
      </w:pPr>
    </w:p>
    <w:sectPr>
      <w:footerReference r:id="rId6" w:type="default"/>
      <w:pgSz w:w="11906" w:h="16838"/>
      <w:pgMar w:top="1134" w:right="1134" w:bottom="1134" w:left="1134" w:header="851" w:footer="992" w:gutter="0"/>
      <w:pgNumType w:start="1"/>
      <w:cols w:space="708"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T&amp;D_WJ" w:date="2026-04-16T20:27:52Z" w:initials="">
    <w:p w14:paraId="6AE75F03">
      <w:pPr>
        <w:pStyle w:val="3"/>
        <w:rPr>
          <w:rFonts w:hint="default"/>
          <w:lang w:val="en-US" w:eastAsia="zh-CN"/>
        </w:rPr>
      </w:pPr>
      <w:r>
        <w:rPr>
          <w:rFonts w:hint="eastAsia"/>
          <w:lang w:val="en-US" w:eastAsia="zh-CN"/>
        </w:rPr>
        <w:t>正文内容按照四级标题分布，如左侧的内容所示</w:t>
      </w:r>
    </w:p>
    <w:p w14:paraId="277D38CF">
      <w:pPr>
        <w:pStyle w:val="3"/>
        <w:rPr>
          <w:rFonts w:hint="eastAsia"/>
          <w:lang w:val="en-US" w:eastAsia="zh-CN"/>
        </w:rPr>
      </w:pPr>
      <w:r>
        <w:rPr>
          <w:rFonts w:hint="eastAsia"/>
          <w:lang w:val="en-US" w:eastAsia="zh-CN"/>
        </w:rPr>
        <w:t>一</w:t>
      </w:r>
    </w:p>
    <w:p w14:paraId="6011C481">
      <w:pPr>
        <w:pStyle w:val="3"/>
        <w:rPr>
          <w:rFonts w:hint="eastAsia"/>
          <w:lang w:val="en-US" w:eastAsia="zh-CN"/>
        </w:rPr>
      </w:pPr>
      <w:r>
        <w:rPr>
          <w:rFonts w:hint="eastAsia"/>
          <w:lang w:val="en-US" w:eastAsia="zh-CN"/>
        </w:rPr>
        <w:t>（一）</w:t>
      </w:r>
    </w:p>
    <w:p w14:paraId="1CB1FC49">
      <w:pPr>
        <w:pStyle w:val="3"/>
        <w:rPr>
          <w:rFonts w:hint="eastAsia"/>
          <w:lang w:val="en-US" w:eastAsia="zh-CN"/>
        </w:rPr>
      </w:pPr>
      <w:r>
        <w:rPr>
          <w:rFonts w:hint="eastAsia"/>
          <w:lang w:val="en-US" w:eastAsia="zh-CN"/>
        </w:rPr>
        <w:t xml:space="preserve">1. </w:t>
      </w:r>
    </w:p>
    <w:p w14:paraId="6FFE8F4C">
      <w:pPr>
        <w:pStyle w:val="3"/>
        <w:rPr>
          <w:rFonts w:hint="default" w:ascii="Calibri" w:hAnsi="Calibri" w:cs="Calibri"/>
          <w:lang w:val="en-US" w:eastAsia="zh-CN"/>
        </w:rPr>
      </w:pPr>
      <w:r>
        <w:rPr>
          <w:rFonts w:hint="default" w:ascii="Calibri" w:hAnsi="Calibri" w:cs="Calibri"/>
          <w:lang w:val="en-US" w:eastAsia="zh-CN"/>
        </w:rPr>
        <w:t>①</w:t>
      </w:r>
    </w:p>
    <w:p w14:paraId="39813ABA">
      <w:pPr>
        <w:pStyle w:val="3"/>
        <w:rPr>
          <w:rFonts w:hint="default" w:ascii="Calibri" w:hAnsi="Calibri" w:cs="Calibri"/>
          <w:lang w:val="en-US" w:eastAsia="zh-CN"/>
        </w:rPr>
      </w:pPr>
    </w:p>
    <w:p w14:paraId="4E6FB8E5">
      <w:pPr>
        <w:pStyle w:val="3"/>
        <w:rPr>
          <w:rFonts w:hint="eastAsia" w:ascii="Calibri" w:hAnsi="Calibri" w:cs="Calibri"/>
          <w:lang w:val="en-US" w:eastAsia="zh-CN"/>
        </w:rPr>
      </w:pPr>
      <w:r>
        <w:rPr>
          <w:rFonts w:hint="eastAsia" w:ascii="Calibri" w:hAnsi="Calibri" w:cs="Calibri"/>
          <w:lang w:val="en-US" w:eastAsia="zh-CN"/>
        </w:rPr>
        <w:t>一级标题为系统自带，加粗显示。</w:t>
      </w:r>
    </w:p>
    <w:p w14:paraId="486298FD">
      <w:pPr>
        <w:pStyle w:val="3"/>
        <w:rPr>
          <w:rFonts w:hint="default" w:ascii="Calibri" w:hAnsi="Calibri" w:cs="Calibri"/>
          <w:lang w:val="en-US" w:eastAsia="zh-CN"/>
        </w:rPr>
      </w:pPr>
      <w:r>
        <w:rPr>
          <w:rFonts w:hint="eastAsia" w:ascii="Calibri" w:hAnsi="Calibri" w:cs="Calibri"/>
          <w:lang w:val="en-US" w:eastAsia="zh-CN"/>
        </w:rPr>
        <w:t>其他正文内容为学生填写进系统的，统一不加粗。</w:t>
      </w:r>
    </w:p>
  </w:comment>
  <w:comment w:id="1" w:author="T&amp;D_WJ" w:date="2026-04-16T20:31:02Z" w:initials="">
    <w:p w14:paraId="2102F1E1">
      <w:pPr>
        <w:pStyle w:val="3"/>
        <w:rPr>
          <w:rFonts w:hint="default" w:eastAsia="宋体"/>
          <w:lang w:val="en-US" w:eastAsia="zh-CN"/>
        </w:rPr>
      </w:pPr>
      <w:r>
        <w:rPr>
          <w:rFonts w:hint="eastAsia"/>
          <w:lang w:val="en-US" w:eastAsia="zh-CN"/>
        </w:rPr>
        <w:t>导师意见不少于150字，所有前面均使用系统自带的电子签名</w:t>
      </w:r>
    </w:p>
  </w:comment>
  <w:comment w:id="2" w:author="T&amp;D_WJ" w:date="2026-04-16T20:31:42Z" w:initials="">
    <w:p w14:paraId="4B6AD7C7">
      <w:pPr>
        <w:pStyle w:val="3"/>
        <w:rPr>
          <w:rFonts w:hint="default" w:eastAsia="宋体"/>
          <w:lang w:val="en-US" w:eastAsia="zh-CN"/>
        </w:rPr>
      </w:pPr>
      <w:r>
        <w:rPr>
          <w:rFonts w:hint="eastAsia"/>
          <w:lang w:val="en-US" w:eastAsia="zh-CN"/>
        </w:rPr>
        <w:t>这三个时间按照此标准填写。</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86298FD" w15:done="0"/>
  <w15:commentEx w15:paraId="2102F1E1" w15:done="0"/>
  <w15:commentEx w15:paraId="4B6AD7C7"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B13E40">
    <w:pPr>
      <w:pStyle w:val="6"/>
      <w:framePr w:wrap="around" w:vAnchor="text" w:hAnchor="margin" w:xAlign="center" w:y="1"/>
      <w:rPr>
        <w:rStyle w:val="12"/>
      </w:rPr>
    </w:pPr>
    <w:r>
      <w:fldChar w:fldCharType="begin"/>
    </w:r>
    <w:r>
      <w:rPr>
        <w:rStyle w:val="12"/>
      </w:rPr>
      <w:instrText xml:space="preserve">PAGE  </w:instrText>
    </w:r>
    <w:r>
      <w:fldChar w:fldCharType="separate"/>
    </w:r>
    <w:r>
      <w:fldChar w:fldCharType="end"/>
    </w:r>
  </w:p>
  <w:p w14:paraId="32711969">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9698B7">
    <w:pPr>
      <w:pStyle w:val="6"/>
      <w:framePr w:wrap="around" w:vAnchor="text" w:hAnchor="margin" w:xAlign="center" w:y="1"/>
      <w:rPr>
        <w:rStyle w:val="12"/>
      </w:rPr>
    </w:pPr>
    <w:r>
      <w:fldChar w:fldCharType="begin"/>
    </w:r>
    <w:r>
      <w:rPr>
        <w:rStyle w:val="12"/>
      </w:rPr>
      <w:instrText xml:space="preserve">PAGE  </w:instrText>
    </w:r>
    <w:r>
      <w:fldChar w:fldCharType="separate"/>
    </w:r>
    <w:r>
      <w:rPr>
        <w:rStyle w:val="12"/>
      </w:rPr>
      <w:t>7</w:t>
    </w:r>
    <w:r>
      <w:fldChar w:fldCharType="end"/>
    </w:r>
  </w:p>
  <w:p w14:paraId="647FBAF6">
    <w:pPr>
      <w:pStyle w:val="6"/>
    </w:pPr>
  </w:p>
</w:ft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T&amp;D_WJ">
    <w15:presenceInfo w15:providerId="WPS Office" w15:userId="25564401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ocumentProtection w:enforcement="0"/>
  <w:defaultTabStop w:val="420"/>
  <w:drawingGridHorizontalSpacing w:val="0"/>
  <w:drawingGridVerticalSpacing w:val="156"/>
  <w:noPunctuationKerning w:val="1"/>
  <w:characterSpacingControl w:val="compressPunctuation"/>
  <w:noLineBreaksAfter w:lang="zh-CN" w:val="([{·‘“〈《「『【〔〖（．［｛￡￥"/>
  <w:noLineBreaksBefore w:lang="zh-CN" w:val="!),.:;?]}¨·ˇˉ―‖’”…∶、。〃々〉》」』】〕〗！＂＇），．：；？］｀｜｝～￠"/>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I0YmZjYTZkZjgzMTdlNmM4NzM4MzI2MTViYmE2OGEifQ=="/>
  </w:docVars>
  <w:rsids>
    <w:rsidRoot w:val="00172A27"/>
    <w:rsid w:val="00186DF6"/>
    <w:rsid w:val="01ED4133"/>
    <w:rsid w:val="03F50115"/>
    <w:rsid w:val="03FC2DC6"/>
    <w:rsid w:val="05E63134"/>
    <w:rsid w:val="074958E1"/>
    <w:rsid w:val="093F42CB"/>
    <w:rsid w:val="09B044DA"/>
    <w:rsid w:val="09B82258"/>
    <w:rsid w:val="0A1F42E1"/>
    <w:rsid w:val="0A7B460A"/>
    <w:rsid w:val="0BF03A80"/>
    <w:rsid w:val="0EA449E6"/>
    <w:rsid w:val="0ED84D05"/>
    <w:rsid w:val="10273564"/>
    <w:rsid w:val="10E74CAF"/>
    <w:rsid w:val="1168619D"/>
    <w:rsid w:val="12337673"/>
    <w:rsid w:val="150A554E"/>
    <w:rsid w:val="16771491"/>
    <w:rsid w:val="18AD1CF2"/>
    <w:rsid w:val="19757003"/>
    <w:rsid w:val="1AE115D5"/>
    <w:rsid w:val="1DD51538"/>
    <w:rsid w:val="1EDB5B6D"/>
    <w:rsid w:val="220C5663"/>
    <w:rsid w:val="29187A7A"/>
    <w:rsid w:val="3159201F"/>
    <w:rsid w:val="33136E4D"/>
    <w:rsid w:val="338C558A"/>
    <w:rsid w:val="36766074"/>
    <w:rsid w:val="37475E47"/>
    <w:rsid w:val="3765343B"/>
    <w:rsid w:val="37C21AA5"/>
    <w:rsid w:val="39DC316C"/>
    <w:rsid w:val="3B573B81"/>
    <w:rsid w:val="3CF6711B"/>
    <w:rsid w:val="3DC23E00"/>
    <w:rsid w:val="400D79EF"/>
    <w:rsid w:val="443E72D3"/>
    <w:rsid w:val="46FB7453"/>
    <w:rsid w:val="47310C30"/>
    <w:rsid w:val="47826300"/>
    <w:rsid w:val="4B1A41F6"/>
    <w:rsid w:val="4C4942F0"/>
    <w:rsid w:val="50DC46F4"/>
    <w:rsid w:val="521C77E3"/>
    <w:rsid w:val="54AE5288"/>
    <w:rsid w:val="56A61C39"/>
    <w:rsid w:val="5A784748"/>
    <w:rsid w:val="5AD06F02"/>
    <w:rsid w:val="5E846FF8"/>
    <w:rsid w:val="5FBE6EC4"/>
    <w:rsid w:val="620D08CD"/>
    <w:rsid w:val="63B83FE1"/>
    <w:rsid w:val="65FE1A8D"/>
    <w:rsid w:val="661F6540"/>
    <w:rsid w:val="69403FC7"/>
    <w:rsid w:val="6E62242D"/>
    <w:rsid w:val="713D7F48"/>
    <w:rsid w:val="720F3CE0"/>
    <w:rsid w:val="72110D6C"/>
    <w:rsid w:val="733670E3"/>
    <w:rsid w:val="76E63D9C"/>
    <w:rsid w:val="771F0CBB"/>
    <w:rsid w:val="77386A6B"/>
    <w:rsid w:val="77AE3C85"/>
    <w:rsid w:val="7BCB352B"/>
    <w:rsid w:val="7DCD12B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1624"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qFormat="1"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autoRedefine/>
    <w:qFormat/>
    <w:uiPriority w:val="0"/>
    <w:pPr>
      <w:widowControl/>
      <w:jc w:val="left"/>
      <w:outlineLvl w:val="0"/>
    </w:pPr>
    <w:rPr>
      <w:rFonts w:ascii="宋体" w:hAnsi="宋体" w:cs="宋体"/>
      <w:b/>
      <w:bCs/>
      <w:kern w:val="36"/>
      <w:sz w:val="48"/>
      <w:szCs w:val="48"/>
    </w:rPr>
  </w:style>
  <w:style w:type="character" w:default="1" w:styleId="11">
    <w:name w:val="Default Paragraph Font"/>
    <w:autoRedefine/>
    <w:qFormat/>
    <w:uiPriority w:val="0"/>
  </w:style>
  <w:style w:type="table" w:default="1" w:styleId="9">
    <w:name w:val="Normal Table"/>
    <w:autoRedefine/>
    <w:unhideWhenUsed/>
    <w:qFormat/>
    <w:uiPriority w:val="99"/>
    <w:tblPr>
      <w:tblCellMar>
        <w:top w:w="0" w:type="dxa"/>
        <w:left w:w="108" w:type="dxa"/>
        <w:bottom w:w="0" w:type="dxa"/>
        <w:right w:w="108" w:type="dxa"/>
      </w:tblCellMar>
    </w:tblPr>
  </w:style>
  <w:style w:type="paragraph" w:styleId="3">
    <w:name w:val="annotation text"/>
    <w:basedOn w:val="1"/>
    <w:autoRedefine/>
    <w:qFormat/>
    <w:uiPriority w:val="0"/>
    <w:pPr>
      <w:jc w:val="left"/>
    </w:pPr>
  </w:style>
  <w:style w:type="paragraph" w:styleId="4">
    <w:name w:val="Body Text"/>
    <w:basedOn w:val="1"/>
    <w:autoRedefine/>
    <w:qFormat/>
    <w:uiPriority w:val="1624"/>
    <w:rPr>
      <w:sz w:val="24"/>
    </w:rPr>
  </w:style>
  <w:style w:type="paragraph" w:styleId="5">
    <w:name w:val="Body Text Indent"/>
    <w:basedOn w:val="1"/>
    <w:autoRedefine/>
    <w:qFormat/>
    <w:uiPriority w:val="0"/>
    <w:pPr>
      <w:spacing w:line="400" w:lineRule="atLeast"/>
      <w:ind w:firstLine="480" w:firstLineChars="200"/>
    </w:pPr>
    <w:rPr>
      <w:sz w:val="24"/>
    </w:rPr>
  </w:style>
  <w:style w:type="paragraph" w:styleId="6">
    <w:name w:val="footer"/>
    <w:basedOn w:val="1"/>
    <w:autoRedefine/>
    <w:qFormat/>
    <w:uiPriority w:val="0"/>
    <w:pPr>
      <w:tabs>
        <w:tab w:val="center" w:pos="4153"/>
        <w:tab w:val="right" w:pos="8306"/>
      </w:tabs>
      <w:snapToGrid w:val="0"/>
      <w:jc w:val="left"/>
    </w:pPr>
    <w:rPr>
      <w:sz w:val="18"/>
      <w:szCs w:val="18"/>
    </w:rPr>
  </w:style>
  <w:style w:type="paragraph" w:styleId="7">
    <w:name w:val="header"/>
    <w:basedOn w:val="1"/>
    <w:autoRedefine/>
    <w:qFormat/>
    <w:uiPriority w:val="0"/>
    <w:pPr>
      <w:pBdr>
        <w:bottom w:val="single" w:color="auto" w:sz="6" w:space="1"/>
      </w:pBdr>
      <w:tabs>
        <w:tab w:val="center" w:pos="4153"/>
        <w:tab w:val="right" w:pos="8306"/>
      </w:tabs>
      <w:snapToGrid w:val="0"/>
      <w:jc w:val="center"/>
    </w:pPr>
    <w:rPr>
      <w:sz w:val="18"/>
      <w:szCs w:val="18"/>
    </w:rPr>
  </w:style>
  <w:style w:type="paragraph" w:styleId="8">
    <w:name w:val="Normal (Web)"/>
    <w:basedOn w:val="1"/>
    <w:autoRedefine/>
    <w:qFormat/>
    <w:uiPriority w:val="0"/>
    <w:pPr>
      <w:widowControl/>
      <w:spacing w:before="100" w:beforeLines="0" w:beforeAutospacing="1" w:after="100" w:afterLines="0" w:afterAutospacing="1"/>
      <w:jc w:val="left"/>
    </w:pPr>
    <w:rPr>
      <w:rFonts w:ascii="宋体" w:hAnsi="宋体" w:cs="宋体"/>
      <w:kern w:val="0"/>
      <w:sz w:val="24"/>
    </w:rPr>
  </w:style>
  <w:style w:type="table" w:styleId="10">
    <w:name w:val="Table Grid"/>
    <w:basedOn w:val="9"/>
    <w:autoRedefine/>
    <w:unhideWhenUsed/>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page number"/>
    <w:basedOn w:val="11"/>
    <w:autoRedefine/>
    <w:qFormat/>
    <w:uiPriority w:val="0"/>
  </w:style>
  <w:style w:type="character" w:styleId="13">
    <w:name w:val="Hyperlink"/>
    <w:basedOn w:val="11"/>
    <w:autoRedefine/>
    <w:qFormat/>
    <w:uiPriority w:val="0"/>
    <w:rPr>
      <w:color w:val="261CDC"/>
      <w:u w:val="single"/>
    </w:rPr>
  </w:style>
  <w:style w:type="paragraph" w:customStyle="1" w:styleId="14">
    <w:name w:val="样式1"/>
    <w:basedOn w:val="1"/>
    <w:qFormat/>
    <w:uiPriority w:val="0"/>
    <w:pPr>
      <w:spacing w:line="360" w:lineRule="auto"/>
      <w:ind w:firstLine="560" w:firstLineChars="200"/>
      <w:jc w:val="left"/>
    </w:pPr>
    <w:rPr>
      <w:rFonts w:ascii="宋体" w:hAnsi="宋体" w:cs="宋体"/>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Pages>11</Pages>
  <Words>7870</Words>
  <Characters>8506</Characters>
  <Lines>20</Lines>
  <Paragraphs>5</Paragraphs>
  <TotalTime>5</TotalTime>
  <ScaleCrop>false</ScaleCrop>
  <LinksUpToDate>false</LinksUpToDate>
  <CharactersWithSpaces>8665</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2011-10-07T20:51:00Z</dcterms:created>
  <dc:creator>user</dc:creator>
  <cp:lastModifiedBy>T&amp;D_WJ</cp:lastModifiedBy>
  <dcterms:modified xsi:type="dcterms:W3CDTF">2026-04-16T12:46:45Z</dcterms:modified>
  <dc:title>学科分类号____________</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55001A18A808401280B89CD5B2418AA0_13</vt:lpwstr>
  </property>
  <property fmtid="{D5CDD505-2E9C-101B-9397-08002B2CF9AE}" pid="3" name="KSOProductBuildVer">
    <vt:lpwstr>2052-12.1.0.25222</vt:lpwstr>
  </property>
  <property fmtid="{D5CDD505-2E9C-101B-9397-08002B2CF9AE}" pid="4" name="KSOTemplateDocerSaveRecord">
    <vt:lpwstr>eyJoZGlkIjoiZjExZWZmOWZkMTYwZjIzZGEwZjkwZDA4MDIxMzNjZWYiLCJ1c2VySWQiOiIyMzk1MTMzMDQifQ==</vt:lpwstr>
  </property>
</Properties>
</file>