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零代码图表映射与分析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 RawGraphs 零代码可视化平台的完整工作流（数据加载→图表选择→通道映射→视觉定制→导出）。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（二）运用视觉编码理论（Munzner Marks &amp; Channels）为多维数据选择合理图表类型，理解不同图表类型揭示数据模式的差异。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（三）能够撰写设计说明，阐述视觉通道映射逻辑、数据洞察发现与零代码工具的局限性反思。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硬件：个人计算机（学校机房或自备），需联网访问 RawGraphs 在线平台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软件：浏览器（Chrome/Edge）；RawGraphs 2.0（https://app.rawgraphs.io/）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3. 数据：教师提供的校园采样数据集（student_data_expanded.csv）或 RawGraphs 内置示例数据集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在 RawGraphs 平台加载数据（粘贴 CSV 或使用内置示例），检查数据类型解析是否正确（分类型 vs 数值型）。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从流向图（Alluvial Diagram）、小提琴图（Violin Plot）、蜂群图（Beeswarm Plot）等图表类型中配置维度到图表变量的通道映射。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在 RawGraphs 的 Customize 面板中调整颜色、尺寸、标签等视觉参数。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撰写设计说明：通道选择依据、数据洞察发现与零代码工具局限性反思。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