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综合项目实战</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6</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sidR="00853C34">
              <w:rPr>
                <w:rFonts w:ascii="SimSun" w:eastAsia="SimSun" w:hAnsi="SimSun" w:cs="Times New Roman" w:hint="eastAsia"/>
                <w:sz w:val="24"/>
                <w:szCs w:val="24"/>
              </w:rPr>
              <w:t>XXXX</w:t>
            </w:r>
            <w:r>
              <w:rPr>
                <w:rFonts w:ascii="SimSun" w:eastAsia="SimSun" w:hAnsi="SimSun" w:cs="Times New Roman" w:hint="eastAsia"/>
                <w:sz w:val="24"/>
                <w:szCs w:val="24"/>
              </w:rPr>
              <w:t xml:space="preserve"> ）    设计性实验（ </w:t>
            </w:r>
            <w:r w:rsidR="00853C34">
              <w:rPr>
                <w:rFonts w:ascii="SimSun" w:eastAsia="SimSun" w:hAnsi="SimSun" w:cs="Times New Roman" w:hint="eastAsia"/>
                <w:sz w:val="24"/>
                <w:szCs w:val="24"/>
              </w:rPr>
              <w:t>XXXX</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w:t>
            </w:r>
            <w:r>
              <w:rPr>
                <w:rFonts w:ascii="SimSun" w:eastAsia="SimSun" w:hAnsi="SimSun" w:cs="Times New Roman" w:hint="eastAsia"/>
                <w:sz w:val="24"/>
                <w:szCs w:val="24"/>
              </w:rPr>
              <w:t>教材</w:t>
            </w:r>
            <w:r>
              <w:rPr>
                <w:rFonts w:ascii="SimSun" w:eastAsia="SimSun" w:hAnsi="SimSun" w:cs="Times New Roman" w:hint="eastAsia"/>
                <w:spacing w:val="-8"/>
                <w:sz w:val="22"/>
              </w:rPr>
              <w:t>）</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围绕真实社会/文化议题，独立完成具有人文关怀与艺术深度的交互数据叙事作品，实现从议题选择、数据调研到作品部署的全链路创作。</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