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5FE98">
      <w:pPr>
        <w:rPr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一、什么是OBE理念？</w:t>
      </w:r>
    </w:p>
    <w:p w14:paraId="1C20FF34">
      <w:pPr>
        <w:rPr>
          <w:rFonts w:hint="default"/>
        </w:rPr>
      </w:pPr>
      <w:r>
        <w:rPr>
          <w:rFonts w:hint="default"/>
          <w:b/>
          <w:bCs/>
        </w:rPr>
        <w:t>核心理念：</w:t>
      </w:r>
      <w:r>
        <w:rPr>
          <w:rFonts w:hint="default"/>
        </w:rPr>
        <w:t> 所有教学活动和设计，都必须紧紧围绕“学生毕业时能真正获得什么能力”这一最终目标来展开。不是“教师教了什么”，而是“学生学会了什么、能做什么”。</w:t>
      </w:r>
    </w:p>
    <w:p w14:paraId="65F62400">
      <w:pPr>
        <w:rPr>
          <w:rFonts w:hint="default"/>
        </w:rPr>
      </w:pPr>
      <w:r>
        <w:rPr>
          <w:rFonts w:hint="default"/>
        </w:rPr>
        <w:t>四个核心原则（斯派迪四原则）：</w:t>
      </w:r>
    </w:p>
    <w:p w14:paraId="4C70A5D7">
      <w:pPr>
        <w:rPr/>
      </w:pPr>
      <w:bookmarkStart w:id="0" w:name="_GoBack"/>
      <w:bookmarkEnd w:id="0"/>
    </w:p>
    <w:p w14:paraId="7B7178C3">
      <w:pPr>
        <w:rPr/>
      </w:pPr>
      <w:r>
        <w:rPr>
          <w:rFonts w:hint="default"/>
          <w:b/>
          <w:bCs/>
        </w:rPr>
        <w:t>清晰聚焦</w:t>
      </w:r>
      <w:r>
        <w:rPr>
          <w:rFonts w:hint="default"/>
        </w:rPr>
        <w:t>（Clarity of Focus）： 所有教学努力都明确指向学生最终应达到的关键成果（毕业要求）。</w:t>
      </w:r>
    </w:p>
    <w:p w14:paraId="50FDBBFB">
      <w:pPr>
        <w:rPr/>
      </w:pPr>
    </w:p>
    <w:p w14:paraId="67DB3A9E">
      <w:pPr>
        <w:rPr/>
      </w:pPr>
      <w:r>
        <w:rPr>
          <w:rFonts w:hint="default"/>
          <w:b/>
          <w:bCs/>
        </w:rPr>
        <w:t>扩大机会</w:t>
      </w:r>
      <w:r>
        <w:rPr>
          <w:rFonts w:hint="default"/>
        </w:rPr>
        <w:t>（Expanded Opportunity）： 承认学生学习速度和方式有差异，提供多元化的学习路径、资源和时间，确保每个学生都有成功的机会。</w:t>
      </w:r>
    </w:p>
    <w:p w14:paraId="3B43D333">
      <w:pPr>
        <w:rPr/>
      </w:pPr>
    </w:p>
    <w:p w14:paraId="6F8EEAA6">
      <w:pPr>
        <w:rPr/>
      </w:pPr>
      <w:r>
        <w:rPr>
          <w:rFonts w:hint="default"/>
          <w:b/>
          <w:bCs/>
        </w:rPr>
        <w:t>高度期待</w:t>
      </w:r>
      <w:r>
        <w:rPr>
          <w:rFonts w:hint="default"/>
        </w:rPr>
        <w:t>（High Expectations）： 为所有学生设定富有挑战性的标准，鼓励他们达到更高的表现水平。</w:t>
      </w:r>
    </w:p>
    <w:p w14:paraId="699E7BFC">
      <w:pPr>
        <w:rPr/>
      </w:pPr>
    </w:p>
    <w:p w14:paraId="137C84FF">
      <w:pPr>
        <w:rPr/>
      </w:pPr>
      <w:r>
        <w:rPr>
          <w:rFonts w:hint="default"/>
          <w:b/>
          <w:bCs/>
        </w:rPr>
        <w:t>反向设计</w:t>
      </w:r>
      <w:r>
        <w:rPr>
          <w:rFonts w:hint="default"/>
        </w:rPr>
        <w:t>（Design Down）： 从最终希望学生达到的成果（毕业要求）开始，反向设计课程体系、教学内容和评估方式。</w:t>
      </w:r>
    </w:p>
    <w:p w14:paraId="77012002">
      <w:pPr>
        <w:rPr/>
      </w:pPr>
    </w:p>
    <w:p w14:paraId="7B3B97E7">
      <w:pPr>
        <w:rPr>
          <w:rFonts w:hint="default"/>
          <w:b/>
          <w:bCs/>
        </w:rPr>
      </w:pPr>
      <w:r>
        <w:rPr>
          <w:rFonts w:hint="default"/>
          <w:b/>
          <w:bCs/>
        </w:rPr>
        <w:t>与传统教育的对比：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3519"/>
        <w:gridCol w:w="3780"/>
      </w:tblGrid>
      <w:tr w14:paraId="15053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47" w:type="pct"/>
            <w:tcBorders>
              <w:top w:val="nil"/>
            </w:tcBorders>
            <w:shd w:val="clear"/>
            <w:tcMar>
              <w:top w:w="50" w:type="dxa"/>
              <w:left w:w="0" w:type="dxa"/>
              <w:bottom w:w="50" w:type="dxa"/>
              <w:right w:w="80" w:type="dxa"/>
            </w:tcMar>
            <w:vAlign w:val="center"/>
          </w:tcPr>
          <w:p w14:paraId="163A7841">
            <w:pPr>
              <w:rPr/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2098" w:type="pct"/>
            <w:tcBorders>
              <w:top w:val="nil"/>
            </w:tcBorders>
            <w:shd w:val="clear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A9C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传统教育（内容导向）</w:t>
            </w:r>
          </w:p>
        </w:tc>
        <w:tc>
          <w:tcPr>
            <w:tcW w:w="2254" w:type="pct"/>
            <w:tcBorders>
              <w:top w:val="nil"/>
            </w:tcBorders>
            <w:shd w:val="clear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BA8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OBE教育（成果导向）</w:t>
            </w:r>
          </w:p>
        </w:tc>
      </w:tr>
      <w:tr w14:paraId="3AD79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7" w:type="pct"/>
            <w:shd w:val="clear"/>
            <w:tcMar>
              <w:top w:w="50" w:type="dxa"/>
              <w:left w:w="0" w:type="dxa"/>
              <w:bottom w:w="50" w:type="dxa"/>
              <w:right w:w="80" w:type="dxa"/>
            </w:tcMar>
            <w:vAlign w:val="center"/>
          </w:tcPr>
          <w:p w14:paraId="4CEC37AC">
            <w:pPr>
              <w:rPr/>
            </w:pPr>
            <w:r>
              <w:rPr>
                <w:rFonts w:hint="default"/>
                <w:lang w:val="en-US" w:eastAsia="zh-CN"/>
              </w:rPr>
              <w:t>出发点</w:t>
            </w:r>
          </w:p>
        </w:tc>
        <w:tc>
          <w:tcPr>
            <w:tcW w:w="2098" w:type="pct"/>
            <w:shd w:val="clear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5E8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教师应传授哪些知识/内容？</w:t>
            </w:r>
          </w:p>
        </w:tc>
        <w:tc>
          <w:tcPr>
            <w:tcW w:w="2254" w:type="pct"/>
            <w:shd w:val="clear"/>
            <w:tcMar>
              <w:top w:w="50" w:type="dxa"/>
              <w:left w:w="80" w:type="dxa"/>
              <w:bottom w:w="50" w:type="dxa"/>
              <w:right w:w="0" w:type="dxa"/>
            </w:tcMar>
            <w:vAlign w:val="center"/>
          </w:tcPr>
          <w:p w14:paraId="335008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学生毕业时应具备哪些能力？</w:t>
            </w:r>
          </w:p>
        </w:tc>
      </w:tr>
      <w:tr w14:paraId="7EEB7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7" w:type="pct"/>
            <w:shd w:val="clear"/>
            <w:tcMar>
              <w:top w:w="50" w:type="dxa"/>
              <w:left w:w="0" w:type="dxa"/>
              <w:bottom w:w="50" w:type="dxa"/>
              <w:right w:w="80" w:type="dxa"/>
            </w:tcMar>
            <w:vAlign w:val="center"/>
          </w:tcPr>
          <w:p w14:paraId="39C7BB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课程设计</w:t>
            </w:r>
          </w:p>
        </w:tc>
        <w:tc>
          <w:tcPr>
            <w:tcW w:w="2098" w:type="pct"/>
            <w:shd w:val="clear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5AA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按学科知识逻辑组织课程。</w:t>
            </w:r>
          </w:p>
        </w:tc>
        <w:tc>
          <w:tcPr>
            <w:tcW w:w="2254" w:type="pct"/>
            <w:shd w:val="clear"/>
            <w:tcMar>
              <w:top w:w="50" w:type="dxa"/>
              <w:left w:w="80" w:type="dxa"/>
              <w:bottom w:w="50" w:type="dxa"/>
              <w:right w:w="0" w:type="dxa"/>
            </w:tcMar>
            <w:vAlign w:val="center"/>
          </w:tcPr>
          <w:p w14:paraId="63A81A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按能力成果需求反向设计课程体系。</w:t>
            </w:r>
          </w:p>
        </w:tc>
      </w:tr>
      <w:tr w14:paraId="0F12F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7" w:type="pct"/>
            <w:shd w:val="clear"/>
            <w:tcMar>
              <w:top w:w="50" w:type="dxa"/>
              <w:left w:w="0" w:type="dxa"/>
              <w:bottom w:w="50" w:type="dxa"/>
              <w:right w:w="80" w:type="dxa"/>
            </w:tcMar>
            <w:vAlign w:val="center"/>
          </w:tcPr>
          <w:p w14:paraId="2D70FF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教学中心</w:t>
            </w:r>
          </w:p>
        </w:tc>
        <w:tc>
          <w:tcPr>
            <w:tcW w:w="2098" w:type="pct"/>
            <w:shd w:val="clear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A02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以教师为中心（教什么）。</w:t>
            </w:r>
          </w:p>
        </w:tc>
        <w:tc>
          <w:tcPr>
            <w:tcW w:w="2254" w:type="pct"/>
            <w:shd w:val="clear"/>
            <w:tcMar>
              <w:top w:w="50" w:type="dxa"/>
              <w:left w:w="80" w:type="dxa"/>
              <w:bottom w:w="50" w:type="dxa"/>
              <w:right w:w="0" w:type="dxa"/>
            </w:tcMar>
            <w:vAlign w:val="center"/>
          </w:tcPr>
          <w:p w14:paraId="58DA79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以学生为中心（学得如何）。</w:t>
            </w:r>
          </w:p>
        </w:tc>
      </w:tr>
      <w:tr w14:paraId="15266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7" w:type="pct"/>
            <w:shd w:val="clear"/>
            <w:tcMar>
              <w:top w:w="50" w:type="dxa"/>
              <w:left w:w="0" w:type="dxa"/>
              <w:bottom w:w="50" w:type="dxa"/>
              <w:right w:w="80" w:type="dxa"/>
            </w:tcMar>
            <w:vAlign w:val="center"/>
          </w:tcPr>
          <w:p w14:paraId="70AE2E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评估方式</w:t>
            </w:r>
          </w:p>
        </w:tc>
        <w:tc>
          <w:tcPr>
            <w:tcW w:w="2098" w:type="pct"/>
            <w:shd w:val="clear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A45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期末一次性考试，侧重知识记忆。</w:t>
            </w:r>
          </w:p>
        </w:tc>
        <w:tc>
          <w:tcPr>
            <w:tcW w:w="2254" w:type="pct"/>
            <w:shd w:val="clear"/>
            <w:tcMar>
              <w:top w:w="50" w:type="dxa"/>
              <w:left w:w="80" w:type="dxa"/>
              <w:bottom w:w="50" w:type="dxa"/>
              <w:right w:w="0" w:type="dxa"/>
            </w:tcMar>
            <w:vAlign w:val="center"/>
          </w:tcPr>
          <w:p w14:paraId="7986AFA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持续多元评估，侧重能力表现与证据。</w:t>
            </w:r>
          </w:p>
        </w:tc>
      </w:tr>
      <w:tr w14:paraId="48A62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7" w:type="pct"/>
            <w:shd w:val="clear"/>
            <w:tcMar>
              <w:top w:w="50" w:type="dxa"/>
              <w:left w:w="0" w:type="dxa"/>
              <w:bottom w:w="50" w:type="dxa"/>
              <w:right w:w="80" w:type="dxa"/>
            </w:tcMar>
            <w:vAlign w:val="center"/>
          </w:tcPr>
          <w:p w14:paraId="7F3AF9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进度安排</w:t>
            </w:r>
          </w:p>
        </w:tc>
        <w:tc>
          <w:tcPr>
            <w:tcW w:w="2098" w:type="pct"/>
            <w:shd w:val="clear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D58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固定时间、统一进度。</w:t>
            </w:r>
          </w:p>
        </w:tc>
        <w:tc>
          <w:tcPr>
            <w:tcW w:w="2254" w:type="pct"/>
            <w:shd w:val="clear"/>
            <w:tcMar>
              <w:top w:w="50" w:type="dxa"/>
              <w:left w:w="80" w:type="dxa"/>
              <w:bottom w:w="50" w:type="dxa"/>
              <w:right w:w="0" w:type="dxa"/>
            </w:tcMar>
            <w:vAlign w:val="center"/>
          </w:tcPr>
          <w:p w14:paraId="3507EE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弹性时间，支持个性化学习进度。</w:t>
            </w:r>
          </w:p>
        </w:tc>
      </w:tr>
      <w:tr w14:paraId="01554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7" w:type="pct"/>
            <w:shd w:val="clear"/>
            <w:tcMar>
              <w:top w:w="50" w:type="dxa"/>
              <w:left w:w="0" w:type="dxa"/>
              <w:bottom w:w="50" w:type="dxa"/>
              <w:right w:w="80" w:type="dxa"/>
            </w:tcMar>
            <w:vAlign w:val="center"/>
          </w:tcPr>
          <w:p w14:paraId="10D7FC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成功标准</w:t>
            </w:r>
          </w:p>
        </w:tc>
        <w:tc>
          <w:tcPr>
            <w:tcW w:w="2098" w:type="pct"/>
            <w:shd w:val="clear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FC78D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学生间横向比较（正态分布）。</w:t>
            </w:r>
          </w:p>
        </w:tc>
        <w:tc>
          <w:tcPr>
            <w:tcW w:w="2254" w:type="pct"/>
            <w:shd w:val="clear"/>
            <w:tcMar>
              <w:top w:w="50" w:type="dxa"/>
              <w:left w:w="80" w:type="dxa"/>
              <w:bottom w:w="50" w:type="dxa"/>
              <w:right w:w="0" w:type="dxa"/>
            </w:tcMar>
            <w:vAlign w:val="center"/>
          </w:tcPr>
          <w:p w14:paraId="125727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每个学生与既定标准比较（达标即可）。</w:t>
            </w:r>
          </w:p>
        </w:tc>
      </w:tr>
    </w:tbl>
    <w:p w14:paraId="5DD6554C">
      <w:pPr>
        <w:rPr>
          <w:rFonts w:hint="default"/>
        </w:rPr>
      </w:pPr>
    </w:p>
    <w:p w14:paraId="5F5CE92F">
      <w:pPr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二、如何将OBE理念具体融入教学？（实操步骤）</w:t>
      </w:r>
    </w:p>
    <w:p w14:paraId="11EE9FCA">
      <w:pPr>
        <w:rPr>
          <w:rFonts w:hint="default"/>
        </w:rPr>
      </w:pPr>
      <w:r>
        <w:rPr>
          <w:rFonts w:hint="default"/>
        </w:rPr>
        <w:t>对于一门课程的教师而言，可以将OBE理念分解为以下四个连贯的步骤：</w:t>
      </w:r>
    </w:p>
    <w:p w14:paraId="7F4FFD05">
      <w:pPr>
        <w:rPr>
          <w:rFonts w:hint="default"/>
        </w:rPr>
      </w:pPr>
      <w:r>
        <w:rPr>
          <w:rFonts w:hint="default"/>
          <w:b/>
          <w:bCs/>
        </w:rPr>
        <w:t>步骤一：定义清晰、可衡量的学习成果</w:t>
      </w:r>
      <w:r>
        <w:rPr>
          <w:rFonts w:hint="default"/>
          <w:b/>
          <w:bCs/>
        </w:rPr>
        <w:br w:type="textWrapping"/>
      </w:r>
      <w:r>
        <w:rPr>
          <w:rFonts w:hint="default"/>
        </w:rPr>
        <w:t>这是OBE的起点和基石。学习成果应以学生为中心，使用可观察、可测量的行为动词描述。</w:t>
      </w:r>
    </w:p>
    <w:p w14:paraId="5E83EE00">
      <w:pPr>
        <w:rPr/>
      </w:pPr>
    </w:p>
    <w:p w14:paraId="088D2F2F">
      <w:pPr>
        <w:rPr/>
      </w:pPr>
      <w:r>
        <w:rPr>
          <w:rFonts w:hint="default"/>
        </w:rPr>
        <w:t>方法：</w:t>
      </w:r>
    </w:p>
    <w:p w14:paraId="17D48DE1">
      <w:pPr>
        <w:rPr/>
      </w:pPr>
      <w:r>
        <w:rPr>
          <w:rFonts w:hint="default"/>
        </w:rPr>
        <w:t>对齐上级目标： 首先明确本门课程支撑的专业毕业要求是什么（例如：毕业要求指标点“能够设计复杂工程问题的解决方案”）。</w:t>
      </w:r>
    </w:p>
    <w:p w14:paraId="5A355597">
      <w:pPr>
        <w:rPr/>
      </w:pPr>
      <w:r>
        <w:rPr>
          <w:rFonts w:hint="default"/>
        </w:rPr>
        <w:t>制定课程成果： 写出本课程结束后，学生能做什么。使用布卢姆分类法等（如：分析、设计、评估、创造等高级动词）。</w:t>
      </w:r>
    </w:p>
    <w:p w14:paraId="74AB3BD2">
      <w:pPr>
        <w:rPr/>
      </w:pPr>
    </w:p>
    <w:p w14:paraId="2EB80B86">
      <w:pPr>
        <w:rPr/>
      </w:pPr>
      <w:r>
        <w:rPr>
          <w:rFonts w:hint="default"/>
        </w:rPr>
        <w:t>示例：</w:t>
      </w:r>
    </w:p>
    <w:p w14:paraId="6E51A4BA">
      <w:pPr>
        <w:rPr/>
      </w:pPr>
      <w:r>
        <w:rPr>
          <w:rFonts w:hint="default"/>
        </w:rPr>
        <w:t>传统表述：“学生理解市场营销的基本原理。”（模糊，不可测）</w:t>
      </w:r>
    </w:p>
    <w:p w14:paraId="4788B16E">
      <w:pPr>
        <w:rPr/>
      </w:pPr>
      <w:r>
        <w:rPr>
          <w:rFonts w:hint="default"/>
        </w:rPr>
        <w:t>OBE表述：“学生能够为给定的新产品，分析其目标市场，并制定一份包含4P策略的可执行营销计划书。”（具体，可测，有行为动词和产出物）</w:t>
      </w:r>
    </w:p>
    <w:p w14:paraId="0AB9057F">
      <w:pPr>
        <w:rPr/>
      </w:pPr>
    </w:p>
    <w:p w14:paraId="5C427C43">
      <w:pPr>
        <w:rPr>
          <w:rFonts w:hint="default"/>
        </w:rPr>
      </w:pPr>
      <w:r>
        <w:rPr>
          <w:rFonts w:hint="default"/>
          <w:b/>
          <w:bCs/>
        </w:rPr>
        <w:t>步骤二：设计反向的教学活动与内容</w:t>
      </w:r>
      <w:r>
        <w:rPr>
          <w:rFonts w:hint="default"/>
        </w:rPr>
        <w:br w:type="textWrapping"/>
      </w:r>
      <w:r>
        <w:rPr>
          <w:rFonts w:hint="default"/>
        </w:rPr>
        <w:t>根据定义的学习成果，来选择和设计教学内容、方法和学生活动，确保所有教学活动都直接指向成果的达成。</w:t>
      </w:r>
    </w:p>
    <w:p w14:paraId="286F0DD8">
      <w:pPr>
        <w:rPr/>
      </w:pPr>
    </w:p>
    <w:p w14:paraId="00BF70AC">
      <w:pPr>
        <w:rPr/>
      </w:pPr>
      <w:r>
        <w:rPr>
          <w:rFonts w:hint="default"/>
        </w:rPr>
        <w:t>方法：</w:t>
      </w:r>
    </w:p>
    <w:p w14:paraId="69C8468B">
      <w:pPr>
        <w:rPr/>
      </w:pPr>
      <w:r>
        <w:rPr>
          <w:rFonts w:hint="default"/>
        </w:rPr>
        <w:t>内容取舍： 与核心成果强相关的内容重点讲、深入讲；弱相关的内容简讲或学生自学；无关的内容果断舍弃。</w:t>
      </w:r>
    </w:p>
    <w:p w14:paraId="34FA5D5C">
      <w:pPr>
        <w:rPr/>
      </w:pPr>
      <w:r>
        <w:rPr>
          <w:rFonts w:hint="default"/>
        </w:rPr>
        <w:t>教学方法改革： 减少纯讲授，增加：</w:t>
      </w:r>
    </w:p>
    <w:p w14:paraId="7EC3B2BE">
      <w:pPr>
        <w:rPr/>
      </w:pPr>
      <w:r>
        <w:rPr>
          <w:rFonts w:hint="default"/>
        </w:rPr>
        <w:t>探究式学习： 案例研究、项目式学习、问题导向学习。</w:t>
      </w:r>
    </w:p>
    <w:p w14:paraId="04B76992">
      <w:pPr>
        <w:rPr/>
      </w:pPr>
      <w:r>
        <w:rPr>
          <w:rFonts w:hint="default"/>
        </w:rPr>
        <w:t>协作式学习： 小组讨论、团队项目、模拟演练。</w:t>
      </w:r>
    </w:p>
    <w:p w14:paraId="174B29DF">
      <w:pPr>
        <w:rPr/>
      </w:pPr>
      <w:r>
        <w:rPr>
          <w:rFonts w:hint="default"/>
        </w:rPr>
        <w:t>实践性学习： 实验、实训、实习、实地调研。</w:t>
      </w:r>
    </w:p>
    <w:p w14:paraId="7F8C77F5">
      <w:pPr>
        <w:rPr/>
      </w:pPr>
    </w:p>
    <w:p w14:paraId="6A1E6DD2">
      <w:pPr>
        <w:rPr/>
      </w:pPr>
      <w:r>
        <w:rPr>
          <w:rFonts w:hint="default"/>
        </w:rPr>
        <w:t>示例： 如果课程成果是“能设计一个小型数据库”，那么教学活动就应包括：讲解核心概念（少而精）-&gt; 分析经典案例 -&gt; 分组完成一个实际需求的项目 -&gt; 过程中教师提供辅导和反馈。</w:t>
      </w:r>
    </w:p>
    <w:p w14:paraId="293B60D7">
      <w:pPr>
        <w:rPr/>
      </w:pPr>
    </w:p>
    <w:p w14:paraId="1EFCE375">
      <w:pPr>
        <w:rPr>
          <w:rFonts w:hint="default"/>
        </w:rPr>
      </w:pPr>
      <w:r>
        <w:rPr>
          <w:rFonts w:hint="default"/>
          <w:b/>
          <w:bCs/>
        </w:rPr>
        <w:t>步骤三：实施持续、多元的教学评估</w:t>
      </w:r>
      <w:r>
        <w:rPr>
          <w:rFonts w:hint="default"/>
        </w:rPr>
        <w:br w:type="textWrapping"/>
      </w:r>
      <w:r>
        <w:rPr>
          <w:rFonts w:hint="default"/>
        </w:rPr>
        <w:t>评估不是为了“考倒”学生，而是为了收集学生达成学习成果的证据，并用于改进教学。</w:t>
      </w:r>
    </w:p>
    <w:p w14:paraId="6397C5F5">
      <w:pPr>
        <w:rPr/>
      </w:pPr>
    </w:p>
    <w:p w14:paraId="7B4B32C2">
      <w:pPr>
        <w:rPr/>
      </w:pPr>
      <w:r>
        <w:rPr>
          <w:rFonts w:hint="default"/>
        </w:rPr>
        <w:t>方法：</w:t>
      </w:r>
    </w:p>
    <w:p w14:paraId="71B958F9">
      <w:pPr>
        <w:rPr/>
      </w:pPr>
      <w:r>
        <w:rPr>
          <w:rFonts w:hint="default"/>
        </w:rPr>
        <w:t>评估与成果对齐： 每一项评估任务（作业、考试、项目）都必须明确对应到具体的学习成果。</w:t>
      </w:r>
    </w:p>
    <w:p w14:paraId="050CC1AB">
      <w:pPr>
        <w:rPr/>
      </w:pPr>
      <w:r>
        <w:rPr>
          <w:rFonts w:hint="default"/>
        </w:rPr>
        <w:t>多元化评估： 除了期末考试，大量采用：</w:t>
      </w:r>
    </w:p>
    <w:p w14:paraId="6C0FEE6B">
      <w:pPr>
        <w:rPr/>
      </w:pPr>
      <w:r>
        <w:rPr>
          <w:rFonts w:hint="default"/>
        </w:rPr>
        <w:t>形成性评估： 随堂测验、小组汇报、学习日记、课堂提问、项目中期评审。目的是提供及时反馈。</w:t>
      </w:r>
    </w:p>
    <w:p w14:paraId="378798F4">
      <w:pPr>
        <w:rPr/>
      </w:pPr>
      <w:r>
        <w:rPr>
          <w:rFonts w:hint="default"/>
        </w:rPr>
        <w:t>表现性评估： 项目成果、作品集、实验报告、演示文稿、公开演讲。这些更能体现综合能力。</w:t>
      </w:r>
    </w:p>
    <w:p w14:paraId="63EE6503">
      <w:pPr>
        <w:rPr/>
      </w:pPr>
      <w:r>
        <w:rPr>
          <w:rFonts w:hint="default"/>
        </w:rPr>
        <w:t>制定评分标准： 使用量规对表现性评估进行客观打分。量规应提前告知学生，使其明确高质量成果的标准。</w:t>
      </w:r>
    </w:p>
    <w:p w14:paraId="0A7D5B21">
      <w:pPr>
        <w:rPr/>
      </w:pPr>
    </w:p>
    <w:p w14:paraId="34BEA347">
      <w:pPr>
        <w:rPr>
          <w:rFonts w:hint="default"/>
        </w:rPr>
      </w:pPr>
      <w:r>
        <w:rPr>
          <w:rFonts w:hint="default"/>
          <w:b/>
          <w:bCs/>
        </w:rPr>
        <w:t>步骤四：建立闭环的持续改进机制</w:t>
      </w:r>
      <w:r>
        <w:rPr>
          <w:rFonts w:hint="default"/>
        </w:rPr>
        <w:br w:type="textWrapping"/>
      </w:r>
      <w:r>
        <w:rPr>
          <w:rFonts w:hint="default"/>
        </w:rPr>
        <w:t>OBE是一个动态循环。根据评估结果的数据，反思并调整教学。</w:t>
      </w:r>
    </w:p>
    <w:p w14:paraId="78B3F7D3">
      <w:pPr>
        <w:rPr/>
      </w:pPr>
    </w:p>
    <w:p w14:paraId="71BDEAE2">
      <w:pPr>
        <w:rPr/>
      </w:pPr>
      <w:r>
        <w:rPr>
          <w:rFonts w:hint="default"/>
        </w:rPr>
        <w:t>方法：</w:t>
      </w:r>
    </w:p>
    <w:p w14:paraId="0303BD1E">
      <w:pPr>
        <w:rPr/>
      </w:pPr>
      <w:r>
        <w:rPr>
          <w:rFonts w:hint="default"/>
        </w:rPr>
        <w:t>分析评估数据： 如果大部分学生在某个成果上表现不佳，是目标设定太高？教学内容不足？还是教学方法不当？</w:t>
      </w:r>
    </w:p>
    <w:p w14:paraId="73AC3BE3">
      <w:pPr>
        <w:rPr/>
      </w:pPr>
      <w:r>
        <w:rPr>
          <w:rFonts w:hint="default"/>
        </w:rPr>
        <w:t>收集多方反馈： 通过问卷、访谈等方式，收集学生、同行、行业专家对课程成果和教学的反馈。</w:t>
      </w:r>
    </w:p>
    <w:p w14:paraId="3A49949F">
      <w:pPr>
        <w:rPr/>
      </w:pPr>
      <w:r>
        <w:rPr>
          <w:rFonts w:hint="default"/>
        </w:rPr>
        <w:t>实施教学改进： 基于证据，修订学习成果、调整教学内容、改进教学方法或评估方式，进入下一个教学循环。</w:t>
      </w:r>
    </w:p>
    <w:p w14:paraId="7ED20619">
      <w:pPr>
        <w:rPr/>
      </w:pPr>
    </w:p>
    <w:p w14:paraId="5C42A95F">
      <w:pPr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三、一个简单的课程设计案例（《市场调研》课程）</w:t>
      </w:r>
    </w:p>
    <w:p w14:paraId="022946DA">
      <w:pPr>
        <w:rPr/>
      </w:pPr>
    </w:p>
    <w:p w14:paraId="5C9F8FC0">
      <w:pPr>
        <w:rPr/>
      </w:pPr>
      <w:r>
        <w:rPr>
          <w:rFonts w:hint="default"/>
        </w:rPr>
        <w:t>定义成果： 学完本课程，学生应能“针对一个真实的商业问题，独立设计一份科学的调查问卷，并组织实施有效的实地调研，最终撰写一份专业的调研报告”。</w:t>
      </w:r>
    </w:p>
    <w:p w14:paraId="58DE5DE7">
      <w:pPr>
        <w:rPr/>
      </w:pPr>
    </w:p>
    <w:p w14:paraId="5B514A2F">
      <w:pPr>
        <w:rPr>
          <w:b/>
          <w:bCs/>
        </w:rPr>
      </w:pPr>
      <w:r>
        <w:rPr>
          <w:rFonts w:hint="default"/>
          <w:b/>
          <w:bCs/>
        </w:rPr>
        <w:t>反向设计：</w:t>
      </w:r>
    </w:p>
    <w:p w14:paraId="713FDC69">
      <w:pPr>
        <w:rPr/>
      </w:pPr>
      <w:r>
        <w:rPr>
          <w:rFonts w:hint="default"/>
        </w:rPr>
        <w:t>内容： 重点讲问卷设计原则、抽样方法、数据质量控制、报告撰写规范。</w:t>
      </w:r>
    </w:p>
    <w:p w14:paraId="10D5B8DA">
      <w:pPr>
        <w:rPr/>
      </w:pPr>
      <w:r>
        <w:rPr>
          <w:rFonts w:hint="default"/>
        </w:rPr>
        <w:t>活动： 学生以小组形式，为学校周边一家真实店铺（如咖啡店）设计调研方案并执行。课堂成为方案讨论会、答辩会和复盘会。</w:t>
      </w:r>
    </w:p>
    <w:p w14:paraId="33F28DBF">
      <w:pPr>
        <w:rPr>
          <w:b/>
          <w:bCs/>
        </w:rPr>
      </w:pPr>
      <w:r>
        <w:rPr>
          <w:rFonts w:hint="default"/>
          <w:b/>
          <w:bCs/>
        </w:rPr>
        <w:t>多元评估：</w:t>
      </w:r>
    </w:p>
    <w:p w14:paraId="14C056A6">
      <w:pPr>
        <w:rPr/>
      </w:pPr>
      <w:r>
        <w:rPr>
          <w:rFonts w:hint="default"/>
        </w:rPr>
        <w:t>形成性评估： 小组方案提案（20%）、问卷初稿互评（10%）。</w:t>
      </w:r>
    </w:p>
    <w:p w14:paraId="382115F5">
      <w:pPr>
        <w:rPr/>
      </w:pPr>
      <w:r>
        <w:rPr>
          <w:rFonts w:hint="default"/>
        </w:rPr>
        <w:t>表现性评估： 最终完整的调研报告及原始数据（40%）、结课汇报（20%）。</w:t>
      </w:r>
    </w:p>
    <w:p w14:paraId="1DB97A42">
      <w:pPr>
        <w:rPr/>
      </w:pPr>
      <w:r>
        <w:rPr>
          <w:rFonts w:hint="default"/>
        </w:rPr>
        <w:t>知识性评估： 关于核心概念和伦理的随堂测验（10%）。</w:t>
      </w:r>
    </w:p>
    <w:p w14:paraId="4378E9AE">
      <w:pPr>
        <w:rPr/>
      </w:pPr>
      <w:r>
        <w:rPr>
          <w:rFonts w:hint="default"/>
        </w:rPr>
        <w:t>持续改进： 分析学生报告中在“抽样方法合理性”上的普遍弱点，下一年在该部分增加一个案例分析练习。</w:t>
      </w:r>
    </w:p>
    <w:p w14:paraId="0BB08464">
      <w:pPr>
        <w:rPr/>
      </w:pPr>
    </w:p>
    <w:p w14:paraId="0D36FA6E">
      <w:pPr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四、教师角色与心态的转变</w:t>
      </w:r>
    </w:p>
    <w:p w14:paraId="0A4C28F3">
      <w:pPr>
        <w:rPr/>
      </w:pPr>
    </w:p>
    <w:p w14:paraId="3A35F318">
      <w:pPr>
        <w:rPr/>
      </w:pPr>
      <w:r>
        <w:rPr>
          <w:rFonts w:hint="default"/>
        </w:rPr>
        <w:t>从“知识的传授者” 转变为 “学习的设计者、引导者和教练”。</w:t>
      </w:r>
    </w:p>
    <w:p w14:paraId="6C09BC90">
      <w:pPr>
        <w:rPr/>
      </w:pPr>
      <w:r>
        <w:rPr>
          <w:rFonts w:hint="default"/>
        </w:rPr>
        <w:t>从关注“我教完了” 转变为关注 “学生学会了、做到了”。</w:t>
      </w:r>
    </w:p>
    <w:p w14:paraId="30C7DAE5">
      <w:pPr>
        <w:rPr/>
      </w:pPr>
      <w:r>
        <w:rPr>
          <w:rFonts w:hint="default"/>
        </w:rPr>
        <w:t>从“裁判” 转变为 “伙伴”，与学生一起面对学习挑战。</w:t>
      </w:r>
    </w:p>
    <w:p w14:paraId="654098BF">
      <w:pPr>
        <w:rPr/>
      </w:pPr>
    </w:p>
    <w:p w14:paraId="64E1EE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F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2026-02-04T08:06:46Z</dcterms:created>
  <dc:creator>王静</dc:creator>
  <cp:lastModifiedBy>静</cp:lastModifiedBy>
  <dcterms:modified xsi:type="dcterms:W3CDTF">2026-02-04T08:11:05Z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eyJoZGlkIjoiZWRlYjNmNTQ1MzZkMTYyOWVmOTkwZmFjYjg5ZTRlZDgiLCJ1c2VySWQiOiIyODMwOTY2NDYifQ==</vt:lpwstr>
  </property>
  <property fmtid="{D5CDD505-2E9C-101B-9397-08002B2CF9AE}" pid="4" name="ICV">
    <vt:lpwstr>FD29310D7D5946178ED113A1CF7C2DF2_12</vt:lpwstr>
  </property>
</Properties>
</file>