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1C8CF96" w14:textId="77777777" w:rsidR="001F1749" w:rsidRDefault="001F1749"/>
    <w:p w14:paraId="1FD07BCB" w14:textId="77777777" w:rsidR="001F1749" w:rsidRDefault="001F1749">
      <w:pPr>
        <w:spacing w:before="3"/>
      </w:pPr>
    </w:p>
    <w:p w14:paraId="1C29ED78" w14:textId="77777777" w:rsidR="001F1749" w:rsidRDefault="00EF258E">
      <w:pPr>
        <w:spacing w:before="73"/>
        <w:ind w:left="1006" w:right="688"/>
        <w:jc w:val="center"/>
      </w:pPr>
      <w:r>
        <w:rPr>
          <w:sz w:val="23"/>
          <w:szCs w:val="23"/>
        </w:rPr>
        <w:t>AN ANALYSIS OF THE SO</w:t>
      </w:r>
      <w:r>
        <w:rPr>
          <w:sz w:val="15"/>
          <w:szCs w:val="15"/>
        </w:rPr>
        <w:t xml:space="preserve">2 </w:t>
      </w:r>
      <w:r>
        <w:rPr>
          <w:sz w:val="23"/>
          <w:szCs w:val="23"/>
        </w:rPr>
        <w:t>CAP AND TRADE MARKETABLE PERMIT SCHEME: ARE HOT SPOTS A CONCERN?</w:t>
      </w:r>
    </w:p>
    <w:p w14:paraId="0F87DC74" w14:textId="77777777" w:rsidR="001F1749" w:rsidRDefault="001F1749"/>
    <w:p w14:paraId="6A210908" w14:textId="77777777" w:rsidR="001F1749" w:rsidRDefault="001F1749"/>
    <w:p w14:paraId="10646F45" w14:textId="77777777" w:rsidR="001F1749" w:rsidRDefault="001F1749"/>
    <w:p w14:paraId="780D6B1A" w14:textId="77777777" w:rsidR="001F1749" w:rsidRDefault="001F1749"/>
    <w:p w14:paraId="35D2B7C3" w14:textId="77777777" w:rsidR="001F1749" w:rsidRDefault="001F1749">
      <w:pPr>
        <w:spacing w:before="8"/>
      </w:pPr>
    </w:p>
    <w:p w14:paraId="6FE07C4B" w14:textId="77777777" w:rsidR="001F1749" w:rsidRDefault="00EF258E">
      <w:pPr>
        <w:ind w:left="1004" w:right="688"/>
        <w:jc w:val="center"/>
      </w:pPr>
      <w:r>
        <w:rPr>
          <w:sz w:val="23"/>
          <w:szCs w:val="23"/>
        </w:rPr>
        <w:t>by</w:t>
      </w:r>
    </w:p>
    <w:p w14:paraId="120D3BE4" w14:textId="77777777" w:rsidR="001F1749" w:rsidRDefault="001F1749"/>
    <w:p w14:paraId="20BF4A02" w14:textId="77777777" w:rsidR="001F1749" w:rsidRDefault="001F1749"/>
    <w:p w14:paraId="658700B2" w14:textId="77777777" w:rsidR="001F1749" w:rsidRDefault="001F1749"/>
    <w:p w14:paraId="0732A1EE" w14:textId="77777777" w:rsidR="001F1749" w:rsidRDefault="001F1749"/>
    <w:p w14:paraId="3C7AE534" w14:textId="77777777" w:rsidR="001F1749" w:rsidRDefault="001F1749">
      <w:pPr>
        <w:spacing w:before="1"/>
      </w:pPr>
    </w:p>
    <w:p w14:paraId="475B66B8" w14:textId="77777777" w:rsidR="00E2576C" w:rsidRDefault="00DD1DA3">
      <w:pPr>
        <w:ind w:left="999" w:right="688"/>
        <w:jc w:val="center"/>
        <w:rPr>
          <w:sz w:val="23"/>
          <w:szCs w:val="23"/>
        </w:rPr>
      </w:pPr>
      <w:r>
        <w:rPr>
          <w:sz w:val="23"/>
          <w:szCs w:val="23"/>
        </w:rPr>
        <w:t>Carl Mackensen</w:t>
      </w:r>
      <w:r w:rsidR="00E2576C">
        <w:rPr>
          <w:sz w:val="23"/>
          <w:szCs w:val="23"/>
        </w:rPr>
        <w:t xml:space="preserve">, Lead Author </w:t>
      </w:r>
    </w:p>
    <w:p w14:paraId="6D8FCF52" w14:textId="77777777" w:rsidR="00E2576C" w:rsidRDefault="00E2576C">
      <w:pPr>
        <w:ind w:left="999" w:right="688"/>
        <w:jc w:val="center"/>
        <w:rPr>
          <w:sz w:val="23"/>
          <w:szCs w:val="23"/>
        </w:rPr>
      </w:pPr>
    </w:p>
    <w:p w14:paraId="152B8F06" w14:textId="431A9340" w:rsidR="00E2576C" w:rsidRDefault="00E2576C">
      <w:pPr>
        <w:ind w:left="999" w:right="688"/>
        <w:jc w:val="center"/>
        <w:rPr>
          <w:sz w:val="23"/>
          <w:szCs w:val="23"/>
        </w:rPr>
      </w:pPr>
      <w:r>
        <w:rPr>
          <w:sz w:val="23"/>
          <w:szCs w:val="23"/>
        </w:rPr>
        <w:t xml:space="preserve">and </w:t>
      </w:r>
    </w:p>
    <w:p w14:paraId="5448CCCD" w14:textId="77777777" w:rsidR="00E2576C" w:rsidRDefault="00E2576C">
      <w:pPr>
        <w:ind w:left="999" w:right="688"/>
        <w:jc w:val="center"/>
        <w:rPr>
          <w:sz w:val="23"/>
          <w:szCs w:val="23"/>
        </w:rPr>
      </w:pPr>
    </w:p>
    <w:p w14:paraId="51B7C924" w14:textId="41116B29" w:rsidR="001F1749" w:rsidRDefault="00E2576C">
      <w:pPr>
        <w:ind w:left="999" w:right="688"/>
        <w:jc w:val="center"/>
        <w:rPr>
          <w:sz w:val="23"/>
          <w:szCs w:val="23"/>
        </w:rPr>
      </w:pPr>
      <w:r>
        <w:rPr>
          <w:sz w:val="23"/>
          <w:szCs w:val="23"/>
        </w:rPr>
        <w:t>Team</w:t>
      </w:r>
    </w:p>
    <w:p w14:paraId="78B4A687" w14:textId="77777777" w:rsidR="00E27BDA" w:rsidRDefault="00E27BDA">
      <w:pPr>
        <w:ind w:left="999" w:right="688"/>
        <w:jc w:val="center"/>
        <w:rPr>
          <w:sz w:val="23"/>
          <w:szCs w:val="23"/>
        </w:rPr>
      </w:pPr>
    </w:p>
    <w:p w14:paraId="456586C6" w14:textId="77777777" w:rsidR="00E27BDA" w:rsidRDefault="00E27BDA">
      <w:pPr>
        <w:ind w:left="999" w:right="688"/>
        <w:jc w:val="center"/>
        <w:rPr>
          <w:sz w:val="23"/>
          <w:szCs w:val="23"/>
        </w:rPr>
      </w:pPr>
    </w:p>
    <w:p w14:paraId="479EB80A" w14:textId="77777777" w:rsidR="00E27BDA" w:rsidRDefault="00E27BDA">
      <w:pPr>
        <w:ind w:left="999" w:right="688"/>
        <w:jc w:val="center"/>
        <w:rPr>
          <w:sz w:val="23"/>
          <w:szCs w:val="23"/>
        </w:rPr>
      </w:pPr>
    </w:p>
    <w:p w14:paraId="271B6031" w14:textId="77777777" w:rsidR="00E27BDA" w:rsidRDefault="00E27BDA">
      <w:pPr>
        <w:ind w:left="999" w:right="688"/>
        <w:jc w:val="center"/>
        <w:rPr>
          <w:sz w:val="23"/>
          <w:szCs w:val="23"/>
        </w:rPr>
      </w:pPr>
    </w:p>
    <w:p w14:paraId="66199B8F" w14:textId="7262D0F5" w:rsidR="00E27BDA" w:rsidRDefault="00E27BDA" w:rsidP="00E27BDA">
      <w:pPr>
        <w:ind w:left="999" w:right="688"/>
        <w:jc w:val="center"/>
      </w:pPr>
      <w:r>
        <w:t>May 2016</w:t>
      </w:r>
    </w:p>
    <w:p w14:paraId="6045F64A" w14:textId="77777777" w:rsidR="00E27BDA" w:rsidRDefault="00E27BDA">
      <w:pPr>
        <w:ind w:left="999" w:right="688"/>
        <w:jc w:val="center"/>
        <w:rPr>
          <w:sz w:val="23"/>
          <w:szCs w:val="23"/>
        </w:rPr>
      </w:pPr>
    </w:p>
    <w:p w14:paraId="77066173" w14:textId="77777777" w:rsidR="00E27BDA" w:rsidRDefault="00E27BDA">
      <w:pPr>
        <w:ind w:left="999" w:right="688"/>
        <w:jc w:val="center"/>
        <w:rPr>
          <w:sz w:val="23"/>
          <w:szCs w:val="23"/>
        </w:rPr>
      </w:pPr>
    </w:p>
    <w:p w14:paraId="4AD5808C" w14:textId="77777777" w:rsidR="00E27BDA" w:rsidRDefault="00E27BDA">
      <w:pPr>
        <w:ind w:left="999" w:right="688"/>
        <w:jc w:val="center"/>
        <w:rPr>
          <w:sz w:val="23"/>
          <w:szCs w:val="23"/>
        </w:rPr>
      </w:pPr>
    </w:p>
    <w:p w14:paraId="53F732E6" w14:textId="77777777" w:rsidR="00E27BDA" w:rsidRDefault="00E27BDA">
      <w:pPr>
        <w:ind w:left="999" w:right="688"/>
        <w:jc w:val="center"/>
        <w:rPr>
          <w:sz w:val="23"/>
          <w:szCs w:val="23"/>
        </w:rPr>
      </w:pPr>
    </w:p>
    <w:p w14:paraId="4D6890F9" w14:textId="77777777" w:rsidR="00E27BDA" w:rsidRDefault="00E27BDA">
      <w:pPr>
        <w:ind w:left="999" w:right="688"/>
        <w:jc w:val="center"/>
        <w:rPr>
          <w:sz w:val="23"/>
          <w:szCs w:val="23"/>
        </w:rPr>
      </w:pPr>
    </w:p>
    <w:p w14:paraId="3F8E7E1E" w14:textId="77777777" w:rsidR="00E27BDA" w:rsidRDefault="00E27BDA">
      <w:pPr>
        <w:ind w:left="999" w:right="688"/>
        <w:jc w:val="center"/>
        <w:rPr>
          <w:sz w:val="23"/>
          <w:szCs w:val="23"/>
        </w:rPr>
      </w:pPr>
    </w:p>
    <w:p w14:paraId="588920AF" w14:textId="77777777" w:rsidR="00E27BDA" w:rsidRDefault="00E27BDA">
      <w:pPr>
        <w:ind w:left="999" w:right="688"/>
        <w:jc w:val="center"/>
        <w:rPr>
          <w:sz w:val="23"/>
          <w:szCs w:val="23"/>
        </w:rPr>
      </w:pPr>
    </w:p>
    <w:p w14:paraId="1FB7C6F9" w14:textId="77777777" w:rsidR="00E27BDA" w:rsidRDefault="00E27BDA">
      <w:pPr>
        <w:ind w:left="999" w:right="688"/>
        <w:jc w:val="center"/>
        <w:rPr>
          <w:sz w:val="23"/>
          <w:szCs w:val="23"/>
        </w:rPr>
      </w:pPr>
    </w:p>
    <w:p w14:paraId="6858F96C" w14:textId="77777777" w:rsidR="00E27BDA" w:rsidRDefault="00E27BDA">
      <w:pPr>
        <w:ind w:left="999" w:right="688"/>
        <w:jc w:val="center"/>
        <w:rPr>
          <w:sz w:val="23"/>
          <w:szCs w:val="23"/>
        </w:rPr>
      </w:pPr>
    </w:p>
    <w:p w14:paraId="3865A290" w14:textId="77777777" w:rsidR="00E27BDA" w:rsidRDefault="00E27BDA">
      <w:pPr>
        <w:ind w:left="999" w:right="688"/>
        <w:jc w:val="center"/>
        <w:rPr>
          <w:sz w:val="23"/>
          <w:szCs w:val="23"/>
        </w:rPr>
      </w:pPr>
    </w:p>
    <w:p w14:paraId="2E1A5198" w14:textId="77777777" w:rsidR="00E27BDA" w:rsidRDefault="00E27BDA">
      <w:pPr>
        <w:ind w:left="999" w:right="688"/>
        <w:jc w:val="center"/>
        <w:rPr>
          <w:sz w:val="23"/>
          <w:szCs w:val="23"/>
        </w:rPr>
      </w:pPr>
    </w:p>
    <w:p w14:paraId="42B9018B" w14:textId="77777777" w:rsidR="00E27BDA" w:rsidRDefault="00E27BDA">
      <w:pPr>
        <w:ind w:left="999" w:right="688"/>
        <w:jc w:val="center"/>
        <w:rPr>
          <w:sz w:val="23"/>
          <w:szCs w:val="23"/>
        </w:rPr>
      </w:pPr>
    </w:p>
    <w:p w14:paraId="4E7D1CB8" w14:textId="77777777" w:rsidR="00E27BDA" w:rsidRDefault="00E27BDA">
      <w:pPr>
        <w:ind w:left="999" w:right="688"/>
        <w:jc w:val="center"/>
        <w:rPr>
          <w:sz w:val="23"/>
          <w:szCs w:val="23"/>
        </w:rPr>
      </w:pPr>
    </w:p>
    <w:p w14:paraId="30C395E9" w14:textId="77777777" w:rsidR="00E27BDA" w:rsidRDefault="00E27BDA">
      <w:pPr>
        <w:ind w:left="999" w:right="688"/>
        <w:jc w:val="center"/>
        <w:rPr>
          <w:sz w:val="23"/>
          <w:szCs w:val="23"/>
        </w:rPr>
      </w:pPr>
    </w:p>
    <w:p w14:paraId="5A5AE808" w14:textId="77777777" w:rsidR="00E27BDA" w:rsidRDefault="00E27BDA">
      <w:pPr>
        <w:ind w:left="999" w:right="688"/>
        <w:jc w:val="center"/>
        <w:rPr>
          <w:sz w:val="23"/>
          <w:szCs w:val="23"/>
        </w:rPr>
      </w:pPr>
    </w:p>
    <w:p w14:paraId="6C845352" w14:textId="77777777" w:rsidR="00E27BDA" w:rsidRDefault="00E27BDA">
      <w:pPr>
        <w:ind w:left="999" w:right="688"/>
        <w:jc w:val="center"/>
        <w:rPr>
          <w:sz w:val="23"/>
          <w:szCs w:val="23"/>
        </w:rPr>
      </w:pPr>
    </w:p>
    <w:p w14:paraId="2B7D5784" w14:textId="77777777" w:rsidR="00E27BDA" w:rsidRDefault="00E27BDA">
      <w:pPr>
        <w:ind w:left="999" w:right="688"/>
        <w:jc w:val="center"/>
        <w:rPr>
          <w:sz w:val="23"/>
          <w:szCs w:val="23"/>
        </w:rPr>
      </w:pPr>
    </w:p>
    <w:p w14:paraId="7BB159CA" w14:textId="77777777" w:rsidR="00E27BDA" w:rsidRDefault="00E27BDA">
      <w:pPr>
        <w:ind w:left="999" w:right="688"/>
        <w:jc w:val="center"/>
        <w:rPr>
          <w:sz w:val="23"/>
          <w:szCs w:val="23"/>
        </w:rPr>
      </w:pPr>
    </w:p>
    <w:p w14:paraId="2F0730E0" w14:textId="66146AC0" w:rsidR="00E27BDA" w:rsidRDefault="00E27BDA">
      <w:pPr>
        <w:ind w:left="999" w:right="688"/>
        <w:jc w:val="center"/>
      </w:pPr>
      <w:r w:rsidRPr="00E27BDA">
        <w:t>SIPA U6501</w:t>
      </w:r>
      <w:r w:rsidRPr="00E27BDA">
        <w:tab/>
        <w:t>Quantitative Analysis II for International &amp; Public Affairs</w:t>
      </w:r>
    </w:p>
    <w:p w14:paraId="62F02BF9" w14:textId="77777777" w:rsidR="00E27BDA" w:rsidRDefault="00E27BDA">
      <w:pPr>
        <w:ind w:left="999" w:right="688"/>
        <w:jc w:val="center"/>
      </w:pPr>
    </w:p>
    <w:p w14:paraId="32D3EBB0" w14:textId="77777777" w:rsidR="00E27BDA" w:rsidRDefault="00E27BDA">
      <w:pPr>
        <w:ind w:left="999" w:right="688"/>
        <w:jc w:val="center"/>
      </w:pPr>
    </w:p>
    <w:p w14:paraId="27A99F0B" w14:textId="77777777" w:rsidR="001F1749" w:rsidRDefault="00EF258E" w:rsidP="00E7308C">
      <w:pPr>
        <w:pStyle w:val="Heading1"/>
        <w:spacing w:before="74" w:line="480" w:lineRule="auto"/>
        <w:ind w:left="998" w:right="688"/>
        <w:jc w:val="center"/>
      </w:pPr>
      <w:r>
        <w:lastRenderedPageBreak/>
        <w:t>Table of Contents</w:t>
      </w:r>
    </w:p>
    <w:p w14:paraId="31473978" w14:textId="77777777" w:rsidR="001F1749" w:rsidRDefault="00EF258E">
      <w:pPr>
        <w:spacing w:before="74" w:line="480" w:lineRule="auto"/>
        <w:ind w:left="422" w:right="6225"/>
      </w:pPr>
      <w:r>
        <w:rPr>
          <w:b/>
          <w:sz w:val="23"/>
          <w:szCs w:val="23"/>
        </w:rPr>
        <w:t>I Abstract</w:t>
      </w:r>
    </w:p>
    <w:p w14:paraId="14748D95" w14:textId="77777777" w:rsidR="001F1749" w:rsidRDefault="00EF258E">
      <w:pPr>
        <w:spacing w:before="74" w:line="480" w:lineRule="auto"/>
        <w:ind w:left="422" w:right="6225"/>
        <w:rPr>
          <w:b/>
          <w:sz w:val="23"/>
          <w:szCs w:val="23"/>
        </w:rPr>
      </w:pPr>
      <w:r>
        <w:rPr>
          <w:b/>
          <w:sz w:val="23"/>
          <w:szCs w:val="23"/>
        </w:rPr>
        <w:t>II Introduction</w:t>
      </w:r>
    </w:p>
    <w:p w14:paraId="56685090" w14:textId="77777777" w:rsidR="00E7308C" w:rsidRDefault="00E7308C" w:rsidP="00E7308C">
      <w:pPr>
        <w:spacing w:before="74" w:line="480" w:lineRule="auto"/>
        <w:ind w:left="422" w:right="1440"/>
      </w:pPr>
      <w:r>
        <w:rPr>
          <w:b/>
          <w:sz w:val="23"/>
          <w:szCs w:val="23"/>
        </w:rPr>
        <w:t>III Literature Review</w:t>
      </w:r>
    </w:p>
    <w:p w14:paraId="7AE7906E" w14:textId="77777777" w:rsidR="001F1749" w:rsidRDefault="00EF258E" w:rsidP="00E7308C">
      <w:pPr>
        <w:spacing w:before="13" w:line="480" w:lineRule="auto"/>
        <w:ind w:left="422"/>
      </w:pPr>
      <w:r>
        <w:rPr>
          <w:b/>
          <w:sz w:val="23"/>
          <w:szCs w:val="23"/>
        </w:rPr>
        <w:t>IV Data and Methods</w:t>
      </w:r>
    </w:p>
    <w:p w14:paraId="209CD049" w14:textId="77777777" w:rsidR="001F1749" w:rsidRDefault="00EF258E" w:rsidP="00E7308C">
      <w:pPr>
        <w:spacing w:before="13" w:line="480" w:lineRule="auto"/>
        <w:ind w:left="422"/>
      </w:pPr>
      <w:r>
        <w:rPr>
          <w:b/>
          <w:sz w:val="23"/>
          <w:szCs w:val="23"/>
        </w:rPr>
        <w:t>V Results and Discussion</w:t>
      </w:r>
    </w:p>
    <w:p w14:paraId="3AEF51F8" w14:textId="77777777" w:rsidR="001F1749" w:rsidRDefault="00EF258E" w:rsidP="00E7308C">
      <w:pPr>
        <w:spacing w:before="13" w:line="480" w:lineRule="auto"/>
        <w:ind w:left="422"/>
      </w:pPr>
      <w:r>
        <w:rPr>
          <w:b/>
          <w:sz w:val="23"/>
          <w:szCs w:val="23"/>
        </w:rPr>
        <w:t xml:space="preserve">VI Conclusion </w:t>
      </w:r>
    </w:p>
    <w:p w14:paraId="0A285B95" w14:textId="77777777" w:rsidR="001F1749" w:rsidRDefault="00EF258E" w:rsidP="00E7308C">
      <w:pPr>
        <w:spacing w:before="8" w:line="480" w:lineRule="auto"/>
        <w:ind w:left="422"/>
      </w:pPr>
      <w:r>
        <w:rPr>
          <w:b/>
          <w:sz w:val="23"/>
          <w:szCs w:val="23"/>
        </w:rPr>
        <w:t xml:space="preserve">VII Bibliography </w:t>
      </w:r>
    </w:p>
    <w:p w14:paraId="494E175B" w14:textId="77777777" w:rsidR="001F1749" w:rsidRDefault="00EF258E" w:rsidP="00E7308C">
      <w:pPr>
        <w:spacing w:before="8" w:line="480" w:lineRule="auto"/>
        <w:ind w:left="422"/>
      </w:pPr>
      <w:r>
        <w:rPr>
          <w:b/>
          <w:sz w:val="23"/>
          <w:szCs w:val="23"/>
        </w:rPr>
        <w:t>VII</w:t>
      </w:r>
      <w:r w:rsidR="00155F27">
        <w:rPr>
          <w:b/>
          <w:sz w:val="23"/>
          <w:szCs w:val="23"/>
        </w:rPr>
        <w:t>I</w:t>
      </w:r>
      <w:r>
        <w:rPr>
          <w:b/>
          <w:sz w:val="23"/>
          <w:szCs w:val="23"/>
        </w:rPr>
        <w:t xml:space="preserve"> Appendix </w:t>
      </w:r>
    </w:p>
    <w:p w14:paraId="53E2C8B0" w14:textId="77777777" w:rsidR="001F1749" w:rsidRDefault="001F1749">
      <w:pPr>
        <w:spacing w:before="7" w:line="480" w:lineRule="auto"/>
      </w:pPr>
    </w:p>
    <w:p w14:paraId="3E39DE7B" w14:textId="77777777" w:rsidR="001F1749" w:rsidRDefault="001F1749">
      <w:pPr>
        <w:spacing w:before="7" w:line="480" w:lineRule="auto"/>
      </w:pPr>
    </w:p>
    <w:p w14:paraId="4D18E6A8" w14:textId="77777777" w:rsidR="001F1749" w:rsidRDefault="001F1749">
      <w:pPr>
        <w:spacing w:before="7" w:line="480" w:lineRule="auto"/>
      </w:pPr>
    </w:p>
    <w:p w14:paraId="4F5589EE" w14:textId="77777777" w:rsidR="001F1749" w:rsidRDefault="001F1749">
      <w:pPr>
        <w:spacing w:before="7" w:line="480" w:lineRule="auto"/>
      </w:pPr>
    </w:p>
    <w:p w14:paraId="1F995391" w14:textId="77777777" w:rsidR="001F1749" w:rsidRDefault="001F1749">
      <w:pPr>
        <w:spacing w:before="7" w:line="480" w:lineRule="auto"/>
      </w:pPr>
    </w:p>
    <w:p w14:paraId="5827AEED" w14:textId="77777777" w:rsidR="001F1749" w:rsidRDefault="001F1749">
      <w:pPr>
        <w:spacing w:before="7" w:line="480" w:lineRule="auto"/>
      </w:pPr>
    </w:p>
    <w:p w14:paraId="056E9E5B" w14:textId="77777777" w:rsidR="001F1749" w:rsidRDefault="001F1749">
      <w:pPr>
        <w:spacing w:before="7" w:line="480" w:lineRule="auto"/>
      </w:pPr>
    </w:p>
    <w:p w14:paraId="7FBDBDE1" w14:textId="77777777" w:rsidR="001F1749" w:rsidRDefault="001F1749">
      <w:pPr>
        <w:spacing w:before="7" w:line="480" w:lineRule="auto"/>
      </w:pPr>
    </w:p>
    <w:p w14:paraId="2D2A631D" w14:textId="77777777" w:rsidR="001F1749" w:rsidRDefault="001F1749">
      <w:pPr>
        <w:spacing w:before="7" w:line="480" w:lineRule="auto"/>
      </w:pPr>
    </w:p>
    <w:p w14:paraId="4E292B79" w14:textId="77777777" w:rsidR="001F1749" w:rsidRDefault="001F1749">
      <w:pPr>
        <w:spacing w:before="7" w:line="480" w:lineRule="auto"/>
      </w:pPr>
    </w:p>
    <w:p w14:paraId="1C7595EE" w14:textId="77777777" w:rsidR="00E7308C" w:rsidRDefault="00E7308C">
      <w:pPr>
        <w:spacing w:before="7" w:line="480" w:lineRule="auto"/>
      </w:pPr>
    </w:p>
    <w:p w14:paraId="66057E2F" w14:textId="77777777" w:rsidR="00E7308C" w:rsidRDefault="00E7308C">
      <w:pPr>
        <w:spacing w:before="7" w:line="480" w:lineRule="auto"/>
      </w:pPr>
    </w:p>
    <w:p w14:paraId="7BC6D026" w14:textId="77777777" w:rsidR="00E7308C" w:rsidRDefault="00E7308C">
      <w:pPr>
        <w:spacing w:before="7" w:line="480" w:lineRule="auto"/>
      </w:pPr>
    </w:p>
    <w:p w14:paraId="152C4468" w14:textId="77777777" w:rsidR="00E7308C" w:rsidRDefault="00E7308C">
      <w:pPr>
        <w:spacing w:before="7" w:line="480" w:lineRule="auto"/>
      </w:pPr>
    </w:p>
    <w:p w14:paraId="5E491455" w14:textId="77777777" w:rsidR="001F1749" w:rsidRPr="00155F27" w:rsidRDefault="00EF258E" w:rsidP="00302516">
      <w:pPr>
        <w:numPr>
          <w:ilvl w:val="0"/>
          <w:numId w:val="1"/>
        </w:numPr>
        <w:tabs>
          <w:tab w:val="left" w:pos="572"/>
        </w:tabs>
        <w:spacing w:before="74" w:line="480" w:lineRule="auto"/>
        <w:ind w:hanging="149"/>
        <w:jc w:val="both"/>
        <w:rPr>
          <w:b/>
          <w:sz w:val="23"/>
          <w:szCs w:val="23"/>
        </w:rPr>
      </w:pPr>
      <w:r>
        <w:rPr>
          <w:b/>
          <w:sz w:val="23"/>
          <w:szCs w:val="23"/>
          <w:u w:val="single"/>
        </w:rPr>
        <w:t>Abstract</w:t>
      </w:r>
    </w:p>
    <w:p w14:paraId="611C956B" w14:textId="206EAF68" w:rsidR="0063349F" w:rsidRDefault="00DD1DA3" w:rsidP="00B65FC5">
      <w:pPr>
        <w:spacing w:before="73" w:line="480" w:lineRule="auto"/>
        <w:ind w:left="422" w:right="109" w:firstLine="700"/>
        <w:jc w:val="both"/>
        <w:rPr>
          <w:sz w:val="23"/>
          <w:szCs w:val="23"/>
        </w:rPr>
      </w:pPr>
      <w:r>
        <w:rPr>
          <w:sz w:val="23"/>
          <w:szCs w:val="23"/>
        </w:rPr>
        <w:lastRenderedPageBreak/>
        <w:t>The objective of this</w:t>
      </w:r>
      <w:r w:rsidR="00EF258E">
        <w:rPr>
          <w:sz w:val="23"/>
          <w:szCs w:val="23"/>
        </w:rPr>
        <w:t xml:space="preserve"> project is to analyze the marketable permit scheme for sulfur dio</w:t>
      </w:r>
      <w:r>
        <w:rPr>
          <w:sz w:val="23"/>
          <w:szCs w:val="23"/>
        </w:rPr>
        <w:t>xide emissions. Specifically, I</w:t>
      </w:r>
      <w:r w:rsidR="00EF258E">
        <w:rPr>
          <w:sz w:val="23"/>
          <w:szCs w:val="23"/>
        </w:rPr>
        <w:t xml:space="preserve"> will look at how this program has worked at th</w:t>
      </w:r>
      <w:r>
        <w:rPr>
          <w:sz w:val="23"/>
          <w:szCs w:val="23"/>
        </w:rPr>
        <w:t>e national and state levels.  I</w:t>
      </w:r>
      <w:r w:rsidR="00EF258E">
        <w:rPr>
          <w:sz w:val="23"/>
          <w:szCs w:val="23"/>
        </w:rPr>
        <w:t xml:space="preserve"> examine the national level through a fixed-effects model. </w:t>
      </w:r>
      <w:r>
        <w:rPr>
          <w:sz w:val="23"/>
          <w:szCs w:val="23"/>
        </w:rPr>
        <w:t xml:space="preserve"> I</w:t>
      </w:r>
      <w:r w:rsidR="00EF258E">
        <w:rPr>
          <w:sz w:val="23"/>
          <w:szCs w:val="23"/>
        </w:rPr>
        <w:t xml:space="preserve"> then go on to look at whether Cap and Trade has resulted in the development of hotspots within specific states.  As SO2 is a regional pollutant, and no geographic or temporal restrictions were put in place at the start of the program, SO2 emission hot </w:t>
      </w:r>
      <w:r w:rsidR="00B65FC5">
        <w:rPr>
          <w:sz w:val="23"/>
          <w:szCs w:val="23"/>
        </w:rPr>
        <w:t xml:space="preserve">spots could well be a concern. </w:t>
      </w:r>
      <w:r>
        <w:rPr>
          <w:sz w:val="23"/>
          <w:szCs w:val="23"/>
        </w:rPr>
        <w:t>My</w:t>
      </w:r>
      <w:r w:rsidR="00EF258E">
        <w:rPr>
          <w:sz w:val="23"/>
          <w:szCs w:val="23"/>
        </w:rPr>
        <w:t xml:space="preserve"> data are directly from EPA and EIA, and are comprised of several merged datasets.  They are panel data for 48 states and regions of the United States, from years 1980, 19</w:t>
      </w:r>
      <w:r>
        <w:rPr>
          <w:sz w:val="23"/>
          <w:szCs w:val="23"/>
        </w:rPr>
        <w:t>85, 1990, and 1995 to 2013.  My</w:t>
      </w:r>
      <w:r w:rsidR="00EF258E">
        <w:rPr>
          <w:sz w:val="23"/>
          <w:szCs w:val="23"/>
        </w:rPr>
        <w:t xml:space="preserve"> primary dependent variable was SO2 emi</w:t>
      </w:r>
      <w:r>
        <w:rPr>
          <w:sz w:val="23"/>
          <w:szCs w:val="23"/>
        </w:rPr>
        <w:t>ssions, and the remainder of my</w:t>
      </w:r>
      <w:r w:rsidR="00EF258E">
        <w:rPr>
          <w:sz w:val="23"/>
          <w:szCs w:val="23"/>
        </w:rPr>
        <w:t xml:space="preserve"> variables were additi</w:t>
      </w:r>
      <w:r>
        <w:rPr>
          <w:sz w:val="23"/>
          <w:szCs w:val="23"/>
        </w:rPr>
        <w:t>onal explanatory variables.  My</w:t>
      </w:r>
      <w:r w:rsidR="00EF258E">
        <w:rPr>
          <w:sz w:val="23"/>
          <w:szCs w:val="23"/>
        </w:rPr>
        <w:t xml:space="preserve"> analysis took the form of running a </w:t>
      </w:r>
      <w:r>
        <w:rPr>
          <w:sz w:val="23"/>
          <w:szCs w:val="23"/>
        </w:rPr>
        <w:t>number of regressions so that I</w:t>
      </w:r>
      <w:r w:rsidR="00EF258E">
        <w:rPr>
          <w:sz w:val="23"/>
          <w:szCs w:val="23"/>
        </w:rPr>
        <w:t xml:space="preserve"> could find out which/how many states experienced an increase in SO2 levels. Particularly, stage 1 of the program (1995 to 1999) and stage 2 of the program (2000 to 2013) were compared to the base period of </w:t>
      </w:r>
      <w:r>
        <w:rPr>
          <w:sz w:val="23"/>
          <w:szCs w:val="23"/>
        </w:rPr>
        <w:t>stage 0 (1980, 1985, 1990).  My</w:t>
      </w:r>
      <w:r w:rsidR="00EF258E">
        <w:rPr>
          <w:sz w:val="23"/>
          <w:szCs w:val="23"/>
        </w:rPr>
        <w:t xml:space="preserve"> fixed effects model found that emissions decreased significantly for stages 1 and 2 at the nation</w:t>
      </w:r>
      <w:r>
        <w:rPr>
          <w:sz w:val="23"/>
          <w:szCs w:val="23"/>
        </w:rPr>
        <w:t>al level.  I</w:t>
      </w:r>
      <w:r w:rsidR="00EF258E">
        <w:rPr>
          <w:sz w:val="23"/>
          <w:szCs w:val="23"/>
        </w:rPr>
        <w:t xml:space="preserve"> also found, through running 48 individual regressions, that at the state- level, while for the most part states experienced a significant drop in SO2 emissions, during stage 1 of the program relative to the period before the program (stage 0), there were a number of states which experienced significant increases in the pollutant at stage 1 relative to stage 0. There were also fewer states which experienced positive SO2 emissions during stage 2 relative to s</w:t>
      </w:r>
      <w:r>
        <w:rPr>
          <w:sz w:val="23"/>
          <w:szCs w:val="23"/>
        </w:rPr>
        <w:t>tage 0.  The implications of my</w:t>
      </w:r>
      <w:r w:rsidR="00EF258E">
        <w:rPr>
          <w:sz w:val="23"/>
          <w:szCs w:val="23"/>
        </w:rPr>
        <w:t xml:space="preserve"> findings are that while the program worked well at the national level, some areas actually experienced a spike in emissions.  </w:t>
      </w:r>
    </w:p>
    <w:p w14:paraId="68628B2E" w14:textId="77777777" w:rsidR="00B65FC5" w:rsidRPr="00B65FC5" w:rsidRDefault="00B65FC5" w:rsidP="00B65FC5">
      <w:pPr>
        <w:spacing w:before="73" w:line="480" w:lineRule="auto"/>
        <w:ind w:left="422" w:right="109" w:firstLine="700"/>
        <w:jc w:val="both"/>
        <w:rPr>
          <w:sz w:val="23"/>
          <w:szCs w:val="23"/>
        </w:rPr>
      </w:pPr>
    </w:p>
    <w:p w14:paraId="2B128605" w14:textId="77777777" w:rsidR="001F1749" w:rsidRDefault="00EF258E" w:rsidP="00302516">
      <w:pPr>
        <w:pStyle w:val="Heading1"/>
        <w:numPr>
          <w:ilvl w:val="0"/>
          <w:numId w:val="1"/>
        </w:numPr>
        <w:tabs>
          <w:tab w:val="left" w:pos="663"/>
        </w:tabs>
        <w:spacing w:line="480" w:lineRule="auto"/>
        <w:ind w:left="662" w:hanging="240"/>
        <w:jc w:val="both"/>
      </w:pPr>
      <w:r>
        <w:rPr>
          <w:u w:val="single"/>
        </w:rPr>
        <w:t>Introduction</w:t>
      </w:r>
    </w:p>
    <w:p w14:paraId="00AC3C58" w14:textId="77777777" w:rsidR="001F1749" w:rsidRDefault="00EF258E" w:rsidP="00302516">
      <w:pPr>
        <w:spacing w:before="73" w:line="480" w:lineRule="auto"/>
        <w:ind w:left="422" w:right="258" w:firstLine="700"/>
        <w:jc w:val="both"/>
      </w:pPr>
      <w:bookmarkStart w:id="0" w:name="h.gjdgxs" w:colFirst="0" w:colLast="0"/>
      <w:bookmarkEnd w:id="0"/>
      <w:r>
        <w:rPr>
          <w:sz w:val="23"/>
          <w:szCs w:val="23"/>
        </w:rPr>
        <w:t>Within the realms of both the hard and soft sciences, pollution is a salient concern. We are only beginning to understand with full measure the deep and lasting impacts that various types of pollution have on ourselves, and the environment which we live in. In our attempt to understand, and therefore (hopefully) reduce the damages which would accrue as a result of pollution, we find ourselves face to face with a number of concerns. How much pollution is optimal, if any?  Wh</w:t>
      </w:r>
      <w:r w:rsidR="00E7308C">
        <w:rPr>
          <w:sz w:val="23"/>
          <w:szCs w:val="23"/>
        </w:rPr>
        <w:t xml:space="preserve">at is sustainable?  How can we </w:t>
      </w:r>
      <w:r>
        <w:rPr>
          <w:sz w:val="23"/>
          <w:szCs w:val="23"/>
        </w:rPr>
        <w:t>assure that firms are held accountable for their actions? How can they fully in</w:t>
      </w:r>
      <w:r w:rsidR="00E7308C">
        <w:rPr>
          <w:sz w:val="23"/>
          <w:szCs w:val="23"/>
        </w:rPr>
        <w:t xml:space="preserve">ternalize </w:t>
      </w:r>
      <w:r>
        <w:rPr>
          <w:sz w:val="23"/>
          <w:szCs w:val="23"/>
        </w:rPr>
        <w:t>their real costs of production?  How can we assure that what we are doing is in fact for the best?  Statistics allows us to attempt answering such a diverse array of questions.</w:t>
      </w:r>
    </w:p>
    <w:p w14:paraId="40CF624B" w14:textId="1664C0B4" w:rsidR="00302516" w:rsidRDefault="00EF258E" w:rsidP="00957A00">
      <w:pPr>
        <w:spacing w:line="480" w:lineRule="auto"/>
        <w:ind w:left="422" w:right="279" w:firstLine="700"/>
        <w:jc w:val="both"/>
        <w:rPr>
          <w:sz w:val="23"/>
          <w:szCs w:val="23"/>
        </w:rPr>
      </w:pPr>
      <w:r>
        <w:rPr>
          <w:sz w:val="23"/>
          <w:szCs w:val="23"/>
        </w:rPr>
        <w:t>One solution that has been offered in an attempt to curb air pollution specifically is that of a marketable permit scheme. This paper will analyze a real world example of the implementation of such a permit scheme, specifically the SO</w:t>
      </w:r>
      <w:r>
        <w:rPr>
          <w:sz w:val="15"/>
          <w:szCs w:val="15"/>
        </w:rPr>
        <w:t xml:space="preserve">2 </w:t>
      </w:r>
      <w:r>
        <w:rPr>
          <w:sz w:val="23"/>
          <w:szCs w:val="23"/>
        </w:rPr>
        <w:t>Cap-and-Trade (hereafter CAT) scheme of 1990.  Nationally, the CAT plan has enjoyed great success,</w:t>
      </w:r>
      <w:r>
        <w:t xml:space="preserve"> </w:t>
      </w:r>
      <w:r>
        <w:rPr>
          <w:sz w:val="23"/>
          <w:szCs w:val="23"/>
        </w:rPr>
        <w:t>but examination of the literature points towards a current</w:t>
      </w:r>
      <w:r w:rsidR="00E7308C">
        <w:rPr>
          <w:sz w:val="23"/>
          <w:szCs w:val="23"/>
        </w:rPr>
        <w:t xml:space="preserve"> divide in analysis concerning </w:t>
      </w:r>
      <w:r>
        <w:rPr>
          <w:sz w:val="23"/>
          <w:szCs w:val="23"/>
        </w:rPr>
        <w:t xml:space="preserve">the results accrued by the CAT plan, and this revolves </w:t>
      </w:r>
      <w:r w:rsidR="00E7308C">
        <w:rPr>
          <w:sz w:val="23"/>
          <w:szCs w:val="23"/>
        </w:rPr>
        <w:t>around the possible development</w:t>
      </w:r>
      <w:r>
        <w:rPr>
          <w:sz w:val="23"/>
          <w:szCs w:val="23"/>
        </w:rPr>
        <w:t xml:space="preserve"> of unforeseen externalities. Critics maintain that, due to the national trade of pollution permits, local</w:t>
      </w:r>
      <w:r w:rsidR="006836C2">
        <w:rPr>
          <w:sz w:val="23"/>
          <w:szCs w:val="23"/>
        </w:rPr>
        <w:t>ized ‘hot</w:t>
      </w:r>
      <w:r>
        <w:rPr>
          <w:sz w:val="23"/>
          <w:szCs w:val="23"/>
        </w:rPr>
        <w:t>spots’ of pollution have formed. In</w:t>
      </w:r>
      <w:r w:rsidR="00E7308C">
        <w:rPr>
          <w:sz w:val="23"/>
          <w:szCs w:val="23"/>
        </w:rPr>
        <w:t xml:space="preserve"> an effort to better understand</w:t>
      </w:r>
      <w:r>
        <w:rPr>
          <w:sz w:val="23"/>
          <w:szCs w:val="23"/>
        </w:rPr>
        <w:t xml:space="preserve"> the current st</w:t>
      </w:r>
      <w:r w:rsidR="00897DA3">
        <w:rPr>
          <w:sz w:val="23"/>
          <w:szCs w:val="23"/>
        </w:rPr>
        <w:t>ate of affairs regarding CAT, I</w:t>
      </w:r>
      <w:r>
        <w:rPr>
          <w:sz w:val="23"/>
          <w:szCs w:val="23"/>
        </w:rPr>
        <w:t xml:space="preserve"> analyze the data via s</w:t>
      </w:r>
      <w:r w:rsidR="00897DA3">
        <w:rPr>
          <w:sz w:val="23"/>
          <w:szCs w:val="23"/>
        </w:rPr>
        <w:t>everal regression analyses.  My data are</w:t>
      </w:r>
      <w:r>
        <w:rPr>
          <w:sz w:val="23"/>
          <w:szCs w:val="23"/>
        </w:rPr>
        <w:t xml:space="preserve"> comprised of state-level data on emissions and other factors from 47 of the contiguous states plus the District of Columbia for annual levels of SO</w:t>
      </w:r>
      <w:r>
        <w:rPr>
          <w:sz w:val="15"/>
          <w:szCs w:val="15"/>
        </w:rPr>
        <w:t xml:space="preserve">2 </w:t>
      </w:r>
      <w:r>
        <w:rPr>
          <w:sz w:val="23"/>
          <w:szCs w:val="23"/>
        </w:rPr>
        <w:t xml:space="preserve">emissions. </w:t>
      </w:r>
      <w:r>
        <w:rPr>
          <w:sz w:val="23"/>
          <w:szCs w:val="23"/>
        </w:rPr>
        <w:lastRenderedPageBreak/>
        <w:t xml:space="preserve">The </w:t>
      </w:r>
      <w:r w:rsidR="00897DA3">
        <w:rPr>
          <w:sz w:val="23"/>
          <w:szCs w:val="23"/>
        </w:rPr>
        <w:t>data span from 1980 to 2013.  I hypothesize that my</w:t>
      </w:r>
      <w:r>
        <w:rPr>
          <w:sz w:val="23"/>
          <w:szCs w:val="23"/>
        </w:rPr>
        <w:t xml:space="preserve"> analyses will be in line with previous literature, showing that the CAT plan has had a positive effect on the diminishment of aggrega</w:t>
      </w:r>
      <w:r w:rsidR="00897DA3">
        <w:rPr>
          <w:sz w:val="23"/>
          <w:szCs w:val="23"/>
        </w:rPr>
        <w:t>te, national-level pollution. I</w:t>
      </w:r>
      <w:r>
        <w:rPr>
          <w:sz w:val="23"/>
          <w:szCs w:val="23"/>
        </w:rPr>
        <w:t xml:space="preserve"> hypothesize further, however, that after an</w:t>
      </w:r>
      <w:r w:rsidR="00897DA3">
        <w:rPr>
          <w:sz w:val="23"/>
          <w:szCs w:val="23"/>
        </w:rPr>
        <w:t>alyzing the state-level data, I</w:t>
      </w:r>
      <w:r>
        <w:rPr>
          <w:sz w:val="23"/>
          <w:szCs w:val="23"/>
        </w:rPr>
        <w:t xml:space="preserve"> will find that some, though perhaps few, regions actually experienced an increase in levels of SO</w:t>
      </w:r>
      <w:proofErr w:type="gramStart"/>
      <w:r w:rsidR="009C39F2">
        <w:rPr>
          <w:sz w:val="23"/>
          <w:szCs w:val="23"/>
        </w:rPr>
        <w:t>2</w:t>
      </w:r>
      <w:r>
        <w:rPr>
          <w:sz w:val="15"/>
          <w:szCs w:val="15"/>
        </w:rPr>
        <w:t xml:space="preserve">  </w:t>
      </w:r>
      <w:r>
        <w:rPr>
          <w:sz w:val="23"/>
          <w:szCs w:val="23"/>
        </w:rPr>
        <w:t>emission</w:t>
      </w:r>
      <w:r w:rsidR="009C39F2">
        <w:rPr>
          <w:sz w:val="23"/>
          <w:szCs w:val="23"/>
        </w:rPr>
        <w:t>s</w:t>
      </w:r>
      <w:proofErr w:type="gramEnd"/>
      <w:r>
        <w:rPr>
          <w:sz w:val="23"/>
          <w:szCs w:val="23"/>
        </w:rPr>
        <w:t>.  This would be useful to anyone considering implementing a CAT program, whether for Carbon emissions or other region-specific pollutants such as NOX or particulate matter.</w:t>
      </w:r>
    </w:p>
    <w:p w14:paraId="209D1ACA" w14:textId="77777777" w:rsidR="0063349F" w:rsidRPr="00957A00" w:rsidRDefault="0063349F" w:rsidP="00957A00">
      <w:pPr>
        <w:spacing w:line="480" w:lineRule="auto"/>
        <w:ind w:left="422" w:right="279" w:firstLine="700"/>
        <w:jc w:val="both"/>
        <w:rPr>
          <w:sz w:val="23"/>
          <w:szCs w:val="23"/>
        </w:rPr>
      </w:pPr>
    </w:p>
    <w:p w14:paraId="6EFA9EBA" w14:textId="77777777" w:rsidR="001F1749" w:rsidRDefault="00EF258E" w:rsidP="00302516">
      <w:pPr>
        <w:spacing w:line="480" w:lineRule="auto"/>
        <w:ind w:left="422" w:right="279"/>
        <w:jc w:val="both"/>
      </w:pPr>
      <w:r>
        <w:rPr>
          <w:b/>
          <w:u w:val="single"/>
        </w:rPr>
        <w:t>III: Literature Review</w:t>
      </w:r>
    </w:p>
    <w:p w14:paraId="1FA82A5A" w14:textId="77777777" w:rsidR="001F1749" w:rsidRDefault="00EF258E" w:rsidP="00302516">
      <w:pPr>
        <w:spacing w:line="480" w:lineRule="auto"/>
        <w:ind w:left="1123" w:right="109"/>
        <w:jc w:val="both"/>
      </w:pPr>
      <w:r>
        <w:rPr>
          <w:b/>
          <w:sz w:val="23"/>
          <w:szCs w:val="23"/>
        </w:rPr>
        <w:t>Scientific background</w:t>
      </w:r>
    </w:p>
    <w:p w14:paraId="116D7E03" w14:textId="77777777" w:rsidR="001F1749" w:rsidRDefault="00EF258E" w:rsidP="00302516">
      <w:pPr>
        <w:spacing w:before="191" w:line="480" w:lineRule="auto"/>
        <w:ind w:left="422" w:right="147" w:firstLine="700"/>
        <w:jc w:val="both"/>
      </w:pPr>
      <w:r>
        <w:rPr>
          <w:sz w:val="23"/>
          <w:szCs w:val="23"/>
        </w:rPr>
        <w:t>Sulfur Dioxide, or SO2, is a gaseous airborne pol</w:t>
      </w:r>
      <w:r w:rsidR="00E7308C">
        <w:rPr>
          <w:sz w:val="23"/>
          <w:szCs w:val="23"/>
        </w:rPr>
        <w:t>lutant which is harmful to both</w:t>
      </w:r>
      <w:r>
        <w:rPr>
          <w:sz w:val="23"/>
          <w:szCs w:val="23"/>
        </w:rPr>
        <w:t xml:space="preserve"> the environment and public health.  </w:t>
      </w:r>
      <w:r w:rsidR="00E7308C">
        <w:rPr>
          <w:sz w:val="23"/>
          <w:szCs w:val="23"/>
        </w:rPr>
        <w:t>SO2</w:t>
      </w:r>
      <w:r>
        <w:rPr>
          <w:sz w:val="23"/>
          <w:szCs w:val="23"/>
        </w:rPr>
        <w:t xml:space="preserve"> is emitted primarily from coal-powered power plants. As of 1985, electric utilities accounted for 70% of SO2 </w:t>
      </w:r>
      <w:proofErr w:type="spellStart"/>
      <w:r>
        <w:rPr>
          <w:sz w:val="23"/>
          <w:szCs w:val="23"/>
        </w:rPr>
        <w:t>emissions.</w:t>
      </w:r>
      <w:r>
        <w:rPr>
          <w:sz w:val="25"/>
          <w:szCs w:val="25"/>
          <w:vertAlign w:val="superscript"/>
        </w:rPr>
        <w:t>ii</w:t>
      </w:r>
      <w:proofErr w:type="spellEnd"/>
      <w:r>
        <w:rPr>
          <w:sz w:val="25"/>
          <w:szCs w:val="25"/>
          <w:vertAlign w:val="superscript"/>
        </w:rPr>
        <w:t xml:space="preserve"> </w:t>
      </w:r>
      <w:r>
        <w:rPr>
          <w:sz w:val="23"/>
          <w:szCs w:val="23"/>
        </w:rPr>
        <w:t>Since SO2 emissions are regional pollutants, the effects are largely borne by those in the immediate area surrounding the emission site.  As such the effects of SO2 have been most prominent in northeast US and</w:t>
      </w:r>
      <w:r>
        <w:t xml:space="preserve"> </w:t>
      </w:r>
      <w:r>
        <w:rPr>
          <w:sz w:val="23"/>
          <w:szCs w:val="23"/>
        </w:rPr>
        <w:t xml:space="preserve">southeast </w:t>
      </w:r>
      <w:proofErr w:type="spellStart"/>
      <w:r>
        <w:rPr>
          <w:sz w:val="23"/>
          <w:szCs w:val="23"/>
        </w:rPr>
        <w:t>Canada.</w:t>
      </w:r>
      <w:r>
        <w:rPr>
          <w:sz w:val="25"/>
          <w:szCs w:val="25"/>
          <w:vertAlign w:val="superscript"/>
        </w:rPr>
        <w:t>iii</w:t>
      </w:r>
      <w:proofErr w:type="spellEnd"/>
    </w:p>
    <w:p w14:paraId="3087FF39" w14:textId="77777777" w:rsidR="001F1749" w:rsidRDefault="00EF258E" w:rsidP="00302516">
      <w:pPr>
        <w:pStyle w:val="Heading1"/>
        <w:spacing w:before="203" w:line="480" w:lineRule="auto"/>
        <w:ind w:right="109"/>
        <w:jc w:val="both"/>
      </w:pPr>
      <w:r>
        <w:t>The Clean Air Act Amendment: Creation of CAT</w:t>
      </w:r>
    </w:p>
    <w:p w14:paraId="6C570825" w14:textId="1C941E95" w:rsidR="001F1749" w:rsidRDefault="00EF258E" w:rsidP="00302516">
      <w:pPr>
        <w:spacing w:before="191" w:line="480" w:lineRule="auto"/>
        <w:ind w:left="422" w:right="107" w:firstLine="700"/>
        <w:jc w:val="both"/>
      </w:pPr>
      <w:r>
        <w:rPr>
          <w:sz w:val="23"/>
          <w:szCs w:val="23"/>
        </w:rPr>
        <w:t>The first attempt at dealing with SO2 was put forward under the 1970 Clean Air Act.  The 1990 CAA Amendment s</w:t>
      </w:r>
      <w:r w:rsidR="00E7308C">
        <w:rPr>
          <w:sz w:val="23"/>
          <w:szCs w:val="23"/>
        </w:rPr>
        <w:t xml:space="preserve">ought to revise and improve on </w:t>
      </w:r>
      <w:r>
        <w:rPr>
          <w:sz w:val="23"/>
          <w:szCs w:val="23"/>
        </w:rPr>
        <w:t xml:space="preserve">the original CAA by implementing a Cap-and-Trade (CAT) system for SO2 emissions. The hoped-for advantages of the new program were clear from an economic perspective. Free trade and market mechanisms would lead to efficient operation, while the </w:t>
      </w:r>
      <w:r>
        <w:rPr>
          <w:sz w:val="23"/>
          <w:szCs w:val="23"/>
        </w:rPr>
        <w:lastRenderedPageBreak/>
        <w:t xml:space="preserve">over-arching objective of decreasing pollution control would be realized. All that was required for the successful operation of such a program and efficient abatement would be </w:t>
      </w:r>
      <w:r w:rsidR="00523CB8">
        <w:rPr>
          <w:sz w:val="23"/>
          <w:szCs w:val="23"/>
        </w:rPr>
        <w:t xml:space="preserve">done by </w:t>
      </w:r>
      <w:r>
        <w:rPr>
          <w:sz w:val="23"/>
          <w:szCs w:val="23"/>
        </w:rPr>
        <w:t>cost-minimiz</w:t>
      </w:r>
      <w:r w:rsidR="00AA4FFA">
        <w:rPr>
          <w:sz w:val="23"/>
          <w:szCs w:val="23"/>
        </w:rPr>
        <w:t xml:space="preserve">ing utilities and an efficient </w:t>
      </w:r>
      <w:r>
        <w:rPr>
          <w:sz w:val="23"/>
          <w:szCs w:val="23"/>
        </w:rPr>
        <w:t>market for trading.</w:t>
      </w:r>
    </w:p>
    <w:p w14:paraId="61E0567F" w14:textId="77777777" w:rsidR="001F1749" w:rsidRDefault="00EF258E" w:rsidP="00302516">
      <w:pPr>
        <w:spacing w:before="77" w:line="480" w:lineRule="auto"/>
        <w:ind w:left="430" w:right="221" w:firstLine="720"/>
        <w:jc w:val="both"/>
      </w:pPr>
      <w:r>
        <w:rPr>
          <w:sz w:val="23"/>
          <w:szCs w:val="23"/>
        </w:rPr>
        <w:t>As the primary goal of the CAAA under Title IV was to set SO2 emission lev</w:t>
      </w:r>
      <w:r w:rsidR="00AA4FFA">
        <w:rPr>
          <w:sz w:val="23"/>
          <w:szCs w:val="23"/>
        </w:rPr>
        <w:t xml:space="preserve">els </w:t>
      </w:r>
      <w:r>
        <w:rPr>
          <w:sz w:val="23"/>
          <w:szCs w:val="23"/>
        </w:rPr>
        <w:t>at half that of 1980 levels, an aggregate nation-wide cap was set at roughly 8.95 million tons.</w:t>
      </w:r>
      <w:r>
        <w:rPr>
          <w:sz w:val="25"/>
          <w:szCs w:val="25"/>
          <w:vertAlign w:val="superscript"/>
        </w:rPr>
        <w:t xml:space="preserve"> </w:t>
      </w:r>
      <w:r>
        <w:rPr>
          <w:sz w:val="23"/>
          <w:szCs w:val="23"/>
        </w:rPr>
        <w:t>This overall goal was to be ach</w:t>
      </w:r>
      <w:r w:rsidR="00AA4FFA">
        <w:rPr>
          <w:sz w:val="23"/>
          <w:szCs w:val="23"/>
        </w:rPr>
        <w:t xml:space="preserve">ieved in two stages. The first </w:t>
      </w:r>
      <w:r>
        <w:rPr>
          <w:sz w:val="23"/>
          <w:szCs w:val="23"/>
        </w:rPr>
        <w:t xml:space="preserve">stage began in 1995, </w:t>
      </w:r>
      <w:r w:rsidRPr="00AA4FFA">
        <w:rPr>
          <w:color w:val="auto"/>
          <w:sz w:val="23"/>
          <w:szCs w:val="23"/>
        </w:rPr>
        <w:t>and targeted the 110 dirtiest coal-fired power plants in the nation. Stage 2 began in 2000, and opened coverage to smaller power plants that produced at least 25 megawatts of electricity, as well as those plants which had a fuel sulfur content of greater than 0.05%.</w:t>
      </w:r>
      <w:r w:rsidRPr="00AA4FFA">
        <w:rPr>
          <w:color w:val="auto"/>
          <w:sz w:val="25"/>
          <w:szCs w:val="25"/>
          <w:vertAlign w:val="superscript"/>
        </w:rPr>
        <w:t>v</w:t>
      </w:r>
    </w:p>
    <w:p w14:paraId="76632511" w14:textId="77777777" w:rsidR="001F1749" w:rsidRDefault="00EF258E" w:rsidP="00302516">
      <w:pPr>
        <w:spacing w:before="199" w:line="480" w:lineRule="auto"/>
        <w:ind w:left="422" w:right="279" w:firstLine="700"/>
        <w:jc w:val="both"/>
      </w:pPr>
      <w:r>
        <w:rPr>
          <w:sz w:val="23"/>
          <w:szCs w:val="23"/>
        </w:rPr>
        <w:t>The program issued a total number of permits which were equal to the desired cap, with each permit allowing the owner to emit one ton of SO2. The historic heat output of each plant was used as a baseline for how many permits were issued to any individual firm. Thereafter, firms could trade these permits with outside firms, or among subsidiary plants. In addition, if a particular firm, at the end of a given year, had in its possession more permits than were needed in that year, they were allowed to bank the extra permits for later use or trade. Therefore, for a given calendar year, total average aggregate emissions must equal or be less than the cap, plus any outstanding unused banked permits from previous years.</w:t>
      </w:r>
    </w:p>
    <w:p w14:paraId="549202B2" w14:textId="73AEA00C" w:rsidR="001F1749" w:rsidRDefault="00EF258E" w:rsidP="00302516">
      <w:pPr>
        <w:spacing w:before="193" w:line="480" w:lineRule="auto"/>
        <w:ind w:left="422" w:right="259" w:firstLine="700"/>
        <w:jc w:val="both"/>
      </w:pPr>
      <w:r>
        <w:rPr>
          <w:sz w:val="23"/>
          <w:szCs w:val="23"/>
        </w:rPr>
        <w:t xml:space="preserve">The amount of permits issued to a firm by the government was for the most part below its current level of emissions. Should this be the case, a firm could then reduce emission levels to the amount of permits in the firm’s possession.  This abatement generally causes production to be moved from dirtier </w:t>
      </w:r>
      <w:r>
        <w:rPr>
          <w:sz w:val="23"/>
          <w:szCs w:val="23"/>
        </w:rPr>
        <w:lastRenderedPageBreak/>
        <w:t>to cleaner production facilities, burning coal with a lower content of sulfur, or installin</w:t>
      </w:r>
      <w:r w:rsidR="00B65FC5">
        <w:rPr>
          <w:sz w:val="23"/>
          <w:szCs w:val="23"/>
        </w:rPr>
        <w:t xml:space="preserve">g ‘best available technology,’ which was usually scrubbers. </w:t>
      </w:r>
      <w:r>
        <w:rPr>
          <w:sz w:val="23"/>
          <w:szCs w:val="23"/>
        </w:rPr>
        <w:t xml:space="preserve">In no situation does </w:t>
      </w:r>
      <w:r w:rsidR="00E7308C">
        <w:rPr>
          <w:sz w:val="23"/>
          <w:szCs w:val="23"/>
        </w:rPr>
        <w:t xml:space="preserve">the government mandate by what </w:t>
      </w:r>
      <w:r>
        <w:rPr>
          <w:sz w:val="23"/>
          <w:szCs w:val="23"/>
        </w:rPr>
        <w:t>means a given firm should decrease its pollutant emissions to the level that they have allowances for; they leave this up to the firm, as well as the market. In the end, all that is required of a firm by CAT is that a particular firm can only emit SO2 to that</w:t>
      </w:r>
      <w:r w:rsidR="00E7308C">
        <w:rPr>
          <w:sz w:val="23"/>
          <w:szCs w:val="23"/>
        </w:rPr>
        <w:t xml:space="preserve"> amount </w:t>
      </w:r>
      <w:r>
        <w:rPr>
          <w:sz w:val="23"/>
          <w:szCs w:val="23"/>
        </w:rPr>
        <w:t>which they have permits for. This is where the market component comes into play. If a firm cannot decrease the amount of SO2 emitted, it has one final possibility.  A firm could either purchase permits from other firms which do not have immediate need for them, or the firm can reallocate the possession of permits throughout it’s company, therefore realigning SO2 emissions in a more efficient way. This allows the utilization of ‘pollution rights’ by those that truly value them.  Those firms that ope</w:t>
      </w:r>
      <w:r w:rsidR="00E7308C">
        <w:rPr>
          <w:sz w:val="23"/>
          <w:szCs w:val="23"/>
        </w:rPr>
        <w:t>rate at high</w:t>
      </w:r>
      <w:r>
        <w:rPr>
          <w:sz w:val="23"/>
          <w:szCs w:val="23"/>
        </w:rPr>
        <w:t xml:space="preserve"> marginal abatement cost buy permits from those firms with lower MAC.</w:t>
      </w:r>
    </w:p>
    <w:p w14:paraId="007E5AE2" w14:textId="77777777" w:rsidR="002D30E6" w:rsidRDefault="00EF258E" w:rsidP="00302516">
      <w:pPr>
        <w:spacing w:before="194" w:line="480" w:lineRule="auto"/>
        <w:ind w:left="422" w:right="232" w:firstLine="700"/>
        <w:jc w:val="both"/>
        <w:rPr>
          <w:sz w:val="23"/>
          <w:szCs w:val="23"/>
        </w:rPr>
      </w:pPr>
      <w:r>
        <w:rPr>
          <w:sz w:val="23"/>
          <w:szCs w:val="23"/>
        </w:rPr>
        <w:t>While a benefit-cost analysis which would focu</w:t>
      </w:r>
      <w:r w:rsidR="00E7308C">
        <w:rPr>
          <w:sz w:val="23"/>
          <w:szCs w:val="23"/>
        </w:rPr>
        <w:t>s on comparing the existence of</w:t>
      </w:r>
      <w:r>
        <w:rPr>
          <w:sz w:val="23"/>
          <w:szCs w:val="23"/>
        </w:rPr>
        <w:t xml:space="preserve"> the program to the lack of its existence is outside the realm of this paper, it is still constructive to examine the following two images which reflect the real and projected effects of CAT. The illustrations in the left-hand column </w:t>
      </w:r>
      <w:r w:rsidR="00E7308C">
        <w:rPr>
          <w:sz w:val="23"/>
          <w:szCs w:val="23"/>
        </w:rPr>
        <w:t xml:space="preserve">of Image 1 show the country as </w:t>
      </w:r>
      <w:r>
        <w:rPr>
          <w:sz w:val="23"/>
          <w:szCs w:val="23"/>
        </w:rPr>
        <w:t xml:space="preserve">it would experience depositions of SOX and NOX without CAT, while those images </w:t>
      </w:r>
      <w:r w:rsidR="00302516">
        <w:rPr>
          <w:sz w:val="23"/>
          <w:szCs w:val="23"/>
        </w:rPr>
        <w:t>in the</w:t>
      </w:r>
      <w:r>
        <w:rPr>
          <w:sz w:val="23"/>
          <w:szCs w:val="23"/>
        </w:rPr>
        <w:t xml:space="preserve"> right column illustrate and project what the country would experience in the presence of CAT.</w:t>
      </w:r>
    </w:p>
    <w:p w14:paraId="0A713904" w14:textId="77777777" w:rsidR="00302516" w:rsidRDefault="00302516" w:rsidP="00302516">
      <w:pPr>
        <w:spacing w:before="1" w:line="480" w:lineRule="auto"/>
        <w:ind w:left="422" w:right="130"/>
      </w:pPr>
    </w:p>
    <w:p w14:paraId="52B97954" w14:textId="77777777" w:rsidR="00227B20" w:rsidRDefault="00227B20" w:rsidP="00302516">
      <w:pPr>
        <w:spacing w:before="70" w:line="480" w:lineRule="auto"/>
        <w:ind w:left="422" w:right="720"/>
        <w:jc w:val="center"/>
        <w:rPr>
          <w:sz w:val="23"/>
          <w:szCs w:val="23"/>
        </w:rPr>
      </w:pPr>
    </w:p>
    <w:p w14:paraId="30706249" w14:textId="77777777" w:rsidR="00227B20" w:rsidRDefault="00227B20" w:rsidP="00302516">
      <w:pPr>
        <w:spacing w:before="70" w:line="480" w:lineRule="auto"/>
        <w:ind w:left="422" w:right="720"/>
        <w:jc w:val="center"/>
        <w:rPr>
          <w:sz w:val="23"/>
          <w:szCs w:val="23"/>
        </w:rPr>
      </w:pPr>
    </w:p>
    <w:p w14:paraId="15865ACF" w14:textId="77777777" w:rsidR="00227B20" w:rsidRDefault="00227B20" w:rsidP="00302516">
      <w:pPr>
        <w:spacing w:before="70" w:line="480" w:lineRule="auto"/>
        <w:ind w:left="422" w:right="720"/>
        <w:jc w:val="center"/>
        <w:rPr>
          <w:sz w:val="23"/>
          <w:szCs w:val="23"/>
        </w:rPr>
      </w:pPr>
    </w:p>
    <w:p w14:paraId="34A508AD" w14:textId="77777777" w:rsidR="00302516" w:rsidRDefault="00302516" w:rsidP="00302516">
      <w:pPr>
        <w:spacing w:before="70" w:line="480" w:lineRule="auto"/>
        <w:ind w:left="422" w:right="720"/>
        <w:jc w:val="center"/>
      </w:pPr>
      <w:r>
        <w:rPr>
          <w:sz w:val="23"/>
          <w:szCs w:val="23"/>
        </w:rPr>
        <w:t xml:space="preserve">Figure 1: A comparison of SOX and NOX depositions between the lack of CAT and its presence (March </w:t>
      </w:r>
      <w:proofErr w:type="gramStart"/>
      <w:r>
        <w:rPr>
          <w:sz w:val="23"/>
          <w:szCs w:val="23"/>
        </w:rPr>
        <w:t>2011)</w:t>
      </w:r>
      <w:r>
        <w:rPr>
          <w:b/>
          <w:sz w:val="25"/>
          <w:szCs w:val="25"/>
          <w:u w:val="single"/>
          <w:vertAlign w:val="superscript"/>
        </w:rPr>
        <w:t>xii</w:t>
      </w:r>
      <w:proofErr w:type="gramEnd"/>
      <w:r>
        <w:rPr>
          <w:noProof/>
        </w:rPr>
        <w:drawing>
          <wp:anchor distT="0" distB="0" distL="0" distR="0" simplePos="0" relativeHeight="251664384" behindDoc="0" locked="0" layoutInCell="0" hidden="0" allowOverlap="0" wp14:anchorId="33F303AE" wp14:editId="0CE10660">
            <wp:simplePos x="0" y="0"/>
            <wp:positionH relativeFrom="margin">
              <wp:posOffset>0</wp:posOffset>
            </wp:positionH>
            <wp:positionV relativeFrom="paragraph">
              <wp:posOffset>66675</wp:posOffset>
            </wp:positionV>
            <wp:extent cx="5733062" cy="6858000"/>
            <wp:effectExtent l="0" t="0" r="0" b="0"/>
            <wp:wrapTopAndBottom distT="0" distB="0"/>
            <wp:docPr id="2"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7"/>
                    <a:srcRect/>
                    <a:stretch>
                      <a:fillRect/>
                    </a:stretch>
                  </pic:blipFill>
                  <pic:spPr>
                    <a:xfrm>
                      <a:off x="0" y="0"/>
                      <a:ext cx="5733062" cy="6858000"/>
                    </a:xfrm>
                    <a:prstGeom prst="rect">
                      <a:avLst/>
                    </a:prstGeom>
                    <a:ln/>
                  </pic:spPr>
                </pic:pic>
              </a:graphicData>
            </a:graphic>
          </wp:anchor>
        </w:drawing>
      </w:r>
    </w:p>
    <w:p w14:paraId="3A4A98FF" w14:textId="77777777" w:rsidR="00302516" w:rsidRDefault="00302516" w:rsidP="00302516">
      <w:pPr>
        <w:spacing w:before="194" w:line="480" w:lineRule="auto"/>
        <w:ind w:left="422" w:right="232" w:firstLine="700"/>
        <w:jc w:val="both"/>
        <w:rPr>
          <w:sz w:val="23"/>
          <w:szCs w:val="23"/>
        </w:rPr>
      </w:pPr>
    </w:p>
    <w:p w14:paraId="5ADC3D0C" w14:textId="77777777" w:rsidR="00302516" w:rsidRDefault="00302516" w:rsidP="00302516">
      <w:pPr>
        <w:spacing w:line="480" w:lineRule="auto"/>
        <w:ind w:left="424"/>
        <w:jc w:val="center"/>
      </w:pPr>
      <w:r>
        <w:rPr>
          <w:noProof/>
        </w:rPr>
        <w:drawing>
          <wp:inline distT="0" distB="0" distL="0" distR="0" wp14:anchorId="2FBE5463" wp14:editId="33B826B1">
            <wp:extent cx="5775265" cy="4472940"/>
            <wp:effectExtent l="0" t="0" r="0" b="0"/>
            <wp:docPr id="3"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8"/>
                    <a:srcRect/>
                    <a:stretch>
                      <a:fillRect/>
                    </a:stretch>
                  </pic:blipFill>
                  <pic:spPr>
                    <a:xfrm>
                      <a:off x="0" y="0"/>
                      <a:ext cx="5775265" cy="4472940"/>
                    </a:xfrm>
                    <a:prstGeom prst="rect">
                      <a:avLst/>
                    </a:prstGeom>
                    <a:ln/>
                  </pic:spPr>
                </pic:pic>
              </a:graphicData>
            </a:graphic>
          </wp:inline>
        </w:drawing>
      </w:r>
    </w:p>
    <w:p w14:paraId="4E1EE5C0" w14:textId="77777777" w:rsidR="00302516" w:rsidRPr="00302516" w:rsidRDefault="00302516" w:rsidP="00302516">
      <w:pPr>
        <w:spacing w:line="480" w:lineRule="auto"/>
        <w:ind w:left="424"/>
        <w:jc w:val="center"/>
      </w:pPr>
      <w:r>
        <w:rPr>
          <w:sz w:val="23"/>
          <w:szCs w:val="23"/>
        </w:rPr>
        <w:t xml:space="preserve">Figure 2: Comparing acidification of lakes and streams with and without </w:t>
      </w:r>
      <w:proofErr w:type="gramStart"/>
      <w:r>
        <w:rPr>
          <w:sz w:val="23"/>
          <w:szCs w:val="23"/>
        </w:rPr>
        <w:t>CAT  (</w:t>
      </w:r>
      <w:proofErr w:type="gramEnd"/>
      <w:r>
        <w:rPr>
          <w:sz w:val="23"/>
          <w:szCs w:val="23"/>
        </w:rPr>
        <w:t>2010)</w:t>
      </w:r>
      <w:r>
        <w:rPr>
          <w:b/>
          <w:sz w:val="25"/>
          <w:szCs w:val="25"/>
          <w:vertAlign w:val="superscript"/>
        </w:rPr>
        <w:t>xiii</w:t>
      </w:r>
    </w:p>
    <w:p w14:paraId="1260E246" w14:textId="77777777" w:rsidR="002D30E6" w:rsidRPr="002D30E6" w:rsidRDefault="002D30E6" w:rsidP="00302516">
      <w:pPr>
        <w:spacing w:before="194" w:line="480" w:lineRule="auto"/>
        <w:ind w:left="422" w:right="232" w:firstLine="700"/>
        <w:jc w:val="both"/>
        <w:rPr>
          <w:b/>
          <w:sz w:val="23"/>
          <w:szCs w:val="23"/>
        </w:rPr>
      </w:pPr>
      <w:r w:rsidRPr="002D30E6">
        <w:rPr>
          <w:b/>
          <w:sz w:val="23"/>
          <w:szCs w:val="23"/>
        </w:rPr>
        <w:t>Concern Over Hotspots</w:t>
      </w:r>
    </w:p>
    <w:p w14:paraId="29D56402" w14:textId="583EEF20" w:rsidR="002D30E6" w:rsidRDefault="00EF258E" w:rsidP="00302516">
      <w:pPr>
        <w:spacing w:before="194" w:line="480" w:lineRule="auto"/>
        <w:ind w:left="422" w:right="232" w:firstLine="700"/>
        <w:jc w:val="both"/>
        <w:rPr>
          <w:sz w:val="23"/>
          <w:szCs w:val="23"/>
        </w:rPr>
      </w:pPr>
      <w:r>
        <w:rPr>
          <w:sz w:val="23"/>
          <w:szCs w:val="23"/>
        </w:rPr>
        <w:t>Upon first examination, it would appear quite evidently that CAT’s success buttresses the position that eco</w:t>
      </w:r>
      <w:r w:rsidR="00523CB8">
        <w:rPr>
          <w:sz w:val="23"/>
          <w:szCs w:val="23"/>
        </w:rPr>
        <w:t>nomic, free-market solutions le</w:t>
      </w:r>
      <w:r>
        <w:rPr>
          <w:sz w:val="23"/>
          <w:szCs w:val="23"/>
        </w:rPr>
        <w:t>d to unbridled success. Examining the literature behind the matter, however, shows us that there is still some debate about the topic. Specifically, there are concerns that CAT may have led to the development of unforeseen externalities, as CAT placed no regional or temporal controls on the trading market.  SO</w:t>
      </w:r>
      <w:r w:rsidR="009C39F2">
        <w:rPr>
          <w:sz w:val="23"/>
          <w:szCs w:val="23"/>
        </w:rPr>
        <w:t>2</w:t>
      </w:r>
      <w:r w:rsidR="00E7308C">
        <w:rPr>
          <w:sz w:val="15"/>
          <w:szCs w:val="15"/>
        </w:rPr>
        <w:t xml:space="preserve"> </w:t>
      </w:r>
      <w:r>
        <w:rPr>
          <w:sz w:val="23"/>
          <w:szCs w:val="23"/>
        </w:rPr>
        <w:t xml:space="preserve">is a highly regional </w:t>
      </w:r>
      <w:r>
        <w:rPr>
          <w:sz w:val="23"/>
          <w:szCs w:val="23"/>
        </w:rPr>
        <w:lastRenderedPageBreak/>
        <w:t>pollutant,</w:t>
      </w:r>
      <w:r w:rsidR="00E7308C">
        <w:rPr>
          <w:sz w:val="23"/>
          <w:szCs w:val="23"/>
        </w:rPr>
        <w:t xml:space="preserve"> predominantly affecting those </w:t>
      </w:r>
      <w:r>
        <w:rPr>
          <w:sz w:val="23"/>
          <w:szCs w:val="23"/>
        </w:rPr>
        <w:t>in the immediate vicinity of the pollution site. While the aimed-for level of aggregate national emissions may reach the desired level, there may still be dangerous concentrations of pollution in specific areas.  Concentr</w:t>
      </w:r>
      <w:r w:rsidR="00E7308C">
        <w:rPr>
          <w:sz w:val="23"/>
          <w:szCs w:val="23"/>
        </w:rPr>
        <w:t>ations of SO2 at harmful levels</w:t>
      </w:r>
      <w:r>
        <w:rPr>
          <w:sz w:val="23"/>
          <w:szCs w:val="23"/>
        </w:rPr>
        <w:t xml:space="preserve"> may well arise as the result of trading and banking. While it may be cost-effective for firms in the west to sell a large proportion of their permit</w:t>
      </w:r>
      <w:r w:rsidR="00E7308C">
        <w:rPr>
          <w:sz w:val="23"/>
          <w:szCs w:val="23"/>
        </w:rPr>
        <w:t>s to eastern counterparts, this</w:t>
      </w:r>
      <w:r>
        <w:rPr>
          <w:sz w:val="23"/>
          <w:szCs w:val="23"/>
        </w:rPr>
        <w:t xml:space="preserve"> may still have dire consequences. In this example, inhabitants of the surrounding area of the eastern power plants, however, may be exposed to a much higher level of pollution than their western counterparts, who are exposed to much lower concentrations. It seems reasonable to hypothesize that this could lead to economic</w:t>
      </w:r>
      <w:r w:rsidR="00E7308C">
        <w:rPr>
          <w:sz w:val="23"/>
          <w:szCs w:val="23"/>
        </w:rPr>
        <w:t xml:space="preserve"> costs in the east that exceed </w:t>
      </w:r>
      <w:r>
        <w:rPr>
          <w:sz w:val="23"/>
          <w:szCs w:val="23"/>
        </w:rPr>
        <w:t xml:space="preserve">the benefits accrued.  While it may remain true that </w:t>
      </w:r>
      <w:r w:rsidR="00E7308C">
        <w:rPr>
          <w:sz w:val="23"/>
          <w:szCs w:val="23"/>
        </w:rPr>
        <w:t xml:space="preserve">net national economic benefits </w:t>
      </w:r>
      <w:r>
        <w:rPr>
          <w:sz w:val="23"/>
          <w:szCs w:val="23"/>
        </w:rPr>
        <w:t>of</w:t>
      </w:r>
      <w:r>
        <w:t xml:space="preserve"> </w:t>
      </w:r>
      <w:r>
        <w:rPr>
          <w:sz w:val="23"/>
          <w:szCs w:val="23"/>
        </w:rPr>
        <w:t>CAT may be positive, very real negative effects may be felt by the inhabitants of a region in which pollution increases</w:t>
      </w:r>
      <w:r w:rsidR="00E7308C">
        <w:rPr>
          <w:sz w:val="23"/>
          <w:szCs w:val="23"/>
        </w:rPr>
        <w:t xml:space="preserve"> as a result of the trading of </w:t>
      </w:r>
      <w:r>
        <w:rPr>
          <w:sz w:val="23"/>
          <w:szCs w:val="23"/>
        </w:rPr>
        <w:t>permits.</w:t>
      </w:r>
    </w:p>
    <w:p w14:paraId="7A6A6CA0" w14:textId="1EF0C9C5" w:rsidR="002D30E6" w:rsidRDefault="00EF258E" w:rsidP="00302516">
      <w:pPr>
        <w:spacing w:before="194" w:line="480" w:lineRule="auto"/>
        <w:ind w:left="422" w:right="232" w:firstLine="700"/>
        <w:jc w:val="both"/>
        <w:rPr>
          <w:sz w:val="23"/>
          <w:szCs w:val="23"/>
        </w:rPr>
      </w:pPr>
      <w:r>
        <w:rPr>
          <w:sz w:val="23"/>
          <w:szCs w:val="23"/>
        </w:rPr>
        <w:t>The fact that permits can be banked indefinitel</w:t>
      </w:r>
      <w:r w:rsidR="00523CB8">
        <w:rPr>
          <w:sz w:val="23"/>
          <w:szCs w:val="23"/>
        </w:rPr>
        <w:t>y may also cause similar damage</w:t>
      </w:r>
      <w:r>
        <w:rPr>
          <w:sz w:val="23"/>
          <w:szCs w:val="23"/>
        </w:rPr>
        <w:t xml:space="preserve">. As of yet it seems that firms were generally over-complying, and were banking a large proportion of their permits in anticipation of future need or unforeseen events.  </w:t>
      </w:r>
      <w:r w:rsidR="00302516">
        <w:rPr>
          <w:sz w:val="23"/>
          <w:szCs w:val="23"/>
        </w:rPr>
        <w:t>Should this</w:t>
      </w:r>
      <w:r>
        <w:rPr>
          <w:sz w:val="23"/>
          <w:szCs w:val="23"/>
        </w:rPr>
        <w:t xml:space="preserve"> trend continue, it may well come to pass that future emissions could be significantly over the capped amount. This was already shown to be the case during the first few years of stage 2.  As a result, firms may emit SO2 at cons</w:t>
      </w:r>
      <w:r w:rsidR="00E7308C">
        <w:rPr>
          <w:sz w:val="23"/>
          <w:szCs w:val="23"/>
        </w:rPr>
        <w:t>iderably high levels, given the</w:t>
      </w:r>
      <w:r>
        <w:rPr>
          <w:sz w:val="23"/>
          <w:szCs w:val="23"/>
        </w:rPr>
        <w:t xml:space="preserve"> temporal nature of banking.  This would lead to a lack of</w:t>
      </w:r>
      <w:r w:rsidR="00E7308C">
        <w:rPr>
          <w:sz w:val="23"/>
          <w:szCs w:val="23"/>
        </w:rPr>
        <w:t xml:space="preserve"> pollutant symmetry similar to </w:t>
      </w:r>
      <w:r>
        <w:rPr>
          <w:sz w:val="23"/>
          <w:szCs w:val="23"/>
        </w:rPr>
        <w:t>the geographic concern, though of a temporal nature.</w:t>
      </w:r>
      <w:r w:rsidR="00E7308C">
        <w:rPr>
          <w:sz w:val="23"/>
          <w:szCs w:val="23"/>
        </w:rPr>
        <w:t xml:space="preserve">  Before we so whole-heartedly </w:t>
      </w:r>
      <w:r>
        <w:rPr>
          <w:sz w:val="23"/>
          <w:szCs w:val="23"/>
        </w:rPr>
        <w:t xml:space="preserve">accept CAT as a uniformly unambiguous success, these concerns must </w:t>
      </w:r>
      <w:r w:rsidR="00302516">
        <w:rPr>
          <w:sz w:val="23"/>
          <w:szCs w:val="23"/>
        </w:rPr>
        <w:t>be addressed</w:t>
      </w:r>
      <w:r>
        <w:rPr>
          <w:sz w:val="23"/>
          <w:szCs w:val="23"/>
        </w:rPr>
        <w:t>.</w:t>
      </w:r>
    </w:p>
    <w:p w14:paraId="5FD63667" w14:textId="77777777" w:rsidR="002D30E6" w:rsidRDefault="00EF258E" w:rsidP="00302516">
      <w:pPr>
        <w:spacing w:before="194" w:line="480" w:lineRule="auto"/>
        <w:ind w:left="422" w:right="232" w:firstLine="700"/>
        <w:jc w:val="both"/>
        <w:rPr>
          <w:sz w:val="23"/>
          <w:szCs w:val="23"/>
        </w:rPr>
      </w:pPr>
      <w:r>
        <w:rPr>
          <w:sz w:val="23"/>
          <w:szCs w:val="23"/>
        </w:rPr>
        <w:lastRenderedPageBreak/>
        <w:t>The</w:t>
      </w:r>
      <w:r>
        <w:t xml:space="preserve"> </w:t>
      </w:r>
      <w:r>
        <w:rPr>
          <w:sz w:val="23"/>
          <w:szCs w:val="23"/>
        </w:rPr>
        <w:t>CAT program was an amendment to previous legislation</w:t>
      </w:r>
      <w:r w:rsidR="00E7308C">
        <w:rPr>
          <w:sz w:val="23"/>
          <w:szCs w:val="23"/>
        </w:rPr>
        <w:t xml:space="preserve"> governing such emissions, and </w:t>
      </w:r>
      <w:r>
        <w:rPr>
          <w:sz w:val="23"/>
          <w:szCs w:val="23"/>
        </w:rPr>
        <w:t xml:space="preserve">as such plants must continue to abide by local standards as well. It should still, however, be highly informative to establish which states and counties, if any, experienced an increase in SO2 emissions in either stage 1 or stage 2, relative to stage 0, as states and counties can often be outside of attainment, purposefully or </w:t>
      </w:r>
      <w:proofErr w:type="spellStart"/>
      <w:r>
        <w:rPr>
          <w:sz w:val="23"/>
          <w:szCs w:val="23"/>
        </w:rPr>
        <w:t>unpurposefully</w:t>
      </w:r>
      <w:proofErr w:type="spellEnd"/>
      <w:r>
        <w:rPr>
          <w:sz w:val="23"/>
          <w:szCs w:val="23"/>
        </w:rPr>
        <w:t xml:space="preserve"> obfuscate attempts at measurement and regulation, and cause aggregate state or county</w:t>
      </w:r>
      <w:r w:rsidR="002D30E6">
        <w:rPr>
          <w:sz w:val="23"/>
          <w:szCs w:val="23"/>
        </w:rPr>
        <w:t xml:space="preserve"> level effects of SO2 emissions. </w:t>
      </w:r>
    </w:p>
    <w:p w14:paraId="6E298874" w14:textId="77777777" w:rsidR="00B65FC5" w:rsidRDefault="00B65FC5" w:rsidP="00302516">
      <w:pPr>
        <w:spacing w:before="194" w:line="480" w:lineRule="auto"/>
        <w:ind w:left="422" w:right="232" w:firstLine="700"/>
        <w:jc w:val="both"/>
        <w:rPr>
          <w:sz w:val="23"/>
          <w:szCs w:val="23"/>
        </w:rPr>
      </w:pPr>
    </w:p>
    <w:p w14:paraId="37F1E60F" w14:textId="77777777" w:rsidR="002D30E6" w:rsidRPr="00063F35" w:rsidRDefault="002D30E6" w:rsidP="00302516">
      <w:pPr>
        <w:spacing w:before="194" w:line="480" w:lineRule="auto"/>
        <w:ind w:right="232" w:firstLine="422"/>
        <w:jc w:val="both"/>
        <w:rPr>
          <w:b/>
          <w:sz w:val="23"/>
          <w:szCs w:val="23"/>
        </w:rPr>
      </w:pPr>
      <w:r w:rsidRPr="00063F35">
        <w:rPr>
          <w:b/>
          <w:u w:val="single"/>
        </w:rPr>
        <w:t>IV: Data and Methods</w:t>
      </w:r>
    </w:p>
    <w:p w14:paraId="5613A2B7" w14:textId="39A99C62" w:rsidR="002D30E6" w:rsidRDefault="00DD1DA3" w:rsidP="00302516">
      <w:pPr>
        <w:spacing w:before="194" w:line="480" w:lineRule="auto"/>
        <w:ind w:left="422" w:right="232" w:firstLine="700"/>
        <w:jc w:val="both"/>
        <w:rPr>
          <w:sz w:val="23"/>
          <w:szCs w:val="23"/>
        </w:rPr>
      </w:pPr>
      <w:r>
        <w:t>The data that I</w:t>
      </w:r>
      <w:r w:rsidR="00EF258E">
        <w:t xml:space="preserve"> worked with mainly come from EPA (U.S. Environmental Protection Agency) and EIA (U.S. Energy Information Administration). They are both official open source</w:t>
      </w:r>
      <w:r>
        <w:t>s and free to download. While I</w:t>
      </w:r>
      <w:r w:rsidR="00EF258E">
        <w:t xml:space="preserve"> collected panel data for the time periods from 1980 to 2013 in the states, they are not perfectly balanced in time and consecutive due to the lack of full recordings of the observations. Specifically, the data include the years 1980, 1985, 1990, and 1995-2013 (22 years in total). For the states, the data include 47 adjoining U.S. states plus D.C. (Idaho, Alaska, and Hawaii were dropped due to missing data.)</w:t>
      </w:r>
      <w:r w:rsidR="00EF258E">
        <w:rPr>
          <w:noProof/>
        </w:rPr>
        <mc:AlternateContent>
          <mc:Choice Requires="wps">
            <w:drawing>
              <wp:anchor distT="0" distB="0" distL="114300" distR="114300" simplePos="0" relativeHeight="251659264" behindDoc="0" locked="0" layoutInCell="0" hidden="0" allowOverlap="1" wp14:anchorId="3AB12E24" wp14:editId="3A43ECC0">
                <wp:simplePos x="0" y="0"/>
                <wp:positionH relativeFrom="margin">
                  <wp:posOffset>774700</wp:posOffset>
                </wp:positionH>
                <wp:positionV relativeFrom="paragraph">
                  <wp:posOffset>1727200</wp:posOffset>
                </wp:positionV>
                <wp:extent cx="12700" cy="330200"/>
                <wp:effectExtent l="0" t="0" r="0" b="0"/>
                <wp:wrapNone/>
                <wp:docPr id="10" name="Straight Arrow Connector 10"/>
                <wp:cNvGraphicFramePr/>
                <a:graphic xmlns:a="http://schemas.openxmlformats.org/drawingml/2006/main">
                  <a:graphicData uri="http://schemas.microsoft.com/office/word/2010/wordprocessingShape">
                    <wps:wsp>
                      <wps:cNvCnPr/>
                      <wps:spPr>
                        <a:xfrm>
                          <a:off x="5346000" y="3609503"/>
                          <a:ext cx="0" cy="340994"/>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mv="urn:schemas-microsoft-com:mac:vml" xmlns:mo="http://schemas.microsoft.com/office/mac/office/2008/main">
            <w:pict>
              <v:shapetype w14:anchorId="695FC1BA" id="_x0000_t32" coordsize="21600,21600" o:spt="32" o:oned="t" path="m,l21600,21600e" filled="f">
                <v:path arrowok="t" fillok="f" o:connecttype="none"/>
                <o:lock v:ext="edit" shapetype="t"/>
              </v:shapetype>
              <v:shape id="Straight Arrow Connector 10" o:spid="_x0000_s1026" type="#_x0000_t32" style="position:absolute;margin-left:61pt;margin-top:136pt;width:1pt;height:26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" o:allowincell="f">
                <w10:wrap anchorx="margin"/>
              </v:shape>
            </w:pict>
          </mc:Fallback>
        </mc:AlternateContent>
      </w:r>
    </w:p>
    <w:p w14:paraId="4A563B71" w14:textId="536AE52C" w:rsidR="002D30E6" w:rsidRDefault="00EF258E" w:rsidP="00302516">
      <w:pPr>
        <w:spacing w:before="194" w:line="480" w:lineRule="auto"/>
        <w:ind w:left="422" w:right="232" w:firstLine="700"/>
        <w:jc w:val="both"/>
        <w:rPr>
          <w:sz w:val="23"/>
          <w:szCs w:val="23"/>
        </w:rPr>
      </w:pPr>
      <w:r>
        <w:t>Each observa</w:t>
      </w:r>
      <w:r w:rsidR="00FA3007">
        <w:t>tion includes the following data</w:t>
      </w:r>
      <w:r>
        <w:t>: year; state; SO</w:t>
      </w:r>
      <w:r w:rsidR="00FA3007">
        <w:t>2</w:t>
      </w:r>
      <w:r>
        <w:rPr>
          <w:vertAlign w:val="subscript"/>
        </w:rPr>
        <w:t xml:space="preserve"> </w:t>
      </w:r>
      <w:r>
        <w:t>emissions (tons), emitted and recorded by coal-burning facilities; Heat Input (</w:t>
      </w:r>
      <w:proofErr w:type="spellStart"/>
      <w:r>
        <w:t>mmBtu</w:t>
      </w:r>
      <w:proofErr w:type="spellEnd"/>
      <w:r>
        <w:t>), a measure of utilization of a given facility, calculated by multiplying the quantity of fuel by the fuel’s heat content; population density of the state (thousand/sq</w:t>
      </w:r>
      <w:r w:rsidR="00FA3007">
        <w:t xml:space="preserve">uare </w:t>
      </w:r>
      <w:r>
        <w:t>mile), which is population divided by area of the state; total energy consumption (billion Btu) in the state; total renewable energy consumption (billion Btu) of the state; and the ratio of renewable energy consumption to total energy consumption.</w:t>
      </w:r>
    </w:p>
    <w:p w14:paraId="69334CA5" w14:textId="16793E7F" w:rsidR="001F1749" w:rsidRDefault="00EF258E" w:rsidP="00302516">
      <w:pPr>
        <w:spacing w:before="194" w:line="480" w:lineRule="auto"/>
        <w:ind w:left="422" w:right="232" w:firstLine="700"/>
        <w:jc w:val="both"/>
      </w:pPr>
      <w:r>
        <w:lastRenderedPageBreak/>
        <w:t>The dependent variable is ln_SO2, whic</w:t>
      </w:r>
      <w:r w:rsidR="00FA3007">
        <w:t>h is the natural log form of</w:t>
      </w:r>
      <w:r>
        <w:t xml:space="preserve"> SO</w:t>
      </w:r>
      <w:r w:rsidR="00FA3007">
        <w:t>2</w:t>
      </w:r>
      <w:r>
        <w:t xml:space="preserve"> emission</w:t>
      </w:r>
      <w:r w:rsidR="00FA3007">
        <w:t>s</w:t>
      </w:r>
      <w:r>
        <w:t>. To measure the impac</w:t>
      </w:r>
      <w:r w:rsidR="00A90937">
        <w:t>ts of the program, I</w:t>
      </w:r>
      <w:r>
        <w:t xml:space="preserve"> classified the t</w:t>
      </w:r>
      <w:r w:rsidR="00FA3007">
        <w:t>ime periods into three stages: s</w:t>
      </w:r>
      <w:r>
        <w:t>tage 0 (</w:t>
      </w:r>
      <w:r w:rsidR="00FA3007">
        <w:t>before 1995), which is the</w:t>
      </w:r>
      <w:r>
        <w:t xml:space="preserve"> base </w:t>
      </w:r>
      <w:r w:rsidR="00FA3007">
        <w:t>case observation; s</w:t>
      </w:r>
      <w:r>
        <w:t xml:space="preserve">tage 1 (1995-1999), the first phase of the program implementation; </w:t>
      </w:r>
      <w:r w:rsidR="00FA3007">
        <w:t xml:space="preserve">and </w:t>
      </w:r>
      <w:r w:rsidR="00FD787A">
        <w:t>stage 2 (</w:t>
      </w:r>
      <w:r>
        <w:t>after 2000), the second phase of the program</w:t>
      </w:r>
      <w:r w:rsidR="00FD787A">
        <w:t>. Stage 1 and s</w:t>
      </w:r>
      <w:r>
        <w:t>tage 2 are dummy variables (1 for t</w:t>
      </w:r>
      <w:r w:rsidR="00A90937">
        <w:t>he years in that period) and my</w:t>
      </w:r>
      <w:r>
        <w:t xml:space="preserve"> mai</w:t>
      </w:r>
      <w:r w:rsidR="00FD787A">
        <w:t>n explanatory variables, which</w:t>
      </w:r>
      <w:r w:rsidR="00A90937">
        <w:t xml:space="preserve"> I</w:t>
      </w:r>
      <w:r>
        <w:t xml:space="preserve"> used to reflect the effects o</w:t>
      </w:r>
      <w:r w:rsidR="00A90937">
        <w:t>f the program’s roll out. I am interested in</w:t>
      </w:r>
      <w:r>
        <w:t xml:space="preserve"> see</w:t>
      </w:r>
      <w:r w:rsidR="00A90937">
        <w:t>ing</w:t>
      </w:r>
      <w:r>
        <w:t xml:space="preserve"> whether the stage dummie</w:t>
      </w:r>
      <w:r w:rsidR="00FD787A">
        <w:t>s had negative coefficients corresponding to</w:t>
      </w:r>
      <w:r>
        <w:t xml:space="preserve"> </w:t>
      </w:r>
      <w:r w:rsidR="00A90937">
        <w:t>my dependent variable. I</w:t>
      </w:r>
      <w:r>
        <w:t xml:space="preserve"> also include other independent variables that may affect SO</w:t>
      </w:r>
      <w:r w:rsidR="00FD787A">
        <w:t>2</w:t>
      </w:r>
      <w:r>
        <w:t xml:space="preserve"> emissions</w:t>
      </w:r>
      <w:r w:rsidR="00FD787A">
        <w:t>,</w:t>
      </w:r>
      <w:r>
        <w:t xml:space="preserve"> including heat input and total energy consumption, expected to have positive correlation</w:t>
      </w:r>
      <w:r w:rsidR="00523CB8">
        <w:t>s</w:t>
      </w:r>
      <w:r>
        <w:t xml:space="preserve"> with SO</w:t>
      </w:r>
      <w:r w:rsidR="00FD787A">
        <w:t>2</w:t>
      </w:r>
      <w:r>
        <w:t xml:space="preserve"> emissions, and the renewable energy consumption to total energy consumption ratio, expected </w:t>
      </w:r>
      <w:r w:rsidR="00A90937">
        <w:t>to have</w:t>
      </w:r>
      <w:r w:rsidR="00FD787A">
        <w:t xml:space="preserve"> a</w:t>
      </w:r>
      <w:r w:rsidR="00A90937">
        <w:t xml:space="preserve"> negative correlation. I</w:t>
      </w:r>
      <w:r w:rsidR="00FD787A">
        <w:t xml:space="preserve"> include the</w:t>
      </w:r>
      <w:r>
        <w:t xml:space="preserve"> control variable of population density of the states as well.</w:t>
      </w:r>
    </w:p>
    <w:p w14:paraId="461986F5" w14:textId="77777777" w:rsidR="0063349F" w:rsidRPr="002D30E6" w:rsidRDefault="0063349F" w:rsidP="00302516">
      <w:pPr>
        <w:spacing w:before="194" w:line="480" w:lineRule="auto"/>
        <w:ind w:left="422" w:right="232" w:firstLine="700"/>
        <w:jc w:val="both"/>
        <w:rPr>
          <w:sz w:val="23"/>
          <w:szCs w:val="23"/>
        </w:rPr>
      </w:pPr>
    </w:p>
    <w:p w14:paraId="701033AD" w14:textId="77777777" w:rsidR="001F1749" w:rsidRDefault="00063F35" w:rsidP="00302516">
      <w:pPr>
        <w:pStyle w:val="Heading1"/>
        <w:tabs>
          <w:tab w:val="left" w:pos="649"/>
        </w:tabs>
        <w:spacing w:before="74" w:line="480" w:lineRule="auto"/>
        <w:ind w:left="0"/>
        <w:jc w:val="both"/>
      </w:pPr>
      <w:r>
        <w:t xml:space="preserve">       </w:t>
      </w:r>
      <w:r w:rsidR="00EF258E">
        <w:rPr>
          <w:u w:val="single"/>
        </w:rPr>
        <w:t>V: Results and Discussion</w:t>
      </w:r>
    </w:p>
    <w:p w14:paraId="389B569B" w14:textId="77777777" w:rsidR="001F1749" w:rsidRDefault="00EF258E" w:rsidP="00302516">
      <w:pPr>
        <w:spacing w:before="74" w:line="480" w:lineRule="auto"/>
        <w:ind w:left="1123" w:right="109"/>
        <w:jc w:val="both"/>
      </w:pPr>
      <w:r>
        <w:rPr>
          <w:b/>
          <w:sz w:val="23"/>
          <w:szCs w:val="23"/>
        </w:rPr>
        <w:t>National Level Results</w:t>
      </w:r>
    </w:p>
    <w:p w14:paraId="3A563B5F" w14:textId="6F937BC5" w:rsidR="002D30E6" w:rsidRDefault="00DD1DA3" w:rsidP="00302516">
      <w:pPr>
        <w:spacing w:line="480" w:lineRule="auto"/>
        <w:ind w:left="422" w:right="279" w:firstLine="700"/>
        <w:jc w:val="both"/>
      </w:pPr>
      <w:r>
        <w:rPr>
          <w:sz w:val="23"/>
          <w:szCs w:val="23"/>
        </w:rPr>
        <w:t>The actual method of my</w:t>
      </w:r>
      <w:r w:rsidR="00EF258E">
        <w:rPr>
          <w:sz w:val="23"/>
          <w:szCs w:val="23"/>
        </w:rPr>
        <w:t xml:space="preserve"> </w:t>
      </w:r>
      <w:r>
        <w:rPr>
          <w:sz w:val="23"/>
          <w:szCs w:val="23"/>
        </w:rPr>
        <w:t>approach was straightforward. I</w:t>
      </w:r>
      <w:r w:rsidR="00EF258E">
        <w:rPr>
          <w:sz w:val="23"/>
          <w:szCs w:val="23"/>
        </w:rPr>
        <w:t xml:space="preserve"> first ran a fixed effects regression of ln_</w:t>
      </w:r>
      <w:r w:rsidR="00FD787A">
        <w:rPr>
          <w:sz w:val="23"/>
          <w:szCs w:val="23"/>
        </w:rPr>
        <w:t>SO2 on stage 1, stage 2, and the</w:t>
      </w:r>
      <w:r w:rsidR="00EF258E">
        <w:rPr>
          <w:sz w:val="23"/>
          <w:szCs w:val="23"/>
        </w:rPr>
        <w:t xml:space="preserve"> explanatory variables. The regression itsel</w:t>
      </w:r>
      <w:r w:rsidR="00FD787A">
        <w:rPr>
          <w:sz w:val="23"/>
          <w:szCs w:val="23"/>
        </w:rPr>
        <w:t xml:space="preserve">f was done to gain a broad view and </w:t>
      </w:r>
      <w:r w:rsidR="00EF258E">
        <w:rPr>
          <w:sz w:val="23"/>
          <w:szCs w:val="23"/>
        </w:rPr>
        <w:t xml:space="preserve">macro understanding of what the overall, national-level picture looked like. These regressions </w:t>
      </w:r>
      <w:r w:rsidR="00FD787A">
        <w:rPr>
          <w:sz w:val="23"/>
          <w:szCs w:val="23"/>
        </w:rPr>
        <w:t>give</w:t>
      </w:r>
      <w:r w:rsidR="00EF258E">
        <w:rPr>
          <w:sz w:val="23"/>
          <w:szCs w:val="23"/>
        </w:rPr>
        <w:t xml:space="preserve"> res</w:t>
      </w:r>
      <w:r w:rsidR="00E7308C">
        <w:rPr>
          <w:sz w:val="23"/>
          <w:szCs w:val="23"/>
        </w:rPr>
        <w:t>ults which show whether stage 1</w:t>
      </w:r>
      <w:r w:rsidR="00EF258E">
        <w:rPr>
          <w:sz w:val="23"/>
          <w:szCs w:val="23"/>
        </w:rPr>
        <w:t xml:space="preserve"> and stage 2 are significantly different from stage 0.  </w:t>
      </w:r>
      <w:r w:rsidR="00EF258E">
        <w:t>In addition to the stage dummies, which are impo</w:t>
      </w:r>
      <w:r w:rsidR="00FD787A">
        <w:t>rtant for the</w:t>
      </w:r>
      <w:r>
        <w:t xml:space="preserve"> final analysis, I</w:t>
      </w:r>
      <w:r w:rsidR="00EF258E">
        <w:t xml:space="preserve"> carefully selected other independent variables that may </w:t>
      </w:r>
      <w:r w:rsidR="00FD787A">
        <w:t xml:space="preserve">have </w:t>
      </w:r>
      <w:r w:rsidR="00EF258E">
        <w:t>affect</w:t>
      </w:r>
      <w:r w:rsidR="00FD787A">
        <w:t>ed</w:t>
      </w:r>
      <w:r w:rsidR="00EF258E">
        <w:t xml:space="preserve"> SO2 emissions. </w:t>
      </w:r>
      <w:r>
        <w:t>I</w:t>
      </w:r>
      <w:r w:rsidR="00E7308C">
        <w:t xml:space="preserve"> include heat input </w:t>
      </w:r>
      <w:r w:rsidR="00EF258E">
        <w:t xml:space="preserve">in order to control for net changes in energy production from 1980 to 2013, that is, to control for the entrance or exit of firms into CAT, as well as </w:t>
      </w:r>
      <w:r w:rsidR="00EF258E">
        <w:lastRenderedPageBreak/>
        <w:t>the changes in c</w:t>
      </w:r>
      <w:r>
        <w:t>apacity of functioning firms. I</w:t>
      </w:r>
      <w:r w:rsidR="00EF258E">
        <w:t xml:space="preserve"> also cared about the effect of total energy consumption, population density and the proportion of renewable energy consumption used in total energy consumption.</w:t>
      </w:r>
      <w:r w:rsidR="00EF258E">
        <w:rPr>
          <w:noProof/>
        </w:rPr>
        <mc:AlternateContent>
          <mc:Choice Requires="wps">
            <w:drawing>
              <wp:anchor distT="0" distB="0" distL="114300" distR="114300" simplePos="0" relativeHeight="251660288" behindDoc="1" locked="0" layoutInCell="0" hidden="0" allowOverlap="1" wp14:anchorId="5ADE5B23" wp14:editId="1F5B424E">
                <wp:simplePos x="0" y="0"/>
                <wp:positionH relativeFrom="margin">
                  <wp:posOffset>3924300</wp:posOffset>
                </wp:positionH>
                <wp:positionV relativeFrom="paragraph">
                  <wp:posOffset>-609599</wp:posOffset>
                </wp:positionV>
                <wp:extent cx="12700" cy="12700"/>
                <wp:effectExtent l="0" t="0" r="0" b="0"/>
                <wp:wrapSquare wrapText="bothSides" distT="0" distB="0" distL="114300" distR="114300"/>
                <wp:docPr id="6" name="Straight Arrow Connector 6"/>
                <wp:cNvGraphicFramePr/>
                <a:graphic xmlns:a="http://schemas.openxmlformats.org/drawingml/2006/main">
                  <a:graphicData uri="http://schemas.microsoft.com/office/word/2010/wordprocessingShape">
                    <wps:wsp>
                      <wps:cNvCnPr/>
                      <wps:spPr>
                        <a:xfrm>
                          <a:off x="5341555" y="3780000"/>
                          <a:ext cx="8890" cy="0"/>
                        </a:xfrm>
                        <a:prstGeom prst="straightConnector1">
                          <a:avLst/>
                        </a:prstGeom>
                        <a:noFill/>
                        <a:ln w="9525" cap="flat" cmpd="sng">
                          <a:solidFill>
                            <a:srgbClr val="007F00"/>
                          </a:solidFill>
                          <a:prstDash val="solid"/>
                          <a:round/>
                          <a:headEnd type="none" w="med" len="med"/>
                          <a:tailEnd type="none" w="med" len="med"/>
                        </a:ln>
                      </wps:spPr>
                      <wps:bodyPr/>
                    </wps:wsp>
                  </a:graphicData>
                </a:graphic>
              </wp:anchor>
            </w:drawing>
          </mc:Choice>
          <mc:Fallback xmlns:mv="urn:schemas-microsoft-com:mac:vml" xmlns:mo="http://schemas.microsoft.com/office/mac/office/2008/main">
            <w:pict>
              <v:shape w14:anchorId="4DCF9B2B" id="Straight Arrow Connector 6" o:spid="_x0000_s1026" type="#_x0000_t32" style="position:absolute;margin-left:309pt;margin-top:-48pt;width:1pt;height:1pt;z-index:-2516561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" o:allowincell="f" strokecolor="#007f00">
                <w10:wrap type="square" anchorx="margin"/>
              </v:shape>
            </w:pict>
          </mc:Fallback>
        </mc:AlternateContent>
      </w:r>
      <w:r w:rsidR="00EF258E">
        <w:rPr>
          <w:noProof/>
        </w:rPr>
        <mc:AlternateContent>
          <mc:Choice Requires="wps">
            <w:drawing>
              <wp:anchor distT="0" distB="0" distL="114300" distR="114300" simplePos="0" relativeHeight="251661312" behindDoc="1" locked="0" layoutInCell="0" hidden="0" allowOverlap="1" wp14:anchorId="0B0B7618" wp14:editId="51BE1C55">
                <wp:simplePos x="0" y="0"/>
                <wp:positionH relativeFrom="margin">
                  <wp:posOffset>3924300</wp:posOffset>
                </wp:positionH>
                <wp:positionV relativeFrom="paragraph">
                  <wp:posOffset>-1079499</wp:posOffset>
                </wp:positionV>
                <wp:extent cx="12700" cy="12700"/>
                <wp:effectExtent l="0" t="0" r="0" b="0"/>
                <wp:wrapSquare wrapText="bothSides" distT="0" distB="0" distL="114300" distR="114300"/>
                <wp:docPr id="8" name="Straight Arrow Connector 8"/>
                <wp:cNvGraphicFramePr/>
                <a:graphic xmlns:a="http://schemas.openxmlformats.org/drawingml/2006/main">
                  <a:graphicData uri="http://schemas.microsoft.com/office/word/2010/wordprocessingShape">
                    <wps:wsp>
                      <wps:cNvCnPr/>
                      <wps:spPr>
                        <a:xfrm>
                          <a:off x="5341555" y="3780000"/>
                          <a:ext cx="8890" cy="0"/>
                        </a:xfrm>
                        <a:prstGeom prst="straightConnector1">
                          <a:avLst/>
                        </a:prstGeom>
                        <a:noFill/>
                        <a:ln w="9525" cap="flat" cmpd="sng">
                          <a:solidFill>
                            <a:srgbClr val="007F00"/>
                          </a:solidFill>
                          <a:prstDash val="solid"/>
                          <a:round/>
                          <a:headEnd type="none" w="med" len="med"/>
                          <a:tailEnd type="none" w="med" len="med"/>
                        </a:ln>
                      </wps:spPr>
                      <wps:bodyPr/>
                    </wps:wsp>
                  </a:graphicData>
                </a:graphic>
              </wp:anchor>
            </w:drawing>
          </mc:Choice>
          <mc:Fallback xmlns:mv="urn:schemas-microsoft-com:mac:vml" xmlns:mo="http://schemas.microsoft.com/office/mac/office/2008/main">
            <w:pict>
              <v:shape w14:anchorId="07389494" id="Straight Arrow Connector 8" o:spid="_x0000_s1026" type="#_x0000_t32" style="position:absolute;margin-left:309pt;margin-top:-85pt;width:1pt;height:1pt;z-index:-2516551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" o:allowincell="f" strokecolor="#007f00">
                <w10:wrap type="square" anchorx="margin"/>
              </v:shape>
            </w:pict>
          </mc:Fallback>
        </mc:AlternateContent>
      </w:r>
      <w:r w:rsidR="00EF258E">
        <w:rPr>
          <w:noProof/>
        </w:rPr>
        <mc:AlternateContent>
          <mc:Choice Requires="wps">
            <w:drawing>
              <wp:anchor distT="0" distB="0" distL="114300" distR="114300" simplePos="0" relativeHeight="251662336" behindDoc="1" locked="0" layoutInCell="0" hidden="0" allowOverlap="1" wp14:anchorId="0551C9C4" wp14:editId="2DB6125C">
                <wp:simplePos x="0" y="0"/>
                <wp:positionH relativeFrom="margin">
                  <wp:posOffset>3924300</wp:posOffset>
                </wp:positionH>
                <wp:positionV relativeFrom="paragraph">
                  <wp:posOffset>-761999</wp:posOffset>
                </wp:positionV>
                <wp:extent cx="12700" cy="12700"/>
                <wp:effectExtent l="0" t="0" r="0" b="0"/>
                <wp:wrapSquare wrapText="bothSides" distT="0" distB="0" distL="114300" distR="114300"/>
                <wp:docPr id="9" name="Straight Arrow Connector 9"/>
                <wp:cNvGraphicFramePr/>
                <a:graphic xmlns:a="http://schemas.openxmlformats.org/drawingml/2006/main">
                  <a:graphicData uri="http://schemas.microsoft.com/office/word/2010/wordprocessingShape">
                    <wps:wsp>
                      <wps:cNvCnPr/>
                      <wps:spPr>
                        <a:xfrm>
                          <a:off x="5341555" y="3780000"/>
                          <a:ext cx="8890" cy="0"/>
                        </a:xfrm>
                        <a:prstGeom prst="straightConnector1">
                          <a:avLst/>
                        </a:prstGeom>
                        <a:noFill/>
                        <a:ln w="9525" cap="flat" cmpd="sng">
                          <a:solidFill>
                            <a:srgbClr val="007F00"/>
                          </a:solidFill>
                          <a:prstDash val="solid"/>
                          <a:round/>
                          <a:headEnd type="none" w="med" len="med"/>
                          <a:tailEnd type="none" w="med" len="med"/>
                        </a:ln>
                      </wps:spPr>
                      <wps:bodyPr/>
                    </wps:wsp>
                  </a:graphicData>
                </a:graphic>
              </wp:anchor>
            </w:drawing>
          </mc:Choice>
          <mc:Fallback xmlns:mv="urn:schemas-microsoft-com:mac:vml" xmlns:mo="http://schemas.microsoft.com/office/mac/office/2008/main">
            <w:pict>
              <v:shape w14:anchorId="2AE0C2F5" id="Straight Arrow Connector 9" o:spid="_x0000_s1026" type="#_x0000_t32" style="position:absolute;margin-left:309pt;margin-top:-60pt;width:1pt;height:1pt;z-index:-2516541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" o:allowincell="f" strokecolor="#007f00">
                <w10:wrap type="square" anchorx="margin"/>
              </v:shape>
            </w:pict>
          </mc:Fallback>
        </mc:AlternateContent>
      </w:r>
    </w:p>
    <w:p w14:paraId="193074CB" w14:textId="06B98C26" w:rsidR="002D30E6" w:rsidRDefault="00DD1DA3" w:rsidP="00302516">
      <w:pPr>
        <w:spacing w:before="10" w:after="160" w:line="480" w:lineRule="auto"/>
        <w:ind w:firstLine="422"/>
        <w:jc w:val="both"/>
      </w:pPr>
      <w:r>
        <w:t>The variables I</w:t>
      </w:r>
      <w:r w:rsidR="00FD787A">
        <w:t xml:space="preserve"> used</w:t>
      </w:r>
      <w:r w:rsidR="002D30E6">
        <w:t xml:space="preserve"> are listed below:</w:t>
      </w: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1785"/>
        <w:gridCol w:w="5235"/>
      </w:tblGrid>
      <w:tr w:rsidR="002D30E6" w14:paraId="45FE76B4" w14:textId="77777777" w:rsidTr="00C55BBD">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D5BF2" w14:textId="77777777" w:rsidR="002D30E6" w:rsidRDefault="002D30E6" w:rsidP="00C55BBD">
            <w:pPr>
              <w:spacing w:before="10"/>
              <w:jc w:val="both"/>
            </w:pPr>
            <w:r>
              <w:rPr>
                <w:sz w:val="24"/>
                <w:szCs w:val="24"/>
              </w:rPr>
              <w:t>Name</w:t>
            </w:r>
          </w:p>
        </w:tc>
        <w:tc>
          <w:tcPr>
            <w:tcW w:w="1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CBD48B3" w14:textId="77777777" w:rsidR="002D30E6" w:rsidRDefault="002D30E6" w:rsidP="00C55BBD">
            <w:pPr>
              <w:spacing w:before="10"/>
              <w:jc w:val="both"/>
            </w:pPr>
            <w:r>
              <w:rPr>
                <w:sz w:val="24"/>
                <w:szCs w:val="24"/>
              </w:rPr>
              <w:t>Unit</w:t>
            </w:r>
          </w:p>
        </w:tc>
        <w:tc>
          <w:tcPr>
            <w:tcW w:w="5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9AE98D" w14:textId="77777777" w:rsidR="002D30E6" w:rsidRDefault="002D30E6" w:rsidP="00C55BBD">
            <w:pPr>
              <w:spacing w:before="10"/>
              <w:jc w:val="both"/>
            </w:pPr>
            <w:r>
              <w:rPr>
                <w:sz w:val="24"/>
                <w:szCs w:val="24"/>
              </w:rPr>
              <w:t>Description</w:t>
            </w:r>
          </w:p>
        </w:tc>
      </w:tr>
      <w:tr w:rsidR="002D30E6" w14:paraId="76CB0812" w14:textId="77777777" w:rsidTr="00C55BBD">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1C9EDF" w14:textId="77777777" w:rsidR="002D30E6" w:rsidRDefault="002D30E6" w:rsidP="00C55BBD">
            <w:pPr>
              <w:spacing w:before="10"/>
              <w:jc w:val="both"/>
            </w:pPr>
            <w:r>
              <w:rPr>
                <w:sz w:val="24"/>
                <w:szCs w:val="24"/>
              </w:rPr>
              <w:t>lnso2</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3B07B5CA" w14:textId="77777777" w:rsidR="002D30E6" w:rsidRDefault="002D30E6" w:rsidP="00C55BBD">
            <w:pPr>
              <w:spacing w:before="10"/>
              <w:jc w:val="both"/>
            </w:pPr>
            <w:r>
              <w:rPr>
                <w:sz w:val="24"/>
                <w:szCs w:val="24"/>
              </w:rPr>
              <w:t>Ton</w:t>
            </w:r>
          </w:p>
        </w:tc>
        <w:tc>
          <w:tcPr>
            <w:tcW w:w="5235" w:type="dxa"/>
            <w:tcBorders>
              <w:top w:val="nil"/>
              <w:left w:val="nil"/>
              <w:bottom w:val="single" w:sz="8" w:space="0" w:color="000000"/>
              <w:right w:val="single" w:sz="8" w:space="0" w:color="000000"/>
            </w:tcBorders>
            <w:tcMar>
              <w:top w:w="100" w:type="dxa"/>
              <w:left w:w="100" w:type="dxa"/>
              <w:bottom w:w="100" w:type="dxa"/>
              <w:right w:w="100" w:type="dxa"/>
            </w:tcMar>
          </w:tcPr>
          <w:p w14:paraId="31D5EBFD" w14:textId="77777777" w:rsidR="002D30E6" w:rsidRDefault="002D30E6" w:rsidP="00C55BBD">
            <w:pPr>
              <w:spacing w:before="10"/>
              <w:jc w:val="both"/>
            </w:pPr>
            <w:r>
              <w:rPr>
                <w:sz w:val="24"/>
                <w:szCs w:val="24"/>
              </w:rPr>
              <w:t>Log form of SO2 emissions, dependent variable</w:t>
            </w:r>
          </w:p>
        </w:tc>
      </w:tr>
      <w:tr w:rsidR="002D30E6" w14:paraId="340841DE" w14:textId="77777777" w:rsidTr="00C55BBD">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019F76" w14:textId="66D64AD1" w:rsidR="002D30E6" w:rsidRDefault="00DD1DA3" w:rsidP="00C55BBD">
            <w:pPr>
              <w:spacing w:before="10"/>
              <w:jc w:val="both"/>
            </w:pPr>
            <w:proofErr w:type="spellStart"/>
            <w:r>
              <w:rPr>
                <w:sz w:val="24"/>
                <w:szCs w:val="24"/>
              </w:rPr>
              <w:t>H</w:t>
            </w:r>
            <w:r w:rsidR="002D30E6">
              <w:rPr>
                <w:sz w:val="24"/>
                <w:szCs w:val="24"/>
              </w:rPr>
              <w:t>eatinput</w:t>
            </w:r>
            <w:proofErr w:type="spellEnd"/>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674F54B2" w14:textId="77777777" w:rsidR="002D30E6" w:rsidRDefault="002D30E6" w:rsidP="00C55BBD">
            <w:pPr>
              <w:spacing w:before="10"/>
              <w:jc w:val="both"/>
            </w:pPr>
            <w:r>
              <w:rPr>
                <w:sz w:val="24"/>
                <w:szCs w:val="24"/>
              </w:rPr>
              <w:t>MMBtu</w:t>
            </w:r>
          </w:p>
        </w:tc>
        <w:tc>
          <w:tcPr>
            <w:tcW w:w="5235" w:type="dxa"/>
            <w:tcBorders>
              <w:top w:val="nil"/>
              <w:left w:val="nil"/>
              <w:bottom w:val="single" w:sz="8" w:space="0" w:color="000000"/>
              <w:right w:val="single" w:sz="8" w:space="0" w:color="000000"/>
            </w:tcBorders>
            <w:tcMar>
              <w:top w:w="100" w:type="dxa"/>
              <w:left w:w="100" w:type="dxa"/>
              <w:bottom w:w="100" w:type="dxa"/>
              <w:right w:w="100" w:type="dxa"/>
            </w:tcMar>
          </w:tcPr>
          <w:p w14:paraId="697120E8" w14:textId="77777777" w:rsidR="002D30E6" w:rsidRDefault="002D30E6" w:rsidP="00C55BBD">
            <w:pPr>
              <w:spacing w:before="10"/>
              <w:jc w:val="both"/>
            </w:pPr>
            <w:r>
              <w:rPr>
                <w:sz w:val="24"/>
                <w:szCs w:val="24"/>
              </w:rPr>
              <w:t>Heat input</w:t>
            </w:r>
          </w:p>
        </w:tc>
      </w:tr>
      <w:tr w:rsidR="002D30E6" w14:paraId="72D78F74" w14:textId="77777777" w:rsidTr="00C55BBD">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D3B678" w14:textId="77777777" w:rsidR="002D30E6" w:rsidRDefault="002D30E6" w:rsidP="00C55BBD">
            <w:pPr>
              <w:spacing w:before="10"/>
              <w:jc w:val="both"/>
            </w:pPr>
            <w:r>
              <w:rPr>
                <w:sz w:val="24"/>
                <w:szCs w:val="24"/>
              </w:rPr>
              <w:t>stage1</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440BE4BF" w14:textId="77777777" w:rsidR="002D30E6" w:rsidRDefault="002D30E6" w:rsidP="00C55BBD">
            <w:pPr>
              <w:spacing w:before="10"/>
              <w:jc w:val="both"/>
            </w:pPr>
            <w:r>
              <w:rPr>
                <w:sz w:val="24"/>
                <w:szCs w:val="24"/>
              </w:rPr>
              <w:t xml:space="preserve"> </w:t>
            </w:r>
          </w:p>
        </w:tc>
        <w:tc>
          <w:tcPr>
            <w:tcW w:w="5235" w:type="dxa"/>
            <w:tcBorders>
              <w:top w:val="nil"/>
              <w:left w:val="nil"/>
              <w:bottom w:val="single" w:sz="8" w:space="0" w:color="000000"/>
              <w:right w:val="single" w:sz="8" w:space="0" w:color="000000"/>
            </w:tcBorders>
            <w:tcMar>
              <w:top w:w="100" w:type="dxa"/>
              <w:left w:w="100" w:type="dxa"/>
              <w:bottom w:w="100" w:type="dxa"/>
              <w:right w:w="100" w:type="dxa"/>
            </w:tcMar>
          </w:tcPr>
          <w:p w14:paraId="17535459" w14:textId="77777777" w:rsidR="002D30E6" w:rsidRDefault="002D30E6" w:rsidP="00C55BBD">
            <w:pPr>
              <w:spacing w:before="10"/>
              <w:jc w:val="both"/>
            </w:pPr>
            <w:r>
              <w:rPr>
                <w:sz w:val="24"/>
                <w:szCs w:val="24"/>
              </w:rPr>
              <w:t>Stage 1 (1995 to 1999) dummy</w:t>
            </w:r>
          </w:p>
        </w:tc>
      </w:tr>
      <w:tr w:rsidR="002D30E6" w14:paraId="378FDFF6" w14:textId="77777777" w:rsidTr="00C55BBD">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A74D06" w14:textId="77777777" w:rsidR="002D30E6" w:rsidRDefault="002D30E6" w:rsidP="00C55BBD">
            <w:pPr>
              <w:spacing w:before="10"/>
              <w:jc w:val="both"/>
            </w:pPr>
            <w:r>
              <w:rPr>
                <w:sz w:val="24"/>
                <w:szCs w:val="24"/>
              </w:rPr>
              <w:t>stage2</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7742D0FE" w14:textId="77777777" w:rsidR="002D30E6" w:rsidRDefault="002D30E6" w:rsidP="00C55BBD">
            <w:pPr>
              <w:spacing w:before="10"/>
              <w:jc w:val="both"/>
            </w:pPr>
            <w:r>
              <w:rPr>
                <w:sz w:val="24"/>
                <w:szCs w:val="24"/>
              </w:rPr>
              <w:t xml:space="preserve"> </w:t>
            </w:r>
          </w:p>
        </w:tc>
        <w:tc>
          <w:tcPr>
            <w:tcW w:w="5235" w:type="dxa"/>
            <w:tcBorders>
              <w:top w:val="nil"/>
              <w:left w:val="nil"/>
              <w:bottom w:val="single" w:sz="8" w:space="0" w:color="000000"/>
              <w:right w:val="single" w:sz="8" w:space="0" w:color="000000"/>
            </w:tcBorders>
            <w:tcMar>
              <w:top w:w="100" w:type="dxa"/>
              <w:left w:w="100" w:type="dxa"/>
              <w:bottom w:w="100" w:type="dxa"/>
              <w:right w:w="100" w:type="dxa"/>
            </w:tcMar>
          </w:tcPr>
          <w:p w14:paraId="59589D1A" w14:textId="77777777" w:rsidR="002D30E6" w:rsidRDefault="002D30E6" w:rsidP="00C55BBD">
            <w:pPr>
              <w:spacing w:before="10"/>
              <w:jc w:val="both"/>
            </w:pPr>
            <w:r>
              <w:rPr>
                <w:sz w:val="24"/>
                <w:szCs w:val="24"/>
              </w:rPr>
              <w:t>Stage 2 (2000 to 2013) dummy</w:t>
            </w:r>
          </w:p>
        </w:tc>
      </w:tr>
      <w:tr w:rsidR="002D30E6" w14:paraId="0A7609E7" w14:textId="77777777" w:rsidTr="00C55BBD">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FC154" w14:textId="32460C28" w:rsidR="002D30E6" w:rsidRDefault="00DD1DA3" w:rsidP="00C55BBD">
            <w:pPr>
              <w:spacing w:before="10"/>
              <w:jc w:val="both"/>
            </w:pPr>
            <w:r>
              <w:rPr>
                <w:sz w:val="24"/>
                <w:szCs w:val="24"/>
              </w:rPr>
              <w:t>T</w:t>
            </w:r>
            <w:r w:rsidR="002D30E6">
              <w:rPr>
                <w:sz w:val="24"/>
                <w:szCs w:val="24"/>
              </w:rPr>
              <w:t>ec</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16F868A5" w14:textId="77777777" w:rsidR="002D30E6" w:rsidRDefault="002D30E6" w:rsidP="00C55BBD">
            <w:pPr>
              <w:spacing w:before="10"/>
              <w:jc w:val="both"/>
            </w:pPr>
            <w:r>
              <w:rPr>
                <w:sz w:val="24"/>
                <w:szCs w:val="24"/>
              </w:rPr>
              <w:t>Billion Btu</w:t>
            </w:r>
          </w:p>
        </w:tc>
        <w:tc>
          <w:tcPr>
            <w:tcW w:w="5235" w:type="dxa"/>
            <w:tcBorders>
              <w:top w:val="nil"/>
              <w:left w:val="nil"/>
              <w:bottom w:val="single" w:sz="8" w:space="0" w:color="000000"/>
              <w:right w:val="single" w:sz="8" w:space="0" w:color="000000"/>
            </w:tcBorders>
            <w:tcMar>
              <w:top w:w="100" w:type="dxa"/>
              <w:left w:w="100" w:type="dxa"/>
              <w:bottom w:w="100" w:type="dxa"/>
              <w:right w:w="100" w:type="dxa"/>
            </w:tcMar>
          </w:tcPr>
          <w:p w14:paraId="52D32D19" w14:textId="77777777" w:rsidR="002D30E6" w:rsidRDefault="002D30E6" w:rsidP="00C55BBD">
            <w:pPr>
              <w:spacing w:before="10"/>
              <w:jc w:val="both"/>
            </w:pPr>
            <w:r>
              <w:rPr>
                <w:sz w:val="24"/>
                <w:szCs w:val="24"/>
              </w:rPr>
              <w:t>Total energy consumption</w:t>
            </w:r>
          </w:p>
        </w:tc>
      </w:tr>
      <w:tr w:rsidR="002D30E6" w14:paraId="3B84DA52" w14:textId="77777777" w:rsidTr="00C55BBD">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669305" w14:textId="61BF2818" w:rsidR="002D30E6" w:rsidRDefault="00DD1DA3" w:rsidP="00C55BBD">
            <w:pPr>
              <w:spacing w:before="10"/>
              <w:jc w:val="both"/>
            </w:pPr>
            <w:proofErr w:type="spellStart"/>
            <w:r>
              <w:rPr>
                <w:sz w:val="24"/>
                <w:szCs w:val="24"/>
              </w:rPr>
              <w:t>P</w:t>
            </w:r>
            <w:r w:rsidR="002D30E6">
              <w:rPr>
                <w:sz w:val="24"/>
                <w:szCs w:val="24"/>
              </w:rPr>
              <w:t>opdens</w:t>
            </w:r>
            <w:proofErr w:type="spellEnd"/>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13231830" w14:textId="77777777" w:rsidR="002D30E6" w:rsidRDefault="002D30E6" w:rsidP="00C55BBD">
            <w:pPr>
              <w:spacing w:before="10"/>
              <w:jc w:val="both"/>
            </w:pPr>
            <w:r>
              <w:rPr>
                <w:sz w:val="24"/>
                <w:szCs w:val="24"/>
              </w:rPr>
              <w:t>Thousand/</w:t>
            </w:r>
            <w:proofErr w:type="spellStart"/>
            <w:r>
              <w:rPr>
                <w:sz w:val="24"/>
                <w:szCs w:val="24"/>
              </w:rPr>
              <w:t>Sqmi</w:t>
            </w:r>
            <w:proofErr w:type="spellEnd"/>
            <w:r>
              <w:rPr>
                <w:sz w:val="24"/>
                <w:szCs w:val="24"/>
              </w:rPr>
              <w:t>.</w:t>
            </w:r>
          </w:p>
        </w:tc>
        <w:tc>
          <w:tcPr>
            <w:tcW w:w="5235" w:type="dxa"/>
            <w:tcBorders>
              <w:top w:val="nil"/>
              <w:left w:val="nil"/>
              <w:bottom w:val="single" w:sz="8" w:space="0" w:color="000000"/>
              <w:right w:val="single" w:sz="8" w:space="0" w:color="000000"/>
            </w:tcBorders>
            <w:tcMar>
              <w:top w:w="100" w:type="dxa"/>
              <w:left w:w="100" w:type="dxa"/>
              <w:bottom w:w="100" w:type="dxa"/>
              <w:right w:w="100" w:type="dxa"/>
            </w:tcMar>
          </w:tcPr>
          <w:p w14:paraId="4463962B" w14:textId="77777777" w:rsidR="002D30E6" w:rsidRDefault="002D30E6" w:rsidP="00C55BBD">
            <w:pPr>
              <w:spacing w:before="10"/>
              <w:jc w:val="both"/>
            </w:pPr>
            <w:r>
              <w:rPr>
                <w:sz w:val="24"/>
                <w:szCs w:val="24"/>
              </w:rPr>
              <w:t>Population density of each state</w:t>
            </w:r>
          </w:p>
        </w:tc>
      </w:tr>
      <w:tr w:rsidR="002D30E6" w14:paraId="71EE4BCC" w14:textId="77777777" w:rsidTr="00C55BBD">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B84870" w14:textId="1C26E946" w:rsidR="002D30E6" w:rsidRDefault="00DD1DA3" w:rsidP="00C55BBD">
            <w:pPr>
              <w:spacing w:before="10"/>
              <w:jc w:val="both"/>
            </w:pPr>
            <w:proofErr w:type="spellStart"/>
            <w:r>
              <w:rPr>
                <w:sz w:val="24"/>
                <w:szCs w:val="24"/>
              </w:rPr>
              <w:t>R</w:t>
            </w:r>
            <w:r w:rsidR="002D30E6">
              <w:rPr>
                <w:sz w:val="24"/>
                <w:szCs w:val="24"/>
              </w:rPr>
              <w:t>ectotec</w:t>
            </w:r>
            <w:proofErr w:type="spellEnd"/>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22BFE9EC" w14:textId="77777777" w:rsidR="002D30E6" w:rsidRDefault="002D30E6" w:rsidP="00C55BBD">
            <w:pPr>
              <w:spacing w:before="10"/>
              <w:jc w:val="both"/>
            </w:pPr>
            <w:r>
              <w:rPr>
                <w:sz w:val="24"/>
                <w:szCs w:val="24"/>
              </w:rPr>
              <w:t>%</w:t>
            </w:r>
          </w:p>
        </w:tc>
        <w:tc>
          <w:tcPr>
            <w:tcW w:w="5235" w:type="dxa"/>
            <w:tcBorders>
              <w:top w:val="nil"/>
              <w:left w:val="nil"/>
              <w:bottom w:val="single" w:sz="8" w:space="0" w:color="000000"/>
              <w:right w:val="single" w:sz="8" w:space="0" w:color="000000"/>
            </w:tcBorders>
            <w:tcMar>
              <w:top w:w="100" w:type="dxa"/>
              <w:left w:w="100" w:type="dxa"/>
              <w:bottom w:w="100" w:type="dxa"/>
              <w:right w:w="100" w:type="dxa"/>
            </w:tcMar>
          </w:tcPr>
          <w:p w14:paraId="377DD8AE" w14:textId="77777777" w:rsidR="002D30E6" w:rsidRDefault="002D30E6" w:rsidP="00C55BBD">
            <w:pPr>
              <w:spacing w:before="10"/>
              <w:jc w:val="both"/>
            </w:pPr>
            <w:r>
              <w:rPr>
                <w:sz w:val="24"/>
                <w:szCs w:val="24"/>
              </w:rPr>
              <w:t>Ratio of renewable energy consumption to total energy consumption</w:t>
            </w:r>
          </w:p>
        </w:tc>
      </w:tr>
    </w:tbl>
    <w:p w14:paraId="5DDEC0FA" w14:textId="77777777" w:rsidR="002D30E6" w:rsidRDefault="002D30E6" w:rsidP="002D30E6">
      <w:pPr>
        <w:spacing w:before="10" w:after="160" w:line="480" w:lineRule="auto"/>
        <w:jc w:val="both"/>
      </w:pPr>
      <w:r>
        <w:t xml:space="preserve"> </w:t>
      </w:r>
    </w:p>
    <w:p w14:paraId="459E1801" w14:textId="6A3049D5" w:rsidR="001F1749" w:rsidRDefault="00DD1DA3" w:rsidP="00302516">
      <w:pPr>
        <w:spacing w:line="480" w:lineRule="auto"/>
        <w:ind w:left="422" w:right="279" w:firstLine="700"/>
        <w:jc w:val="both"/>
      </w:pPr>
      <w:r>
        <w:t>I</w:t>
      </w:r>
      <w:r w:rsidR="00E7308C">
        <w:t xml:space="preserve"> first ran </w:t>
      </w:r>
      <w:r w:rsidR="00EF258E">
        <w:t>separate bivariate regressions for lnSO2 emissions on each independent variable</w:t>
      </w:r>
      <w:r w:rsidR="00FD787A">
        <w:t>. T</w:t>
      </w:r>
      <w:r w:rsidR="00EF258E">
        <w:t>he result</w:t>
      </w:r>
      <w:r w:rsidR="00FD787A">
        <w:t>s</w:t>
      </w:r>
      <w:r w:rsidR="00EF258E">
        <w:t xml:space="preserve"> of each </w:t>
      </w:r>
      <w:r w:rsidR="00FD787A">
        <w:t xml:space="preserve">regression displayed </w:t>
      </w:r>
      <w:r w:rsidR="00EF258E">
        <w:t>coefficient</w:t>
      </w:r>
      <w:r w:rsidR="00FD787A">
        <w:t>s</w:t>
      </w:r>
      <w:r w:rsidR="00EF258E">
        <w:t xml:space="preserve"> </w:t>
      </w:r>
      <w:r w:rsidR="00FD787A">
        <w:t>which had the expected signs and directions.  F</w:t>
      </w:r>
      <w:r w:rsidR="00EF258E">
        <w:t>urther</w:t>
      </w:r>
      <w:r w:rsidR="00FD787A">
        <w:t>, I made</w:t>
      </w:r>
      <w:r w:rsidR="00EF258E">
        <w:t xml:space="preserve"> scatterplots of lnSO2 on each of the independent v</w:t>
      </w:r>
      <w:r w:rsidR="00FD787A">
        <w:t>ariables to see if</w:t>
      </w:r>
      <w:r w:rsidR="00EF258E">
        <w:t xml:space="preserve"> a linear relationship</w:t>
      </w:r>
      <w:r w:rsidR="00FD787A">
        <w:t xml:space="preserve"> was present.  T</w:t>
      </w:r>
      <w:r w:rsidR="00EF258E">
        <w:t xml:space="preserve">he </w:t>
      </w:r>
      <w:r w:rsidR="00E7308C">
        <w:t>first graph below</w:t>
      </w:r>
      <w:r w:rsidR="00EF258E">
        <w:t>, which is the scatterplot of lnS</w:t>
      </w:r>
      <w:r w:rsidR="00FD787A">
        <w:t>O2 on heat input, clearly shows</w:t>
      </w:r>
      <w:r w:rsidR="00EF258E">
        <w:t xml:space="preserve"> </w:t>
      </w:r>
      <w:r w:rsidR="00A90937">
        <w:t xml:space="preserve">a non-linear relationship. </w:t>
      </w:r>
      <w:r>
        <w:t xml:space="preserve"> I</w:t>
      </w:r>
      <w:r w:rsidR="00EF258E">
        <w:t xml:space="preserve"> decided</w:t>
      </w:r>
      <w:r w:rsidR="00A90937">
        <w:t>, therefore,</w:t>
      </w:r>
      <w:r w:rsidR="00EF258E">
        <w:t xml:space="preserve"> to take the natural log form of heat input. The </w:t>
      </w:r>
      <w:r w:rsidR="00E7308C">
        <w:t xml:space="preserve">second </w:t>
      </w:r>
      <w:r w:rsidR="00EF258E">
        <w:t xml:space="preserve">scatterplot </w:t>
      </w:r>
      <w:r w:rsidR="00E7308C">
        <w:t xml:space="preserve">below </w:t>
      </w:r>
      <w:r w:rsidR="00FD787A">
        <w:t>demonstrates</w:t>
      </w:r>
      <w:r w:rsidR="00EF258E">
        <w:t xml:space="preserve"> that the linear relationship was applic</w:t>
      </w:r>
      <w:r w:rsidR="00FD787A">
        <w:t>able for a log-log form</w:t>
      </w:r>
      <w:r w:rsidR="00EF258E">
        <w:t>.</w:t>
      </w:r>
    </w:p>
    <w:p w14:paraId="5D0BA864" w14:textId="77777777" w:rsidR="001F1749" w:rsidRDefault="00EF258E" w:rsidP="00302516">
      <w:pPr>
        <w:spacing w:before="10" w:after="160" w:line="480" w:lineRule="auto"/>
        <w:jc w:val="center"/>
      </w:pPr>
      <w:r>
        <w:rPr>
          <w:noProof/>
        </w:rPr>
        <w:lastRenderedPageBreak/>
        <w:drawing>
          <wp:inline distT="114300" distB="114300" distL="114300" distR="114300" wp14:anchorId="3CEB2911" wp14:editId="24933C42">
            <wp:extent cx="3543300" cy="2565400"/>
            <wp:effectExtent l="0" t="0" r="0" b="0"/>
            <wp:docPr id="4"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9"/>
                    <a:srcRect/>
                    <a:stretch>
                      <a:fillRect/>
                    </a:stretch>
                  </pic:blipFill>
                  <pic:spPr>
                    <a:xfrm>
                      <a:off x="0" y="0"/>
                      <a:ext cx="3543300" cy="2565400"/>
                    </a:xfrm>
                    <a:prstGeom prst="rect">
                      <a:avLst/>
                    </a:prstGeom>
                    <a:ln/>
                  </pic:spPr>
                </pic:pic>
              </a:graphicData>
            </a:graphic>
          </wp:inline>
        </w:drawing>
      </w:r>
      <w:r>
        <w:rPr>
          <w:noProof/>
        </w:rPr>
        <w:drawing>
          <wp:inline distT="114300" distB="114300" distL="114300" distR="114300" wp14:anchorId="3F7B639A" wp14:editId="7BA8EA8D">
            <wp:extent cx="3505200" cy="2540000"/>
            <wp:effectExtent l="0" t="0" r="0" b="0"/>
            <wp:docPr id="5"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10"/>
                    <a:srcRect/>
                    <a:stretch>
                      <a:fillRect/>
                    </a:stretch>
                  </pic:blipFill>
                  <pic:spPr>
                    <a:xfrm>
                      <a:off x="0" y="0"/>
                      <a:ext cx="3505200" cy="2540000"/>
                    </a:xfrm>
                    <a:prstGeom prst="rect">
                      <a:avLst/>
                    </a:prstGeom>
                    <a:ln/>
                  </pic:spPr>
                </pic:pic>
              </a:graphicData>
            </a:graphic>
          </wp:inline>
        </w:drawing>
      </w:r>
    </w:p>
    <w:p w14:paraId="2347EFDA" w14:textId="6BF022AC" w:rsidR="001F1749" w:rsidRDefault="00DD1DA3" w:rsidP="00302516">
      <w:pPr>
        <w:spacing w:before="10" w:after="160" w:line="480" w:lineRule="auto"/>
        <w:ind w:firstLine="720"/>
        <w:jc w:val="both"/>
      </w:pPr>
      <w:r>
        <w:t>I</w:t>
      </w:r>
      <w:r w:rsidR="00EF258E">
        <w:t xml:space="preserve"> also took the log form on total energy consumption based on the same reasoning.</w:t>
      </w:r>
    </w:p>
    <w:p w14:paraId="788BE4BB" w14:textId="126F82FE" w:rsidR="00E7308C" w:rsidRDefault="00EF258E" w:rsidP="00227B20">
      <w:pPr>
        <w:spacing w:before="10" w:after="160" w:line="480" w:lineRule="auto"/>
        <w:ind w:left="720"/>
        <w:jc w:val="both"/>
      </w:pPr>
      <w:r>
        <w:t>The</w:t>
      </w:r>
      <w:r w:rsidR="00FD787A">
        <w:t xml:space="preserve"> VIF test was used to detect any</w:t>
      </w:r>
      <w:r>
        <w:t xml:space="preserve"> multicollinearity </w:t>
      </w:r>
      <w:r w:rsidR="00DD1DA3">
        <w:t>in my</w:t>
      </w:r>
      <w:r w:rsidR="00063F35">
        <w:t xml:space="preserve"> model. Since none of the </w:t>
      </w:r>
      <w:r>
        <w:t xml:space="preserve">variables had </w:t>
      </w:r>
      <w:r w:rsidR="00FD787A">
        <w:t xml:space="preserve">a </w:t>
      </w:r>
      <w:r>
        <w:t xml:space="preserve">VIF </w:t>
      </w:r>
      <w:r w:rsidR="00FD787A">
        <w:t xml:space="preserve">score </w:t>
      </w:r>
      <w:r w:rsidR="00DD1DA3">
        <w:t>larger than 5, I</w:t>
      </w:r>
      <w:r>
        <w:t xml:space="preserve"> believe there is no </w:t>
      </w:r>
      <w:r w:rsidR="00A90937">
        <w:t>cause for concern over the potential existence of</w:t>
      </w:r>
      <w:r>
        <w:t xml:space="preserve"> multicollinearity.</w:t>
      </w:r>
    </w:p>
    <w:p w14:paraId="29D2CEE6" w14:textId="77777777" w:rsidR="001F1749" w:rsidRDefault="00EF258E">
      <w:pPr>
        <w:spacing w:before="10" w:after="160"/>
        <w:jc w:val="both"/>
      </w:pPr>
      <w:r>
        <w:rPr>
          <w:sz w:val="16"/>
          <w:szCs w:val="16"/>
        </w:rPr>
        <w:t>.</w:t>
      </w: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vif</w:t>
      </w:r>
      <w:proofErr w:type="spellEnd"/>
    </w:p>
    <w:p w14:paraId="175815DD" w14:textId="77777777" w:rsidR="001F1749" w:rsidRDefault="00EF258E">
      <w:pPr>
        <w:spacing w:before="10" w:after="160"/>
        <w:jc w:val="both"/>
      </w:pPr>
      <w:r>
        <w:rPr>
          <w:rFonts w:ascii="Courier New" w:eastAsia="Courier New" w:hAnsi="Courier New" w:cs="Courier New"/>
          <w:sz w:val="16"/>
          <w:szCs w:val="16"/>
        </w:rPr>
        <w:t xml:space="preserve">   Variable |    </w:t>
      </w:r>
      <w:r>
        <w:rPr>
          <w:rFonts w:ascii="Courier New" w:eastAsia="Courier New" w:hAnsi="Courier New" w:cs="Courier New"/>
          <w:sz w:val="16"/>
          <w:szCs w:val="16"/>
        </w:rPr>
        <w:tab/>
        <w:t>VIF   1/VIF</w:t>
      </w:r>
    </w:p>
    <w:p w14:paraId="294B7DA1" w14:textId="77777777" w:rsidR="001F1749" w:rsidRDefault="00EF258E">
      <w:pPr>
        <w:spacing w:before="10" w:after="160"/>
        <w:jc w:val="both"/>
      </w:pPr>
      <w:r>
        <w:rPr>
          <w:rFonts w:ascii="Courier New" w:eastAsia="Courier New" w:hAnsi="Courier New" w:cs="Courier New"/>
          <w:sz w:val="16"/>
          <w:szCs w:val="16"/>
        </w:rPr>
        <w:t>-------------+----------------------</w:t>
      </w:r>
    </w:p>
    <w:p w14:paraId="501F41C2" w14:textId="77777777" w:rsidR="001F1749" w:rsidRDefault="00EF258E">
      <w:pPr>
        <w:spacing w:before="10" w:after="160"/>
        <w:jc w:val="both"/>
      </w:pPr>
      <w:proofErr w:type="spellStart"/>
      <w:r>
        <w:rPr>
          <w:rFonts w:ascii="Courier New" w:eastAsia="Courier New" w:hAnsi="Courier New" w:cs="Courier New"/>
          <w:sz w:val="16"/>
          <w:szCs w:val="16"/>
        </w:rPr>
        <w:t>lnheatinput</w:t>
      </w:r>
      <w:proofErr w:type="spellEnd"/>
      <w:r>
        <w:rPr>
          <w:rFonts w:ascii="Courier New" w:eastAsia="Courier New" w:hAnsi="Courier New" w:cs="Courier New"/>
          <w:sz w:val="16"/>
          <w:szCs w:val="16"/>
        </w:rPr>
        <w:t xml:space="preserve"> |    </w:t>
      </w:r>
      <w:r>
        <w:rPr>
          <w:rFonts w:ascii="Courier New" w:eastAsia="Courier New" w:hAnsi="Courier New" w:cs="Courier New"/>
          <w:sz w:val="16"/>
          <w:szCs w:val="16"/>
        </w:rPr>
        <w:tab/>
        <w:t>4.82   0.207347</w:t>
      </w:r>
    </w:p>
    <w:p w14:paraId="5A2A9920" w14:textId="77777777" w:rsidR="001F1749" w:rsidRDefault="00EF258E">
      <w:pPr>
        <w:spacing w:before="10" w:after="160"/>
        <w:jc w:val="both"/>
      </w:pPr>
      <w:proofErr w:type="spellStart"/>
      <w:r>
        <w:rPr>
          <w:rFonts w:ascii="Courier New" w:eastAsia="Courier New" w:hAnsi="Courier New" w:cs="Courier New"/>
          <w:sz w:val="16"/>
          <w:szCs w:val="16"/>
        </w:rPr>
        <w:t>lntec</w:t>
      </w:r>
      <w:proofErr w:type="spellEnd"/>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r>
        <w:rPr>
          <w:rFonts w:ascii="Courier New" w:eastAsia="Courier New" w:hAnsi="Courier New" w:cs="Courier New"/>
          <w:sz w:val="16"/>
          <w:szCs w:val="16"/>
        </w:rPr>
        <w:tab/>
        <w:t>2.90   0.344606</w:t>
      </w:r>
    </w:p>
    <w:p w14:paraId="2F413ED0" w14:textId="77777777" w:rsidR="001F1749" w:rsidRDefault="00EF258E">
      <w:pPr>
        <w:spacing w:before="10" w:after="160"/>
        <w:jc w:val="both"/>
      </w:pPr>
      <w:r>
        <w:rPr>
          <w:rFonts w:ascii="Courier New" w:eastAsia="Courier New" w:hAnsi="Courier New" w:cs="Courier New"/>
          <w:sz w:val="16"/>
          <w:szCs w:val="16"/>
        </w:rPr>
        <w:t xml:space="preserve">stage2  </w:t>
      </w:r>
      <w:r>
        <w:rPr>
          <w:rFonts w:ascii="Courier New" w:eastAsia="Courier New" w:hAnsi="Courier New" w:cs="Courier New"/>
          <w:sz w:val="16"/>
          <w:szCs w:val="16"/>
        </w:rPr>
        <w:tab/>
        <w:t xml:space="preserve">|    </w:t>
      </w:r>
      <w:r>
        <w:rPr>
          <w:rFonts w:ascii="Courier New" w:eastAsia="Courier New" w:hAnsi="Courier New" w:cs="Courier New"/>
          <w:sz w:val="16"/>
          <w:szCs w:val="16"/>
        </w:rPr>
        <w:tab/>
        <w:t>2.10   0.476066</w:t>
      </w:r>
    </w:p>
    <w:p w14:paraId="75137166" w14:textId="77777777" w:rsidR="001F1749" w:rsidRDefault="00EF258E">
      <w:pPr>
        <w:spacing w:before="10" w:after="160"/>
        <w:jc w:val="both"/>
      </w:pPr>
      <w:r>
        <w:rPr>
          <w:rFonts w:ascii="Courier New" w:eastAsia="Courier New" w:hAnsi="Courier New" w:cs="Courier New"/>
          <w:sz w:val="16"/>
          <w:szCs w:val="16"/>
        </w:rPr>
        <w:lastRenderedPageBreak/>
        <w:t xml:space="preserve">stage1  </w:t>
      </w:r>
      <w:r>
        <w:rPr>
          <w:rFonts w:ascii="Courier New" w:eastAsia="Courier New" w:hAnsi="Courier New" w:cs="Courier New"/>
          <w:sz w:val="16"/>
          <w:szCs w:val="16"/>
        </w:rPr>
        <w:tab/>
        <w:t xml:space="preserve">|    </w:t>
      </w:r>
      <w:r>
        <w:rPr>
          <w:rFonts w:ascii="Courier New" w:eastAsia="Courier New" w:hAnsi="Courier New" w:cs="Courier New"/>
          <w:sz w:val="16"/>
          <w:szCs w:val="16"/>
        </w:rPr>
        <w:tab/>
        <w:t>2.08   0.480390</w:t>
      </w:r>
    </w:p>
    <w:p w14:paraId="05F24CF8" w14:textId="77777777" w:rsidR="001F1749" w:rsidRDefault="00EF258E">
      <w:pPr>
        <w:spacing w:before="10" w:after="160"/>
        <w:jc w:val="both"/>
      </w:pPr>
      <w:proofErr w:type="spellStart"/>
      <w:r>
        <w:rPr>
          <w:rFonts w:ascii="Courier New" w:eastAsia="Courier New" w:hAnsi="Courier New" w:cs="Courier New"/>
          <w:sz w:val="16"/>
          <w:szCs w:val="16"/>
        </w:rPr>
        <w:t>popdens</w:t>
      </w:r>
      <w:proofErr w:type="spellEnd"/>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r>
        <w:rPr>
          <w:rFonts w:ascii="Courier New" w:eastAsia="Courier New" w:hAnsi="Courier New" w:cs="Courier New"/>
          <w:sz w:val="16"/>
          <w:szCs w:val="16"/>
        </w:rPr>
        <w:tab/>
        <w:t>2.02   0.494813</w:t>
      </w:r>
    </w:p>
    <w:p w14:paraId="3B7F83C3" w14:textId="77777777" w:rsidR="001F1749" w:rsidRDefault="00EF258E">
      <w:pPr>
        <w:spacing w:before="10" w:after="160"/>
        <w:jc w:val="both"/>
      </w:pPr>
      <w:proofErr w:type="spellStart"/>
      <w:r>
        <w:rPr>
          <w:rFonts w:ascii="Courier New" w:eastAsia="Courier New" w:hAnsi="Courier New" w:cs="Courier New"/>
          <w:sz w:val="16"/>
          <w:szCs w:val="16"/>
        </w:rPr>
        <w:t>rectotec</w:t>
      </w:r>
      <w:proofErr w:type="spellEnd"/>
      <w:r>
        <w:rPr>
          <w:rFonts w:ascii="Courier New" w:eastAsia="Courier New" w:hAnsi="Courier New" w:cs="Courier New"/>
          <w:sz w:val="16"/>
          <w:szCs w:val="16"/>
        </w:rPr>
        <w:tab/>
        <w:t xml:space="preserve">|    </w:t>
      </w:r>
      <w:r>
        <w:rPr>
          <w:rFonts w:ascii="Courier New" w:eastAsia="Courier New" w:hAnsi="Courier New" w:cs="Courier New"/>
          <w:sz w:val="16"/>
          <w:szCs w:val="16"/>
        </w:rPr>
        <w:tab/>
        <w:t>1.46   0.682682</w:t>
      </w:r>
    </w:p>
    <w:p w14:paraId="25EE9620" w14:textId="77777777" w:rsidR="001F1749" w:rsidRDefault="00EF258E">
      <w:pPr>
        <w:spacing w:before="10" w:after="160"/>
        <w:jc w:val="both"/>
      </w:pPr>
      <w:r>
        <w:rPr>
          <w:rFonts w:ascii="Courier New" w:eastAsia="Courier New" w:hAnsi="Courier New" w:cs="Courier New"/>
          <w:sz w:val="16"/>
          <w:szCs w:val="16"/>
        </w:rPr>
        <w:t>-------------+----------------------</w:t>
      </w:r>
    </w:p>
    <w:p w14:paraId="4D020BA3" w14:textId="77777777" w:rsidR="001F1749" w:rsidRDefault="00EF258E">
      <w:pPr>
        <w:spacing w:before="10" w:after="160"/>
        <w:jc w:val="both"/>
      </w:pPr>
      <w:r>
        <w:rPr>
          <w:rFonts w:ascii="Courier New" w:eastAsia="Courier New" w:hAnsi="Courier New" w:cs="Courier New"/>
          <w:sz w:val="16"/>
          <w:szCs w:val="16"/>
        </w:rPr>
        <w:t>Mean VIF</w:t>
      </w:r>
      <w:r>
        <w:rPr>
          <w:rFonts w:ascii="Courier New" w:eastAsia="Courier New" w:hAnsi="Courier New" w:cs="Courier New"/>
          <w:sz w:val="16"/>
          <w:szCs w:val="16"/>
        </w:rPr>
        <w:tab/>
        <w:t xml:space="preserve">|    </w:t>
      </w:r>
      <w:r>
        <w:rPr>
          <w:rFonts w:ascii="Courier New" w:eastAsia="Courier New" w:hAnsi="Courier New" w:cs="Courier New"/>
          <w:sz w:val="16"/>
          <w:szCs w:val="16"/>
        </w:rPr>
        <w:tab/>
        <w:t>2.57</w:t>
      </w:r>
    </w:p>
    <w:p w14:paraId="62854707" w14:textId="5ED5F667" w:rsidR="001F1749" w:rsidRDefault="00DD1DA3" w:rsidP="00063F35">
      <w:pPr>
        <w:spacing w:before="10" w:after="160" w:line="480" w:lineRule="auto"/>
        <w:ind w:left="720" w:firstLine="720"/>
        <w:jc w:val="both"/>
      </w:pPr>
      <w:r>
        <w:t>I</w:t>
      </w:r>
      <w:r w:rsidR="00EF258E">
        <w:t xml:space="preserve"> also had </w:t>
      </w:r>
      <w:r w:rsidR="00E7308C">
        <w:t xml:space="preserve">some </w:t>
      </w:r>
      <w:r w:rsidR="00EF258E">
        <w:t>concern</w:t>
      </w:r>
      <w:r w:rsidR="00E7308C">
        <w:t>s</w:t>
      </w:r>
      <w:r w:rsidR="00EF258E">
        <w:t xml:space="preserve"> about heteroskedasticity aft</w:t>
      </w:r>
      <w:r>
        <w:t xml:space="preserve">er </w:t>
      </w:r>
      <w:r w:rsidR="00CE4B95">
        <w:t>examining</w:t>
      </w:r>
      <w:r>
        <w:t xml:space="preserve"> the residual plot. I</w:t>
      </w:r>
      <w:r w:rsidR="00CE4B95">
        <w:t xml:space="preserve"> used the White Test</w:t>
      </w:r>
      <w:r w:rsidR="00EF258E">
        <w:t xml:space="preserve"> </w:t>
      </w:r>
      <w:r>
        <w:t xml:space="preserve">to </w:t>
      </w:r>
      <w:r w:rsidR="00CE4B95">
        <w:t xml:space="preserve">check this.  </w:t>
      </w:r>
      <w:r w:rsidR="00EF258E">
        <w:t xml:space="preserve">Based on </w:t>
      </w:r>
      <w:r>
        <w:t>the result</w:t>
      </w:r>
      <w:r w:rsidR="00CE4B95">
        <w:t>s</w:t>
      </w:r>
      <w:r>
        <w:t xml:space="preserve"> of the White Test, I</w:t>
      </w:r>
      <w:r w:rsidR="00CE4B95">
        <w:t xml:space="preserve"> </w:t>
      </w:r>
      <w:r w:rsidR="00EF258E">
        <w:t>reject</w:t>
      </w:r>
      <w:r w:rsidR="00CE4B95">
        <w:t>ed</w:t>
      </w:r>
      <w:r w:rsidR="00EF258E">
        <w:t xml:space="preserve"> the null hypothesis and accept</w:t>
      </w:r>
      <w:r w:rsidR="00CE4B95">
        <w:t>ed</w:t>
      </w:r>
      <w:r w:rsidR="00EF258E">
        <w:t xml:space="preserve"> </w:t>
      </w:r>
      <w:r w:rsidR="00E7308C">
        <w:t xml:space="preserve">the </w:t>
      </w:r>
      <w:r w:rsidR="00EF258E">
        <w:t>alternative</w:t>
      </w:r>
      <w:r w:rsidR="00CE4B95">
        <w:t xml:space="preserve"> hypothesis</w:t>
      </w:r>
      <w:r w:rsidR="00EF258E">
        <w:t xml:space="preserve"> that heteroskedasticity indeed existed with respect to one or more variab</w:t>
      </w:r>
      <w:r>
        <w:t>les. In the final regression, I</w:t>
      </w:r>
      <w:r w:rsidR="00EF258E">
        <w:t xml:space="preserve"> applied Robust Standard Errors to correct </w:t>
      </w:r>
      <w:r w:rsidR="00CE4B95">
        <w:t xml:space="preserve">for </w:t>
      </w:r>
      <w:r w:rsidR="00EF258E">
        <w:t>th</w:t>
      </w:r>
      <w:r w:rsidR="00CE4B95">
        <w:t>is.  Below are the results of the test.</w:t>
      </w:r>
    </w:p>
    <w:p w14:paraId="2E02B714" w14:textId="77777777" w:rsidR="001F1749" w:rsidRDefault="00EF258E" w:rsidP="00302516">
      <w:pPr>
        <w:spacing w:before="10" w:after="160"/>
        <w:ind w:left="709"/>
        <w:jc w:val="both"/>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whitetst</w:t>
      </w:r>
      <w:proofErr w:type="spellEnd"/>
    </w:p>
    <w:p w14:paraId="39364472" w14:textId="77777777" w:rsidR="001F1749" w:rsidRDefault="00EF258E" w:rsidP="00302516">
      <w:pPr>
        <w:tabs>
          <w:tab w:val="left" w:pos="851"/>
        </w:tabs>
        <w:spacing w:before="10" w:after="160"/>
        <w:ind w:left="709"/>
        <w:jc w:val="both"/>
      </w:pPr>
      <w:r>
        <w:rPr>
          <w:rFonts w:ascii="Courier New" w:eastAsia="Courier New" w:hAnsi="Courier New" w:cs="Courier New"/>
          <w:sz w:val="16"/>
          <w:szCs w:val="16"/>
        </w:rPr>
        <w:t xml:space="preserve">White's general test </w:t>
      </w:r>
      <w:proofErr w:type="gramStart"/>
      <w:r>
        <w:rPr>
          <w:rFonts w:ascii="Courier New" w:eastAsia="Courier New" w:hAnsi="Courier New" w:cs="Courier New"/>
          <w:sz w:val="16"/>
          <w:szCs w:val="16"/>
        </w:rPr>
        <w:t>statistic :</w:t>
      </w:r>
      <w:proofErr w:type="gramEnd"/>
      <w:r>
        <w:rPr>
          <w:rFonts w:ascii="Courier New" w:eastAsia="Courier New" w:hAnsi="Courier New" w:cs="Courier New"/>
          <w:sz w:val="16"/>
          <w:szCs w:val="16"/>
        </w:rPr>
        <w:t xml:space="preserve">  581.2071  Chi-</w:t>
      </w:r>
      <w:proofErr w:type="spellStart"/>
      <w:r>
        <w:rPr>
          <w:rFonts w:ascii="Courier New" w:eastAsia="Courier New" w:hAnsi="Courier New" w:cs="Courier New"/>
          <w:sz w:val="16"/>
          <w:szCs w:val="16"/>
        </w:rPr>
        <w:t>sq</w:t>
      </w:r>
      <w:proofErr w:type="spellEnd"/>
      <w:r>
        <w:rPr>
          <w:rFonts w:ascii="Courier New" w:eastAsia="Courier New" w:hAnsi="Courier New" w:cs="Courier New"/>
          <w:sz w:val="16"/>
          <w:szCs w:val="16"/>
        </w:rPr>
        <w:t>(24)  P-value =  2.e-107</w:t>
      </w:r>
    </w:p>
    <w:p w14:paraId="71EC9C82" w14:textId="77777777" w:rsidR="001F1749" w:rsidRDefault="001F1749">
      <w:pPr>
        <w:spacing w:before="10" w:after="160"/>
        <w:jc w:val="both"/>
      </w:pPr>
    </w:p>
    <w:p w14:paraId="1D3D11ED" w14:textId="2AD48E58" w:rsidR="001F1749" w:rsidRDefault="00DD1DA3" w:rsidP="00063F35">
      <w:pPr>
        <w:spacing w:before="10" w:after="160" w:line="480" w:lineRule="auto"/>
        <w:ind w:left="720" w:firstLine="720"/>
        <w:jc w:val="both"/>
      </w:pPr>
      <w:r>
        <w:t xml:space="preserve">Since </w:t>
      </w:r>
      <w:r w:rsidR="00CE4B95">
        <w:t>this is</w:t>
      </w:r>
      <w:r w:rsidR="00EF258E">
        <w:t xml:space="preserve"> a panel dataset with variables that vary from 198</w:t>
      </w:r>
      <w:r>
        <w:t>0, 1985, 1990, and 1995-2013, I</w:t>
      </w:r>
      <w:r w:rsidR="00EF258E">
        <w:t xml:space="preserve"> chose to first run a national-level fixed effects regression of lnSO2 on stage 1, stage 2, log form of heat input, log form of total energy consumption, population density and the ratio of renewable energy consumption to total energy con</w:t>
      </w:r>
      <w:r w:rsidR="00CE4B95">
        <w:t>sumption, using</w:t>
      </w:r>
      <w:r w:rsidR="00EF258E">
        <w:t xml:space="preserve"> Robust Standard Errors.</w:t>
      </w:r>
    </w:p>
    <w:p w14:paraId="6116019E" w14:textId="47BC340E" w:rsidR="001F1749" w:rsidRDefault="00CE4B95" w:rsidP="00063F35">
      <w:pPr>
        <w:spacing w:before="10" w:after="160" w:line="480" w:lineRule="auto"/>
        <w:ind w:left="720" w:firstLine="720"/>
        <w:jc w:val="both"/>
      </w:pPr>
      <w:r>
        <w:t>The regression results</w:t>
      </w:r>
      <w:r w:rsidR="00EF258E">
        <w:t xml:space="preserve"> show whether Stage 1 and/or Stage 2 were significantly different from Sta</w:t>
      </w:r>
      <w:r>
        <w:t>ge 0, which would help determine whether the CAT policy was</w:t>
      </w:r>
      <w:r w:rsidR="00EF258E">
        <w:t xml:space="preserve"> effective at </w:t>
      </w:r>
      <w:r>
        <w:t xml:space="preserve">the national level.  </w:t>
      </w:r>
      <w:r w:rsidR="00EF258E">
        <w:t xml:space="preserve">The final multivariate regression results at </w:t>
      </w:r>
      <w:r>
        <w:t xml:space="preserve">the </w:t>
      </w:r>
      <w:r w:rsidR="00EF258E">
        <w:t>national level are shown in the following table:</w:t>
      </w:r>
    </w:p>
    <w:p w14:paraId="32F6FC9C" w14:textId="77777777" w:rsidR="0063349F" w:rsidRDefault="0063349F" w:rsidP="00063F35">
      <w:pPr>
        <w:spacing w:before="10" w:after="160" w:line="480" w:lineRule="auto"/>
        <w:ind w:left="720" w:firstLine="720"/>
        <w:jc w:val="both"/>
      </w:pPr>
    </w:p>
    <w:p w14:paraId="4845ADEF" w14:textId="77777777" w:rsidR="0063349F" w:rsidRDefault="0063349F" w:rsidP="00063F35">
      <w:pPr>
        <w:spacing w:before="10" w:after="160" w:line="480" w:lineRule="auto"/>
        <w:ind w:left="720" w:firstLine="720"/>
        <w:jc w:val="both"/>
      </w:pPr>
    </w:p>
    <w:p w14:paraId="342E8BAE" w14:textId="77777777" w:rsidR="0063349F" w:rsidRDefault="0063349F" w:rsidP="00063F35">
      <w:pPr>
        <w:spacing w:before="10" w:after="160" w:line="480" w:lineRule="auto"/>
        <w:ind w:left="720" w:firstLine="720"/>
        <w:jc w:val="both"/>
      </w:pPr>
    </w:p>
    <w:tbl>
      <w:tblPr>
        <w:tblStyle w:val="a0"/>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30"/>
        <w:gridCol w:w="2100"/>
        <w:gridCol w:w="2430"/>
        <w:gridCol w:w="2505"/>
      </w:tblGrid>
      <w:tr w:rsidR="001F1749" w14:paraId="4D8C7E80" w14:textId="77777777">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49068E" w14:textId="77777777" w:rsidR="001F1749" w:rsidRDefault="00EF258E">
            <w:pPr>
              <w:spacing w:before="10"/>
              <w:jc w:val="both"/>
            </w:pPr>
            <w:r>
              <w:rPr>
                <w:sz w:val="24"/>
                <w:szCs w:val="24"/>
              </w:rPr>
              <w:lastRenderedPageBreak/>
              <w:t>Variable</w:t>
            </w:r>
          </w:p>
        </w:tc>
        <w:tc>
          <w:tcPr>
            <w:tcW w:w="21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8D4E9A" w14:textId="77777777" w:rsidR="001F1749" w:rsidRDefault="00EF258E">
            <w:pPr>
              <w:spacing w:before="10"/>
              <w:jc w:val="both"/>
            </w:pPr>
            <w:r>
              <w:rPr>
                <w:sz w:val="24"/>
                <w:szCs w:val="24"/>
              </w:rPr>
              <w:t>Coefficient</w:t>
            </w:r>
          </w:p>
        </w:tc>
        <w:tc>
          <w:tcPr>
            <w:tcW w:w="24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0D3BB1" w14:textId="77777777" w:rsidR="001F1749" w:rsidRDefault="00EF258E">
            <w:pPr>
              <w:spacing w:before="10"/>
              <w:jc w:val="both"/>
            </w:pPr>
            <w:r>
              <w:rPr>
                <w:sz w:val="24"/>
                <w:szCs w:val="24"/>
              </w:rPr>
              <w:t>p-value</w:t>
            </w:r>
          </w:p>
        </w:tc>
        <w:tc>
          <w:tcPr>
            <w:tcW w:w="25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B7D5A8" w14:textId="77777777" w:rsidR="001F1749" w:rsidRDefault="00EF258E">
            <w:pPr>
              <w:spacing w:before="10"/>
              <w:jc w:val="both"/>
            </w:pPr>
            <w:r>
              <w:rPr>
                <w:sz w:val="24"/>
                <w:szCs w:val="24"/>
              </w:rPr>
              <w:t>Significant</w:t>
            </w:r>
          </w:p>
        </w:tc>
      </w:tr>
      <w:tr w:rsidR="001F1749" w14:paraId="65D4D046" w14:textId="77777777">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DDC0A1" w14:textId="77777777" w:rsidR="001F1749" w:rsidRDefault="00EF258E">
            <w:pPr>
              <w:spacing w:before="10"/>
              <w:jc w:val="both"/>
            </w:pPr>
            <w:proofErr w:type="spellStart"/>
            <w:r>
              <w:rPr>
                <w:sz w:val="24"/>
                <w:szCs w:val="24"/>
              </w:rPr>
              <w:t>lnheatinput</w:t>
            </w:r>
            <w:proofErr w:type="spellEnd"/>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5333A8F1" w14:textId="77777777" w:rsidR="001F1749" w:rsidRDefault="00EF258E">
            <w:pPr>
              <w:spacing w:before="10"/>
              <w:jc w:val="both"/>
            </w:pPr>
            <w:r>
              <w:rPr>
                <w:sz w:val="24"/>
                <w:szCs w:val="24"/>
              </w:rPr>
              <w:t>0.612</w:t>
            </w:r>
          </w:p>
        </w:tc>
        <w:tc>
          <w:tcPr>
            <w:tcW w:w="2430" w:type="dxa"/>
            <w:tcBorders>
              <w:top w:val="nil"/>
              <w:left w:val="nil"/>
              <w:bottom w:val="single" w:sz="8" w:space="0" w:color="000000"/>
              <w:right w:val="single" w:sz="8" w:space="0" w:color="000000"/>
            </w:tcBorders>
            <w:tcMar>
              <w:top w:w="100" w:type="dxa"/>
              <w:left w:w="100" w:type="dxa"/>
              <w:bottom w:w="100" w:type="dxa"/>
              <w:right w:w="100" w:type="dxa"/>
            </w:tcMar>
          </w:tcPr>
          <w:p w14:paraId="7FE51830" w14:textId="77777777" w:rsidR="001F1749" w:rsidRDefault="00EF258E">
            <w:pPr>
              <w:spacing w:before="10"/>
              <w:jc w:val="both"/>
            </w:pPr>
            <w:r>
              <w:rPr>
                <w:sz w:val="24"/>
                <w:szCs w:val="24"/>
              </w:rPr>
              <w:t>0.005</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12DDE632" w14:textId="77777777" w:rsidR="001F1749" w:rsidRDefault="00EF258E">
            <w:pPr>
              <w:spacing w:before="10"/>
              <w:jc w:val="both"/>
            </w:pPr>
            <w:r>
              <w:rPr>
                <w:sz w:val="24"/>
                <w:szCs w:val="24"/>
              </w:rPr>
              <w:t>Yes ***</w:t>
            </w:r>
          </w:p>
        </w:tc>
      </w:tr>
      <w:tr w:rsidR="001F1749" w14:paraId="0E33D511" w14:textId="77777777">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46EB8A" w14:textId="77777777" w:rsidR="001F1749" w:rsidRDefault="00EF258E">
            <w:pPr>
              <w:spacing w:before="10"/>
              <w:jc w:val="both"/>
            </w:pPr>
            <w:r>
              <w:rPr>
                <w:sz w:val="24"/>
                <w:szCs w:val="24"/>
              </w:rPr>
              <w:t>stage1</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2BC6EC5E" w14:textId="77777777" w:rsidR="001F1749" w:rsidRDefault="00EF258E">
            <w:pPr>
              <w:spacing w:before="10"/>
              <w:jc w:val="both"/>
            </w:pPr>
            <w:r>
              <w:rPr>
                <w:sz w:val="24"/>
                <w:szCs w:val="24"/>
              </w:rPr>
              <w:t>-1.113</w:t>
            </w:r>
          </w:p>
        </w:tc>
        <w:tc>
          <w:tcPr>
            <w:tcW w:w="2430" w:type="dxa"/>
            <w:tcBorders>
              <w:top w:val="nil"/>
              <w:left w:val="nil"/>
              <w:bottom w:val="single" w:sz="8" w:space="0" w:color="000000"/>
              <w:right w:val="single" w:sz="8" w:space="0" w:color="000000"/>
            </w:tcBorders>
            <w:tcMar>
              <w:top w:w="100" w:type="dxa"/>
              <w:left w:w="100" w:type="dxa"/>
              <w:bottom w:w="100" w:type="dxa"/>
              <w:right w:w="100" w:type="dxa"/>
            </w:tcMar>
          </w:tcPr>
          <w:p w14:paraId="0966A6D2" w14:textId="77777777" w:rsidR="001F1749" w:rsidRDefault="00EF258E">
            <w:pPr>
              <w:spacing w:before="10"/>
              <w:jc w:val="both"/>
            </w:pPr>
            <w:r>
              <w:rPr>
                <w:sz w:val="24"/>
                <w:szCs w:val="24"/>
              </w:rPr>
              <w:t>0.000</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421A8381" w14:textId="77777777" w:rsidR="001F1749" w:rsidRDefault="00EF258E">
            <w:pPr>
              <w:spacing w:before="10"/>
              <w:jc w:val="both"/>
            </w:pPr>
            <w:r>
              <w:rPr>
                <w:sz w:val="24"/>
                <w:szCs w:val="24"/>
              </w:rPr>
              <w:t>Yes ***</w:t>
            </w:r>
          </w:p>
        </w:tc>
      </w:tr>
      <w:tr w:rsidR="001F1749" w14:paraId="7342943E" w14:textId="77777777">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81A18C" w14:textId="77777777" w:rsidR="001F1749" w:rsidRDefault="00EF258E">
            <w:pPr>
              <w:spacing w:before="10"/>
              <w:jc w:val="both"/>
            </w:pPr>
            <w:r>
              <w:rPr>
                <w:sz w:val="24"/>
                <w:szCs w:val="24"/>
              </w:rPr>
              <w:t>stage2</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091F76CB" w14:textId="77777777" w:rsidR="001F1749" w:rsidRDefault="00EF258E">
            <w:pPr>
              <w:spacing w:before="10"/>
              <w:jc w:val="both"/>
            </w:pPr>
            <w:r>
              <w:rPr>
                <w:sz w:val="24"/>
                <w:szCs w:val="24"/>
              </w:rPr>
              <w:t>-2.609</w:t>
            </w:r>
          </w:p>
        </w:tc>
        <w:tc>
          <w:tcPr>
            <w:tcW w:w="2430" w:type="dxa"/>
            <w:tcBorders>
              <w:top w:val="nil"/>
              <w:left w:val="nil"/>
              <w:bottom w:val="single" w:sz="8" w:space="0" w:color="000000"/>
              <w:right w:val="single" w:sz="8" w:space="0" w:color="000000"/>
            </w:tcBorders>
            <w:tcMar>
              <w:top w:w="100" w:type="dxa"/>
              <w:left w:w="100" w:type="dxa"/>
              <w:bottom w:w="100" w:type="dxa"/>
              <w:right w:w="100" w:type="dxa"/>
            </w:tcMar>
          </w:tcPr>
          <w:p w14:paraId="171CF1D6" w14:textId="77777777" w:rsidR="001F1749" w:rsidRDefault="00EF258E">
            <w:pPr>
              <w:spacing w:before="10"/>
              <w:jc w:val="both"/>
            </w:pPr>
            <w:r>
              <w:rPr>
                <w:sz w:val="24"/>
                <w:szCs w:val="24"/>
              </w:rPr>
              <w:t>0.000</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4C765909" w14:textId="77777777" w:rsidR="001F1749" w:rsidRDefault="00EF258E">
            <w:pPr>
              <w:spacing w:before="10"/>
              <w:jc w:val="both"/>
            </w:pPr>
            <w:r>
              <w:rPr>
                <w:sz w:val="24"/>
                <w:szCs w:val="24"/>
              </w:rPr>
              <w:t>Yes ***</w:t>
            </w:r>
          </w:p>
        </w:tc>
      </w:tr>
      <w:tr w:rsidR="001F1749" w14:paraId="5DA6DDC5" w14:textId="77777777">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3E16E4" w14:textId="77777777" w:rsidR="001F1749" w:rsidRDefault="00EF258E">
            <w:pPr>
              <w:spacing w:before="10"/>
              <w:jc w:val="both"/>
            </w:pPr>
            <w:proofErr w:type="spellStart"/>
            <w:r>
              <w:rPr>
                <w:sz w:val="24"/>
                <w:szCs w:val="24"/>
              </w:rPr>
              <w:t>lntec</w:t>
            </w:r>
            <w:proofErr w:type="spellEnd"/>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55011925" w14:textId="77777777" w:rsidR="001F1749" w:rsidRDefault="00EF258E">
            <w:pPr>
              <w:spacing w:before="10"/>
              <w:jc w:val="both"/>
            </w:pPr>
            <w:r>
              <w:rPr>
                <w:sz w:val="24"/>
                <w:szCs w:val="24"/>
              </w:rPr>
              <w:t>2.019</w:t>
            </w:r>
          </w:p>
        </w:tc>
        <w:tc>
          <w:tcPr>
            <w:tcW w:w="2430" w:type="dxa"/>
            <w:tcBorders>
              <w:top w:val="nil"/>
              <w:left w:val="nil"/>
              <w:bottom w:val="single" w:sz="8" w:space="0" w:color="000000"/>
              <w:right w:val="single" w:sz="8" w:space="0" w:color="000000"/>
            </w:tcBorders>
            <w:tcMar>
              <w:top w:w="100" w:type="dxa"/>
              <w:left w:w="100" w:type="dxa"/>
              <w:bottom w:w="100" w:type="dxa"/>
              <w:right w:w="100" w:type="dxa"/>
            </w:tcMar>
          </w:tcPr>
          <w:p w14:paraId="262E84FF" w14:textId="77777777" w:rsidR="001F1749" w:rsidRDefault="00EF258E">
            <w:pPr>
              <w:spacing w:before="10"/>
              <w:jc w:val="both"/>
            </w:pPr>
            <w:r>
              <w:rPr>
                <w:sz w:val="24"/>
                <w:szCs w:val="24"/>
              </w:rPr>
              <w:t>0.003</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61B0FB55" w14:textId="77777777" w:rsidR="001F1749" w:rsidRDefault="00EF258E">
            <w:pPr>
              <w:spacing w:before="10"/>
              <w:jc w:val="both"/>
            </w:pPr>
            <w:r>
              <w:rPr>
                <w:sz w:val="24"/>
                <w:szCs w:val="24"/>
              </w:rPr>
              <w:t>Yes ***</w:t>
            </w:r>
          </w:p>
        </w:tc>
      </w:tr>
      <w:tr w:rsidR="001F1749" w14:paraId="6D3E0550" w14:textId="77777777">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96AC00" w14:textId="77777777" w:rsidR="001F1749" w:rsidRDefault="00EF258E">
            <w:pPr>
              <w:spacing w:before="10"/>
              <w:jc w:val="both"/>
            </w:pPr>
            <w:proofErr w:type="spellStart"/>
            <w:r>
              <w:rPr>
                <w:sz w:val="24"/>
                <w:szCs w:val="24"/>
              </w:rPr>
              <w:t>popdens</w:t>
            </w:r>
            <w:proofErr w:type="spellEnd"/>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6051693E" w14:textId="77777777" w:rsidR="001F1749" w:rsidRDefault="00EF258E">
            <w:pPr>
              <w:spacing w:before="10"/>
              <w:jc w:val="both"/>
            </w:pPr>
            <w:r>
              <w:rPr>
                <w:sz w:val="24"/>
                <w:szCs w:val="24"/>
              </w:rPr>
              <w:t>-0.380</w:t>
            </w:r>
          </w:p>
        </w:tc>
        <w:tc>
          <w:tcPr>
            <w:tcW w:w="2430" w:type="dxa"/>
            <w:tcBorders>
              <w:top w:val="nil"/>
              <w:left w:val="nil"/>
              <w:bottom w:val="single" w:sz="8" w:space="0" w:color="000000"/>
              <w:right w:val="single" w:sz="8" w:space="0" w:color="000000"/>
            </w:tcBorders>
            <w:tcMar>
              <w:top w:w="100" w:type="dxa"/>
              <w:left w:w="100" w:type="dxa"/>
              <w:bottom w:w="100" w:type="dxa"/>
              <w:right w:w="100" w:type="dxa"/>
            </w:tcMar>
          </w:tcPr>
          <w:p w14:paraId="2E3F6949" w14:textId="77777777" w:rsidR="001F1749" w:rsidRDefault="00EF258E">
            <w:pPr>
              <w:spacing w:before="10"/>
              <w:jc w:val="both"/>
            </w:pPr>
            <w:r>
              <w:rPr>
                <w:sz w:val="24"/>
                <w:szCs w:val="24"/>
              </w:rPr>
              <w:t>0.555</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51B6CF5D" w14:textId="77777777" w:rsidR="001F1749" w:rsidRDefault="00EF258E">
            <w:pPr>
              <w:spacing w:before="10"/>
              <w:jc w:val="both"/>
            </w:pPr>
            <w:r>
              <w:rPr>
                <w:sz w:val="24"/>
                <w:szCs w:val="24"/>
              </w:rPr>
              <w:t>No *</w:t>
            </w:r>
          </w:p>
        </w:tc>
      </w:tr>
      <w:tr w:rsidR="001F1749" w14:paraId="1D3C9072" w14:textId="77777777">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5EC8CB" w14:textId="77777777" w:rsidR="001F1749" w:rsidRDefault="00EF258E">
            <w:pPr>
              <w:spacing w:before="10"/>
              <w:jc w:val="both"/>
            </w:pPr>
            <w:proofErr w:type="spellStart"/>
            <w:r>
              <w:rPr>
                <w:sz w:val="24"/>
                <w:szCs w:val="24"/>
              </w:rPr>
              <w:t>rectotec</w:t>
            </w:r>
            <w:proofErr w:type="spellEnd"/>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724A01F6" w14:textId="77777777" w:rsidR="001F1749" w:rsidRDefault="00EF258E">
            <w:pPr>
              <w:spacing w:before="10"/>
              <w:jc w:val="both"/>
            </w:pPr>
            <w:r>
              <w:rPr>
                <w:sz w:val="24"/>
                <w:szCs w:val="24"/>
              </w:rPr>
              <w:t>2.056</w:t>
            </w:r>
          </w:p>
        </w:tc>
        <w:tc>
          <w:tcPr>
            <w:tcW w:w="2430" w:type="dxa"/>
            <w:tcBorders>
              <w:top w:val="nil"/>
              <w:left w:val="nil"/>
              <w:bottom w:val="single" w:sz="8" w:space="0" w:color="000000"/>
              <w:right w:val="single" w:sz="8" w:space="0" w:color="000000"/>
            </w:tcBorders>
            <w:tcMar>
              <w:top w:w="100" w:type="dxa"/>
              <w:left w:w="100" w:type="dxa"/>
              <w:bottom w:w="100" w:type="dxa"/>
              <w:right w:w="100" w:type="dxa"/>
            </w:tcMar>
          </w:tcPr>
          <w:p w14:paraId="1C3A4211" w14:textId="77777777" w:rsidR="001F1749" w:rsidRDefault="00EF258E">
            <w:pPr>
              <w:spacing w:before="10"/>
              <w:jc w:val="both"/>
            </w:pPr>
            <w:r>
              <w:rPr>
                <w:sz w:val="24"/>
                <w:szCs w:val="24"/>
              </w:rPr>
              <w:t>0.139</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20537DB" w14:textId="77777777" w:rsidR="001F1749" w:rsidRDefault="00EF258E">
            <w:pPr>
              <w:spacing w:before="10"/>
              <w:jc w:val="both"/>
            </w:pPr>
            <w:r>
              <w:rPr>
                <w:sz w:val="24"/>
                <w:szCs w:val="24"/>
              </w:rPr>
              <w:t>No *</w:t>
            </w:r>
          </w:p>
        </w:tc>
      </w:tr>
    </w:tbl>
    <w:p w14:paraId="377E2E9F" w14:textId="77777777" w:rsidR="001F1749" w:rsidRDefault="00EF258E">
      <w:pPr>
        <w:spacing w:before="10" w:after="160" w:line="480" w:lineRule="auto"/>
        <w:jc w:val="both"/>
      </w:pPr>
      <w:r>
        <w:t xml:space="preserve"> </w:t>
      </w:r>
    </w:p>
    <w:p w14:paraId="7ECF65FF" w14:textId="2868E743" w:rsidR="001F1749" w:rsidRDefault="00EF258E" w:rsidP="00063F35">
      <w:pPr>
        <w:spacing w:before="10" w:after="160" w:line="480" w:lineRule="auto"/>
        <w:ind w:left="720" w:firstLine="720"/>
        <w:jc w:val="both"/>
      </w:pPr>
      <w:r>
        <w:t>The results of the national-level fixed effects regression are clear. Most importantly, coefficients of both st</w:t>
      </w:r>
      <w:r w:rsidR="00CE4B95">
        <w:t>age 1 and stage 2 are negative and</w:t>
      </w:r>
      <w:r>
        <w:t xml:space="preserve"> significantly different from stage 0, which means the program wa</w:t>
      </w:r>
      <w:r w:rsidR="00E7308C">
        <w:t xml:space="preserve">s indeed effective in reducing </w:t>
      </w:r>
      <w:r>
        <w:t>SO2</w:t>
      </w:r>
      <w:r w:rsidR="00DD1DA3">
        <w:t xml:space="preserve"> emissions in both stages. I</w:t>
      </w:r>
      <w:r w:rsidR="00CE4B95">
        <w:t>t is also important to note that the</w:t>
      </w:r>
      <w:r>
        <w:t xml:space="preserve"> p-values are almost zero, implying that both stages are significantly different from stage 0</w:t>
      </w:r>
      <w:r w:rsidR="00CE4B95">
        <w:t>,</w:t>
      </w:r>
      <w:r>
        <w:t xml:space="preserve"> even at the 0.01 level.</w:t>
      </w:r>
    </w:p>
    <w:p w14:paraId="7588D87A" w14:textId="1E7A705C" w:rsidR="001F1749" w:rsidRDefault="00EF258E" w:rsidP="00063F35">
      <w:pPr>
        <w:spacing w:before="10" w:after="160" w:line="480" w:lineRule="auto"/>
        <w:ind w:left="720" w:firstLine="720"/>
        <w:jc w:val="both"/>
      </w:pPr>
      <w:r>
        <w:t>Population density and the ratio of renewable energy consumption to total energy cons</w:t>
      </w:r>
      <w:r w:rsidR="00DD1DA3">
        <w:t>umption, which I</w:t>
      </w:r>
      <w:r>
        <w:t xml:space="preserve"> </w:t>
      </w:r>
      <w:r w:rsidR="00CE4B95">
        <w:t>believed would have affected</w:t>
      </w:r>
      <w:r>
        <w:t xml:space="preserve"> SO2 emissions, are surprisingly not s</w:t>
      </w:r>
      <w:r w:rsidR="00CE4B95">
        <w:t>ignificant in this</w:t>
      </w:r>
      <w:r w:rsidR="00DD1DA3">
        <w:t xml:space="preserve"> regression. I</w:t>
      </w:r>
      <w:r>
        <w:t xml:space="preserve"> </w:t>
      </w:r>
      <w:r w:rsidR="00CE4B95">
        <w:t xml:space="preserve">therefore </w:t>
      </w:r>
      <w:r>
        <w:t>decided to drop the</w:t>
      </w:r>
      <w:r w:rsidR="00CE4B95">
        <w:t xml:space="preserve"> two insignificant variables and subsequently</w:t>
      </w:r>
      <w:r>
        <w:t xml:space="preserve"> ran another regression</w:t>
      </w:r>
      <w:r w:rsidR="00CE4B95">
        <w:t>, the results of which are below.</w:t>
      </w:r>
    </w:p>
    <w:tbl>
      <w:tblPr>
        <w:tblStyle w:val="a1"/>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30"/>
        <w:gridCol w:w="2100"/>
        <w:gridCol w:w="2430"/>
        <w:gridCol w:w="2505"/>
      </w:tblGrid>
      <w:tr w:rsidR="001F1749" w14:paraId="7928E63D" w14:textId="77777777">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E5AF71" w14:textId="77777777" w:rsidR="001F1749" w:rsidRDefault="00EF258E">
            <w:pPr>
              <w:spacing w:before="10"/>
              <w:jc w:val="both"/>
            </w:pPr>
            <w:r>
              <w:rPr>
                <w:sz w:val="24"/>
                <w:szCs w:val="24"/>
              </w:rPr>
              <w:t>Variable</w:t>
            </w:r>
          </w:p>
        </w:tc>
        <w:tc>
          <w:tcPr>
            <w:tcW w:w="21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F8843EB" w14:textId="77777777" w:rsidR="001F1749" w:rsidRDefault="00EF258E">
            <w:pPr>
              <w:spacing w:before="10"/>
              <w:jc w:val="both"/>
            </w:pPr>
            <w:r>
              <w:rPr>
                <w:sz w:val="24"/>
                <w:szCs w:val="24"/>
              </w:rPr>
              <w:t>Coefficient</w:t>
            </w:r>
          </w:p>
        </w:tc>
        <w:tc>
          <w:tcPr>
            <w:tcW w:w="24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A234E2" w14:textId="77777777" w:rsidR="001F1749" w:rsidRDefault="00EF258E">
            <w:pPr>
              <w:spacing w:before="10"/>
              <w:jc w:val="both"/>
            </w:pPr>
            <w:r>
              <w:rPr>
                <w:sz w:val="24"/>
                <w:szCs w:val="24"/>
              </w:rPr>
              <w:t>p-value</w:t>
            </w:r>
          </w:p>
        </w:tc>
        <w:tc>
          <w:tcPr>
            <w:tcW w:w="25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D3A9E0" w14:textId="77777777" w:rsidR="001F1749" w:rsidRDefault="00EF258E">
            <w:pPr>
              <w:spacing w:before="10"/>
              <w:jc w:val="both"/>
            </w:pPr>
            <w:r>
              <w:rPr>
                <w:sz w:val="24"/>
                <w:szCs w:val="24"/>
              </w:rPr>
              <w:t>Significant</w:t>
            </w:r>
          </w:p>
        </w:tc>
      </w:tr>
      <w:tr w:rsidR="001F1749" w14:paraId="22DFF26B" w14:textId="77777777">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15B9A2" w14:textId="77777777" w:rsidR="001F1749" w:rsidRDefault="00EF258E">
            <w:pPr>
              <w:spacing w:before="10"/>
              <w:jc w:val="both"/>
            </w:pPr>
            <w:proofErr w:type="spellStart"/>
            <w:r>
              <w:rPr>
                <w:sz w:val="24"/>
                <w:szCs w:val="24"/>
              </w:rPr>
              <w:t>lnheatinput</w:t>
            </w:r>
            <w:proofErr w:type="spellEnd"/>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297F3EEA" w14:textId="77777777" w:rsidR="001F1749" w:rsidRDefault="00EF258E">
            <w:pPr>
              <w:spacing w:before="10"/>
              <w:jc w:val="both"/>
            </w:pPr>
            <w:r>
              <w:rPr>
                <w:sz w:val="24"/>
                <w:szCs w:val="24"/>
              </w:rPr>
              <w:t>0.597</w:t>
            </w:r>
          </w:p>
        </w:tc>
        <w:tc>
          <w:tcPr>
            <w:tcW w:w="2430" w:type="dxa"/>
            <w:tcBorders>
              <w:top w:val="nil"/>
              <w:left w:val="nil"/>
              <w:bottom w:val="single" w:sz="8" w:space="0" w:color="000000"/>
              <w:right w:val="single" w:sz="8" w:space="0" w:color="000000"/>
            </w:tcBorders>
            <w:tcMar>
              <w:top w:w="100" w:type="dxa"/>
              <w:left w:w="100" w:type="dxa"/>
              <w:bottom w:w="100" w:type="dxa"/>
              <w:right w:w="100" w:type="dxa"/>
            </w:tcMar>
          </w:tcPr>
          <w:p w14:paraId="119D604A" w14:textId="77777777" w:rsidR="001F1749" w:rsidRDefault="00EF258E">
            <w:pPr>
              <w:spacing w:before="10"/>
              <w:jc w:val="both"/>
            </w:pPr>
            <w:r>
              <w:rPr>
                <w:sz w:val="24"/>
                <w:szCs w:val="24"/>
              </w:rPr>
              <w:t>0.004</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5D83C315" w14:textId="77777777" w:rsidR="001F1749" w:rsidRDefault="00EF258E">
            <w:pPr>
              <w:spacing w:before="10"/>
              <w:jc w:val="both"/>
            </w:pPr>
            <w:r>
              <w:rPr>
                <w:sz w:val="24"/>
                <w:szCs w:val="24"/>
              </w:rPr>
              <w:t>Yes ***</w:t>
            </w:r>
          </w:p>
        </w:tc>
      </w:tr>
      <w:tr w:rsidR="001F1749" w14:paraId="42A529B4" w14:textId="77777777">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63BB08" w14:textId="77777777" w:rsidR="001F1749" w:rsidRDefault="00EF258E">
            <w:pPr>
              <w:spacing w:before="10"/>
              <w:jc w:val="both"/>
            </w:pPr>
            <w:r>
              <w:rPr>
                <w:sz w:val="24"/>
                <w:szCs w:val="24"/>
              </w:rPr>
              <w:t>stage1</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010AD250" w14:textId="77777777" w:rsidR="001F1749" w:rsidRDefault="00EF258E">
            <w:pPr>
              <w:spacing w:before="10"/>
              <w:jc w:val="both"/>
            </w:pPr>
            <w:r>
              <w:rPr>
                <w:sz w:val="24"/>
                <w:szCs w:val="24"/>
              </w:rPr>
              <w:t>-1.142</w:t>
            </w:r>
          </w:p>
        </w:tc>
        <w:tc>
          <w:tcPr>
            <w:tcW w:w="2430" w:type="dxa"/>
            <w:tcBorders>
              <w:top w:val="nil"/>
              <w:left w:val="nil"/>
              <w:bottom w:val="single" w:sz="8" w:space="0" w:color="000000"/>
              <w:right w:val="single" w:sz="8" w:space="0" w:color="000000"/>
            </w:tcBorders>
            <w:tcMar>
              <w:top w:w="100" w:type="dxa"/>
              <w:left w:w="100" w:type="dxa"/>
              <w:bottom w:w="100" w:type="dxa"/>
              <w:right w:w="100" w:type="dxa"/>
            </w:tcMar>
          </w:tcPr>
          <w:p w14:paraId="17330794" w14:textId="77777777" w:rsidR="001F1749" w:rsidRDefault="00EF258E">
            <w:pPr>
              <w:spacing w:before="10"/>
              <w:jc w:val="both"/>
            </w:pPr>
            <w:r>
              <w:rPr>
                <w:sz w:val="24"/>
                <w:szCs w:val="24"/>
              </w:rPr>
              <w:t>0.000</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1BB67B4E" w14:textId="77777777" w:rsidR="001F1749" w:rsidRDefault="00EF258E">
            <w:pPr>
              <w:spacing w:before="10"/>
              <w:jc w:val="both"/>
            </w:pPr>
            <w:r>
              <w:rPr>
                <w:sz w:val="24"/>
                <w:szCs w:val="24"/>
              </w:rPr>
              <w:t>Yes ***</w:t>
            </w:r>
          </w:p>
        </w:tc>
      </w:tr>
      <w:tr w:rsidR="001F1749" w14:paraId="07C1CF63" w14:textId="77777777">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3DAFB9" w14:textId="77777777" w:rsidR="001F1749" w:rsidRDefault="00EF258E">
            <w:pPr>
              <w:spacing w:before="10"/>
              <w:jc w:val="both"/>
            </w:pPr>
            <w:r>
              <w:rPr>
                <w:sz w:val="24"/>
                <w:szCs w:val="24"/>
              </w:rPr>
              <w:t>stage2</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3A8B3FBF" w14:textId="77777777" w:rsidR="001F1749" w:rsidRDefault="00EF258E">
            <w:pPr>
              <w:spacing w:before="10"/>
              <w:jc w:val="both"/>
            </w:pPr>
            <w:r>
              <w:rPr>
                <w:sz w:val="24"/>
                <w:szCs w:val="24"/>
              </w:rPr>
              <w:t>-2.581</w:t>
            </w:r>
          </w:p>
        </w:tc>
        <w:tc>
          <w:tcPr>
            <w:tcW w:w="2430" w:type="dxa"/>
            <w:tcBorders>
              <w:top w:val="nil"/>
              <w:left w:val="nil"/>
              <w:bottom w:val="single" w:sz="8" w:space="0" w:color="000000"/>
              <w:right w:val="single" w:sz="8" w:space="0" w:color="000000"/>
            </w:tcBorders>
            <w:tcMar>
              <w:top w:w="100" w:type="dxa"/>
              <w:left w:w="100" w:type="dxa"/>
              <w:bottom w:w="100" w:type="dxa"/>
              <w:right w:w="100" w:type="dxa"/>
            </w:tcMar>
          </w:tcPr>
          <w:p w14:paraId="0B195FAD" w14:textId="77777777" w:rsidR="001F1749" w:rsidRDefault="00EF258E">
            <w:pPr>
              <w:spacing w:before="10"/>
              <w:jc w:val="both"/>
            </w:pPr>
            <w:r>
              <w:rPr>
                <w:sz w:val="24"/>
                <w:szCs w:val="24"/>
              </w:rPr>
              <w:t>0.000</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677828CB" w14:textId="77777777" w:rsidR="001F1749" w:rsidRDefault="00EF258E">
            <w:pPr>
              <w:spacing w:before="10"/>
              <w:jc w:val="both"/>
            </w:pPr>
            <w:r>
              <w:rPr>
                <w:sz w:val="24"/>
                <w:szCs w:val="24"/>
              </w:rPr>
              <w:t>Yes ***</w:t>
            </w:r>
          </w:p>
        </w:tc>
      </w:tr>
      <w:tr w:rsidR="001F1749" w14:paraId="7A4BB6A0" w14:textId="77777777">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3DC210" w14:textId="77777777" w:rsidR="001F1749" w:rsidRDefault="00EF258E">
            <w:pPr>
              <w:spacing w:before="10"/>
              <w:jc w:val="both"/>
            </w:pPr>
            <w:proofErr w:type="spellStart"/>
            <w:r>
              <w:rPr>
                <w:sz w:val="24"/>
                <w:szCs w:val="24"/>
              </w:rPr>
              <w:t>lntec</w:t>
            </w:r>
            <w:proofErr w:type="spellEnd"/>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294AA306" w14:textId="77777777" w:rsidR="001F1749" w:rsidRDefault="00EF258E">
            <w:pPr>
              <w:spacing w:before="10"/>
              <w:jc w:val="both"/>
            </w:pPr>
            <w:r>
              <w:rPr>
                <w:sz w:val="24"/>
                <w:szCs w:val="24"/>
              </w:rPr>
              <w:t>2.112</w:t>
            </w:r>
          </w:p>
        </w:tc>
        <w:tc>
          <w:tcPr>
            <w:tcW w:w="2430" w:type="dxa"/>
            <w:tcBorders>
              <w:top w:val="nil"/>
              <w:left w:val="nil"/>
              <w:bottom w:val="single" w:sz="8" w:space="0" w:color="000000"/>
              <w:right w:val="single" w:sz="8" w:space="0" w:color="000000"/>
            </w:tcBorders>
            <w:tcMar>
              <w:top w:w="100" w:type="dxa"/>
              <w:left w:w="100" w:type="dxa"/>
              <w:bottom w:w="100" w:type="dxa"/>
              <w:right w:w="100" w:type="dxa"/>
            </w:tcMar>
          </w:tcPr>
          <w:p w14:paraId="2F5CF466" w14:textId="77777777" w:rsidR="001F1749" w:rsidRDefault="00EF258E">
            <w:pPr>
              <w:spacing w:before="10"/>
              <w:jc w:val="both"/>
            </w:pPr>
            <w:r>
              <w:rPr>
                <w:sz w:val="24"/>
                <w:szCs w:val="24"/>
              </w:rPr>
              <w:t>0.002</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1C18B104" w14:textId="77777777" w:rsidR="001F1749" w:rsidRDefault="00EF258E">
            <w:pPr>
              <w:spacing w:before="10"/>
              <w:jc w:val="both"/>
            </w:pPr>
            <w:r>
              <w:rPr>
                <w:sz w:val="24"/>
                <w:szCs w:val="24"/>
              </w:rPr>
              <w:t>Yes ***</w:t>
            </w:r>
          </w:p>
        </w:tc>
      </w:tr>
    </w:tbl>
    <w:p w14:paraId="45A9FF9A" w14:textId="77777777" w:rsidR="001F1749" w:rsidRDefault="00EF258E">
      <w:pPr>
        <w:spacing w:before="10" w:after="160" w:line="480" w:lineRule="auto"/>
        <w:jc w:val="both"/>
      </w:pPr>
      <w:r>
        <w:t xml:space="preserve"> </w:t>
      </w:r>
    </w:p>
    <w:p w14:paraId="25BF8AF1" w14:textId="34A63F33" w:rsidR="001F1749" w:rsidRDefault="00EF258E" w:rsidP="00063F35">
      <w:pPr>
        <w:spacing w:before="10" w:after="160" w:line="480" w:lineRule="auto"/>
        <w:ind w:left="720" w:firstLine="720"/>
        <w:jc w:val="both"/>
      </w:pPr>
      <w:r>
        <w:lastRenderedPageBreak/>
        <w:t>Coefficients of both</w:t>
      </w:r>
      <w:r w:rsidR="00CE4B95">
        <w:t xml:space="preserve"> stage 1 and stage 2 are still negative and </w:t>
      </w:r>
      <w:r>
        <w:t>significantly different from stage 0 at the 0.01 level. Comparing the absolute value of the two coefficients, we can see that the policy is more effective from stage 1 to stage 2. Two other variables</w:t>
      </w:r>
      <w:r w:rsidR="00CE4B95">
        <w:t>,</w:t>
      </w:r>
      <w:r>
        <w:t xml:space="preserve"> “</w:t>
      </w:r>
      <w:proofErr w:type="spellStart"/>
      <w:r>
        <w:t>lnheatinput</w:t>
      </w:r>
      <w:proofErr w:type="spellEnd"/>
      <w:r>
        <w:t>” and “</w:t>
      </w:r>
      <w:proofErr w:type="spellStart"/>
      <w:r>
        <w:t>lntec</w:t>
      </w:r>
      <w:proofErr w:type="spellEnd"/>
      <w:r>
        <w:t>” are also significant and have positive co</w:t>
      </w:r>
      <w:r w:rsidR="00DD1DA3">
        <w:t>rrelation</w:t>
      </w:r>
      <w:r w:rsidR="00CE4B95">
        <w:t>s</w:t>
      </w:r>
      <w:r w:rsidR="00DD1DA3">
        <w:t xml:space="preserve"> with lnSO2, as</w:t>
      </w:r>
      <w:r>
        <w:t xml:space="preserve"> expected.</w:t>
      </w:r>
    </w:p>
    <w:p w14:paraId="40420AC7" w14:textId="48EE13AD" w:rsidR="001F1749" w:rsidRDefault="00EF258E" w:rsidP="00063F35">
      <w:pPr>
        <w:spacing w:before="10" w:after="160" w:line="480" w:lineRule="auto"/>
        <w:ind w:left="720" w:firstLine="720"/>
        <w:jc w:val="both"/>
      </w:pPr>
      <w:r>
        <w:t>The overall results confirm that</w:t>
      </w:r>
      <w:r w:rsidR="00CE4B95">
        <w:t>, at the national level, the program</w:t>
      </w:r>
      <w:r>
        <w:t xml:space="preserve"> indeed reduced SO2 emissions significantly during stage 1, and that the reduction was even more pronounced when comparing stage 2 to stage 0. </w:t>
      </w:r>
      <w:r w:rsidR="00CE4B95">
        <w:t>The same variables will be</w:t>
      </w:r>
      <w:r>
        <w:t xml:space="preserve"> used</w:t>
      </w:r>
      <w:r w:rsidR="00CE4B95">
        <w:t xml:space="preserve"> later</w:t>
      </w:r>
      <w:r>
        <w:t xml:space="preserve"> in a state level analysis.</w:t>
      </w:r>
    </w:p>
    <w:p w14:paraId="40A45C38" w14:textId="3B51CAB6" w:rsidR="001F1749" w:rsidRDefault="00DD1DA3" w:rsidP="00063F35">
      <w:pPr>
        <w:spacing w:before="10" w:after="160" w:line="480" w:lineRule="auto"/>
        <w:ind w:left="720" w:firstLine="720"/>
        <w:jc w:val="both"/>
      </w:pPr>
      <w:r>
        <w:t>I</w:t>
      </w:r>
      <w:r w:rsidR="00EF258E">
        <w:t xml:space="preserve"> also ran an alternative national level analysis by includi</w:t>
      </w:r>
      <w:r w:rsidR="00CE4B95">
        <w:t>ng another variable “</w:t>
      </w:r>
      <w:proofErr w:type="spellStart"/>
      <w:r w:rsidR="00CE4B95">
        <w:t>teap</w:t>
      </w:r>
      <w:proofErr w:type="spellEnd"/>
      <w:r w:rsidR="00CE4B95">
        <w:t>”, which was</w:t>
      </w:r>
      <w:r w:rsidR="00EF258E">
        <w:t xml:space="preserve"> total energy ave</w:t>
      </w:r>
      <w:r w:rsidR="00CE4B95">
        <w:t>rage prices, to determine</w:t>
      </w:r>
      <w:r w:rsidR="00EF258E">
        <w:t xml:space="preserve"> its</w:t>
      </w:r>
      <w:r w:rsidR="00CE4B95">
        <w:t xml:space="preserve"> correlation with SO2 emissions.  The results of this are below.</w:t>
      </w:r>
    </w:p>
    <w:tbl>
      <w:tblPr>
        <w:tblStyle w:val="a2"/>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30"/>
        <w:gridCol w:w="2100"/>
        <w:gridCol w:w="2430"/>
        <w:gridCol w:w="2505"/>
      </w:tblGrid>
      <w:tr w:rsidR="001F1749" w14:paraId="3554CEC9" w14:textId="77777777">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72A7B5" w14:textId="77777777" w:rsidR="001F1749" w:rsidRDefault="00EF258E">
            <w:pPr>
              <w:spacing w:before="10"/>
              <w:jc w:val="both"/>
            </w:pPr>
            <w:r>
              <w:rPr>
                <w:sz w:val="24"/>
                <w:szCs w:val="24"/>
              </w:rPr>
              <w:t>Variable</w:t>
            </w:r>
          </w:p>
        </w:tc>
        <w:tc>
          <w:tcPr>
            <w:tcW w:w="21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598C303" w14:textId="77777777" w:rsidR="001F1749" w:rsidRDefault="00EF258E">
            <w:pPr>
              <w:spacing w:before="10"/>
              <w:jc w:val="both"/>
            </w:pPr>
            <w:r>
              <w:rPr>
                <w:sz w:val="24"/>
                <w:szCs w:val="24"/>
              </w:rPr>
              <w:t>Coefficient</w:t>
            </w:r>
          </w:p>
        </w:tc>
        <w:tc>
          <w:tcPr>
            <w:tcW w:w="24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7E3875" w14:textId="77777777" w:rsidR="001F1749" w:rsidRDefault="00EF258E">
            <w:pPr>
              <w:spacing w:before="10"/>
              <w:jc w:val="both"/>
            </w:pPr>
            <w:r>
              <w:rPr>
                <w:sz w:val="24"/>
                <w:szCs w:val="24"/>
              </w:rPr>
              <w:t>p-value</w:t>
            </w:r>
          </w:p>
        </w:tc>
        <w:tc>
          <w:tcPr>
            <w:tcW w:w="25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548CFB2" w14:textId="77777777" w:rsidR="001F1749" w:rsidRDefault="00EF258E">
            <w:pPr>
              <w:spacing w:before="10"/>
              <w:jc w:val="both"/>
            </w:pPr>
            <w:r>
              <w:rPr>
                <w:sz w:val="24"/>
                <w:szCs w:val="24"/>
              </w:rPr>
              <w:t>Significant</w:t>
            </w:r>
          </w:p>
        </w:tc>
      </w:tr>
      <w:tr w:rsidR="001F1749" w14:paraId="1D26A6DD" w14:textId="77777777">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8DB6CF" w14:textId="77777777" w:rsidR="001F1749" w:rsidRDefault="00EF258E">
            <w:pPr>
              <w:spacing w:before="10"/>
              <w:jc w:val="both"/>
            </w:pPr>
            <w:proofErr w:type="spellStart"/>
            <w:r>
              <w:rPr>
                <w:sz w:val="24"/>
                <w:szCs w:val="24"/>
              </w:rPr>
              <w:t>lnheatinput</w:t>
            </w:r>
            <w:proofErr w:type="spellEnd"/>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04AAE91C" w14:textId="77777777" w:rsidR="001F1749" w:rsidRDefault="00EF258E">
            <w:pPr>
              <w:spacing w:before="10"/>
              <w:jc w:val="both"/>
            </w:pPr>
            <w:r>
              <w:rPr>
                <w:sz w:val="24"/>
                <w:szCs w:val="24"/>
              </w:rPr>
              <w:t>0.667</w:t>
            </w:r>
          </w:p>
        </w:tc>
        <w:tc>
          <w:tcPr>
            <w:tcW w:w="2430" w:type="dxa"/>
            <w:tcBorders>
              <w:top w:val="nil"/>
              <w:left w:val="nil"/>
              <w:bottom w:val="single" w:sz="8" w:space="0" w:color="000000"/>
              <w:right w:val="single" w:sz="8" w:space="0" w:color="000000"/>
            </w:tcBorders>
            <w:tcMar>
              <w:top w:w="100" w:type="dxa"/>
              <w:left w:w="100" w:type="dxa"/>
              <w:bottom w:w="100" w:type="dxa"/>
              <w:right w:w="100" w:type="dxa"/>
            </w:tcMar>
          </w:tcPr>
          <w:p w14:paraId="2BBD9CB5" w14:textId="77777777" w:rsidR="001F1749" w:rsidRDefault="00EF258E">
            <w:pPr>
              <w:spacing w:before="10"/>
              <w:jc w:val="both"/>
            </w:pPr>
            <w:r>
              <w:rPr>
                <w:sz w:val="24"/>
                <w:szCs w:val="24"/>
              </w:rPr>
              <w:t>0.002</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243194D0" w14:textId="77777777" w:rsidR="001F1749" w:rsidRDefault="00EF258E">
            <w:pPr>
              <w:spacing w:before="10"/>
              <w:jc w:val="both"/>
            </w:pPr>
            <w:r>
              <w:rPr>
                <w:sz w:val="24"/>
                <w:szCs w:val="24"/>
              </w:rPr>
              <w:t>Yes ***</w:t>
            </w:r>
          </w:p>
        </w:tc>
      </w:tr>
      <w:tr w:rsidR="001F1749" w14:paraId="0107917F" w14:textId="77777777">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DC21B5" w14:textId="77777777" w:rsidR="001F1749" w:rsidRDefault="00EF258E">
            <w:pPr>
              <w:spacing w:before="10"/>
              <w:jc w:val="both"/>
            </w:pPr>
            <w:r>
              <w:rPr>
                <w:sz w:val="24"/>
                <w:szCs w:val="24"/>
              </w:rPr>
              <w:t>stage1</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0E060A27" w14:textId="77777777" w:rsidR="001F1749" w:rsidRDefault="00EF258E">
            <w:pPr>
              <w:spacing w:before="10"/>
              <w:jc w:val="both"/>
            </w:pPr>
            <w:r>
              <w:rPr>
                <w:sz w:val="24"/>
                <w:szCs w:val="24"/>
              </w:rPr>
              <w:t>-0.981</w:t>
            </w:r>
          </w:p>
        </w:tc>
        <w:tc>
          <w:tcPr>
            <w:tcW w:w="2430" w:type="dxa"/>
            <w:tcBorders>
              <w:top w:val="nil"/>
              <w:left w:val="nil"/>
              <w:bottom w:val="single" w:sz="8" w:space="0" w:color="000000"/>
              <w:right w:val="single" w:sz="8" w:space="0" w:color="000000"/>
            </w:tcBorders>
            <w:tcMar>
              <w:top w:w="100" w:type="dxa"/>
              <w:left w:w="100" w:type="dxa"/>
              <w:bottom w:w="100" w:type="dxa"/>
              <w:right w:w="100" w:type="dxa"/>
            </w:tcMar>
          </w:tcPr>
          <w:p w14:paraId="18C03524" w14:textId="77777777" w:rsidR="001F1749" w:rsidRDefault="00EF258E">
            <w:pPr>
              <w:spacing w:before="10"/>
              <w:jc w:val="both"/>
            </w:pPr>
            <w:r>
              <w:rPr>
                <w:sz w:val="24"/>
                <w:szCs w:val="24"/>
              </w:rPr>
              <w:t>0.002</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20C357AF" w14:textId="77777777" w:rsidR="001F1749" w:rsidRDefault="00EF258E">
            <w:pPr>
              <w:spacing w:before="10"/>
              <w:jc w:val="both"/>
            </w:pPr>
            <w:r>
              <w:rPr>
                <w:sz w:val="24"/>
                <w:szCs w:val="24"/>
              </w:rPr>
              <w:t>Yes ***</w:t>
            </w:r>
          </w:p>
        </w:tc>
      </w:tr>
      <w:tr w:rsidR="001F1749" w14:paraId="60A07188" w14:textId="77777777">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655C1A" w14:textId="77777777" w:rsidR="001F1749" w:rsidRDefault="00EF258E">
            <w:pPr>
              <w:spacing w:before="10"/>
              <w:jc w:val="both"/>
            </w:pPr>
            <w:r>
              <w:rPr>
                <w:sz w:val="24"/>
                <w:szCs w:val="24"/>
              </w:rPr>
              <w:t>stage2</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3D8B164E" w14:textId="77777777" w:rsidR="001F1749" w:rsidRDefault="00EF258E">
            <w:pPr>
              <w:spacing w:before="10"/>
              <w:jc w:val="both"/>
            </w:pPr>
            <w:r>
              <w:rPr>
                <w:sz w:val="24"/>
                <w:szCs w:val="24"/>
              </w:rPr>
              <w:t>-1.433</w:t>
            </w:r>
          </w:p>
        </w:tc>
        <w:tc>
          <w:tcPr>
            <w:tcW w:w="2430" w:type="dxa"/>
            <w:tcBorders>
              <w:top w:val="nil"/>
              <w:left w:val="nil"/>
              <w:bottom w:val="single" w:sz="8" w:space="0" w:color="000000"/>
              <w:right w:val="single" w:sz="8" w:space="0" w:color="000000"/>
            </w:tcBorders>
            <w:tcMar>
              <w:top w:w="100" w:type="dxa"/>
              <w:left w:w="100" w:type="dxa"/>
              <w:bottom w:w="100" w:type="dxa"/>
              <w:right w:w="100" w:type="dxa"/>
            </w:tcMar>
          </w:tcPr>
          <w:p w14:paraId="1BE390E8" w14:textId="77777777" w:rsidR="001F1749" w:rsidRDefault="00EF258E">
            <w:pPr>
              <w:spacing w:before="10"/>
              <w:jc w:val="both"/>
            </w:pPr>
            <w:r>
              <w:rPr>
                <w:sz w:val="24"/>
                <w:szCs w:val="24"/>
              </w:rPr>
              <w:t>0.022</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43AD8EB" w14:textId="77777777" w:rsidR="001F1749" w:rsidRDefault="00EF258E">
            <w:pPr>
              <w:spacing w:before="10"/>
              <w:jc w:val="both"/>
            </w:pPr>
            <w:r>
              <w:rPr>
                <w:sz w:val="24"/>
                <w:szCs w:val="24"/>
              </w:rPr>
              <w:t>Yes **</w:t>
            </w:r>
          </w:p>
        </w:tc>
      </w:tr>
      <w:tr w:rsidR="001F1749" w14:paraId="51380D90" w14:textId="77777777">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305729" w14:textId="77777777" w:rsidR="001F1749" w:rsidRDefault="00EF258E">
            <w:pPr>
              <w:spacing w:before="10"/>
              <w:jc w:val="both"/>
            </w:pPr>
            <w:proofErr w:type="spellStart"/>
            <w:r>
              <w:rPr>
                <w:sz w:val="24"/>
                <w:szCs w:val="24"/>
              </w:rPr>
              <w:t>lntec</w:t>
            </w:r>
            <w:proofErr w:type="spellEnd"/>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078C70D4" w14:textId="77777777" w:rsidR="001F1749" w:rsidRDefault="00EF258E">
            <w:pPr>
              <w:spacing w:before="10"/>
              <w:jc w:val="both"/>
            </w:pPr>
            <w:r>
              <w:rPr>
                <w:sz w:val="24"/>
                <w:szCs w:val="24"/>
              </w:rPr>
              <w:t>1.819</w:t>
            </w:r>
          </w:p>
        </w:tc>
        <w:tc>
          <w:tcPr>
            <w:tcW w:w="2430" w:type="dxa"/>
            <w:tcBorders>
              <w:top w:val="nil"/>
              <w:left w:val="nil"/>
              <w:bottom w:val="single" w:sz="8" w:space="0" w:color="000000"/>
              <w:right w:val="single" w:sz="8" w:space="0" w:color="000000"/>
            </w:tcBorders>
            <w:tcMar>
              <w:top w:w="100" w:type="dxa"/>
              <w:left w:w="100" w:type="dxa"/>
              <w:bottom w:w="100" w:type="dxa"/>
              <w:right w:w="100" w:type="dxa"/>
            </w:tcMar>
          </w:tcPr>
          <w:p w14:paraId="31D11995" w14:textId="77777777" w:rsidR="001F1749" w:rsidRDefault="00EF258E">
            <w:pPr>
              <w:spacing w:before="10"/>
              <w:jc w:val="both"/>
            </w:pPr>
            <w:r>
              <w:rPr>
                <w:sz w:val="24"/>
                <w:szCs w:val="24"/>
              </w:rPr>
              <w:t>0.005</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3DCF352E" w14:textId="77777777" w:rsidR="001F1749" w:rsidRDefault="00EF258E">
            <w:pPr>
              <w:spacing w:before="10"/>
              <w:jc w:val="both"/>
            </w:pPr>
            <w:r>
              <w:rPr>
                <w:sz w:val="24"/>
                <w:szCs w:val="24"/>
              </w:rPr>
              <w:t>Yes ***</w:t>
            </w:r>
          </w:p>
        </w:tc>
      </w:tr>
      <w:tr w:rsidR="001F1749" w14:paraId="0F6AD5EB" w14:textId="77777777">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6D1DB5" w14:textId="77777777" w:rsidR="001F1749" w:rsidRDefault="00EF258E">
            <w:pPr>
              <w:spacing w:before="10"/>
              <w:jc w:val="both"/>
            </w:pPr>
            <w:proofErr w:type="spellStart"/>
            <w:r>
              <w:rPr>
                <w:sz w:val="24"/>
                <w:szCs w:val="24"/>
              </w:rPr>
              <w:t>teap</w:t>
            </w:r>
            <w:proofErr w:type="spellEnd"/>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6B19A522" w14:textId="77777777" w:rsidR="001F1749" w:rsidRDefault="00EF258E">
            <w:pPr>
              <w:spacing w:before="10"/>
              <w:jc w:val="both"/>
            </w:pPr>
            <w:r>
              <w:rPr>
                <w:sz w:val="24"/>
                <w:szCs w:val="24"/>
              </w:rPr>
              <w:t>-0.077</w:t>
            </w:r>
          </w:p>
        </w:tc>
        <w:tc>
          <w:tcPr>
            <w:tcW w:w="2430" w:type="dxa"/>
            <w:tcBorders>
              <w:top w:val="nil"/>
              <w:left w:val="nil"/>
              <w:bottom w:val="single" w:sz="8" w:space="0" w:color="000000"/>
              <w:right w:val="single" w:sz="8" w:space="0" w:color="000000"/>
            </w:tcBorders>
            <w:tcMar>
              <w:top w:w="100" w:type="dxa"/>
              <w:left w:w="100" w:type="dxa"/>
              <w:bottom w:w="100" w:type="dxa"/>
              <w:right w:w="100" w:type="dxa"/>
            </w:tcMar>
          </w:tcPr>
          <w:p w14:paraId="51E0F745" w14:textId="77777777" w:rsidR="001F1749" w:rsidRDefault="00EF258E">
            <w:pPr>
              <w:spacing w:before="10"/>
              <w:jc w:val="both"/>
            </w:pPr>
            <w:r>
              <w:rPr>
                <w:sz w:val="24"/>
                <w:szCs w:val="24"/>
              </w:rPr>
              <w:t>0.028</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3E7AFDE3" w14:textId="77777777" w:rsidR="001F1749" w:rsidRDefault="00EF258E">
            <w:pPr>
              <w:spacing w:before="10"/>
              <w:jc w:val="both"/>
            </w:pPr>
            <w:r>
              <w:rPr>
                <w:sz w:val="24"/>
                <w:szCs w:val="24"/>
              </w:rPr>
              <w:t>Yes **</w:t>
            </w:r>
          </w:p>
        </w:tc>
      </w:tr>
    </w:tbl>
    <w:p w14:paraId="109D53CB" w14:textId="77777777" w:rsidR="001F1749" w:rsidRDefault="00EF258E">
      <w:pPr>
        <w:spacing w:before="10" w:after="160" w:line="480" w:lineRule="auto"/>
        <w:jc w:val="both"/>
      </w:pPr>
      <w:r>
        <w:t xml:space="preserve"> </w:t>
      </w:r>
    </w:p>
    <w:p w14:paraId="7EA447CB" w14:textId="6424BFDC" w:rsidR="001F1749" w:rsidRDefault="00EF258E" w:rsidP="00063F35">
      <w:pPr>
        <w:spacing w:before="10" w:after="160" w:line="480" w:lineRule="auto"/>
        <w:ind w:left="720" w:firstLine="720"/>
        <w:jc w:val="both"/>
      </w:pPr>
      <w:r>
        <w:t>I</w:t>
      </w:r>
      <w:r w:rsidR="00DD1DA3">
        <w:t>n this alternative regression I</w:t>
      </w:r>
      <w:r w:rsidR="00CE4B95">
        <w:t xml:space="preserve"> find</w:t>
      </w:r>
      <w:r>
        <w:t xml:space="preserve"> that the coefficien</w:t>
      </w:r>
      <w:r w:rsidR="00CE4B95">
        <w:t>t of stage 1 is still negative and</w:t>
      </w:r>
      <w:r>
        <w:t xml:space="preserve"> significantly different from stage 0 at the 0.01 level, </w:t>
      </w:r>
      <w:r w:rsidR="00CE4B95">
        <w:t>as was found previously.  T</w:t>
      </w:r>
      <w:r w:rsidR="00A90937">
        <w:t xml:space="preserve">he </w:t>
      </w:r>
      <w:r>
        <w:t>stage 2 dummy</w:t>
      </w:r>
      <w:r w:rsidR="00CE4B95">
        <w:t>, however, is only negative and</w:t>
      </w:r>
      <w:r>
        <w:t xml:space="preserve"> significant at the 0.05 level. Two other variables</w:t>
      </w:r>
      <w:r w:rsidR="00A90937">
        <w:t>,</w:t>
      </w:r>
      <w:r>
        <w:t xml:space="preserve"> “</w:t>
      </w:r>
      <w:proofErr w:type="spellStart"/>
      <w:r>
        <w:t>lnheatinput</w:t>
      </w:r>
      <w:proofErr w:type="spellEnd"/>
      <w:r>
        <w:t>” and “</w:t>
      </w:r>
      <w:proofErr w:type="spellStart"/>
      <w:r>
        <w:t>lntec</w:t>
      </w:r>
      <w:proofErr w:type="spellEnd"/>
      <w:r w:rsidR="00A90937">
        <w:t>,</w:t>
      </w:r>
      <w:r>
        <w:t>” are also significant at the 0.01 level and have positive correlation</w:t>
      </w:r>
      <w:r w:rsidR="00A90937">
        <w:t>s</w:t>
      </w:r>
      <w:r>
        <w:t xml:space="preserve"> with lnSO2. The new variable “</w:t>
      </w:r>
      <w:proofErr w:type="spellStart"/>
      <w:r>
        <w:t>teap</w:t>
      </w:r>
      <w:proofErr w:type="spellEnd"/>
      <w:r>
        <w:t>”</w:t>
      </w:r>
      <w:r w:rsidR="00DD1DA3">
        <w:t xml:space="preserve">, total energy average prices, </w:t>
      </w:r>
      <w:r>
        <w:t xml:space="preserve">has a negative correlation with SO2 emissions and is </w:t>
      </w:r>
      <w:r>
        <w:lastRenderedPageBreak/>
        <w:t>significant at the 0.05 level.</w:t>
      </w:r>
    </w:p>
    <w:p w14:paraId="7F6327A9" w14:textId="77777777" w:rsidR="001F1749" w:rsidRDefault="00EF258E" w:rsidP="00230FF0">
      <w:pPr>
        <w:pStyle w:val="Heading1"/>
        <w:spacing w:before="74" w:line="480" w:lineRule="auto"/>
        <w:ind w:left="0" w:right="109" w:firstLine="720"/>
      </w:pPr>
      <w:bookmarkStart w:id="1" w:name="h.pcz049h293ty" w:colFirst="0" w:colLast="0"/>
      <w:bookmarkEnd w:id="1"/>
      <w:r>
        <w:t>State Level Results</w:t>
      </w:r>
    </w:p>
    <w:p w14:paraId="19F57469" w14:textId="7CB7E4CB" w:rsidR="001F1749" w:rsidRDefault="00EF258E" w:rsidP="00063F35">
      <w:pPr>
        <w:spacing w:before="10" w:after="160" w:line="480" w:lineRule="auto"/>
        <w:ind w:left="720" w:firstLine="720"/>
        <w:jc w:val="both"/>
      </w:pPr>
      <w:r>
        <w:t xml:space="preserve">In addition to the national level analysis, </w:t>
      </w:r>
      <w:r w:rsidR="00DD1DA3">
        <w:t>I am</w:t>
      </w:r>
      <w:r>
        <w:t xml:space="preserve"> also interested in the effectiveness of the policy at </w:t>
      </w:r>
      <w:r w:rsidR="00CE4B95">
        <w:t xml:space="preserve">the </w:t>
      </w:r>
      <w:r>
        <w:t>state level. Since firm</w:t>
      </w:r>
      <w:r w:rsidR="00E7308C">
        <w:t>s</w:t>
      </w:r>
      <w:r>
        <w:t xml:space="preserve"> could trade pollution permits under the CAT scheme, emissions within specific states may </w:t>
      </w:r>
      <w:r w:rsidR="00CE4B95">
        <w:t xml:space="preserve">have </w:t>
      </w:r>
      <w:r>
        <w:t>increase</w:t>
      </w:r>
      <w:r w:rsidR="00CE4B95">
        <w:t>d</w:t>
      </w:r>
      <w:r>
        <w:t xml:space="preserve"> during a certain period because no geographic bounds </w:t>
      </w:r>
      <w:r w:rsidR="00CE4B95">
        <w:t>were placed on the trade.  Therefore, it makes sense to</w:t>
      </w:r>
      <w:r w:rsidR="00DD1DA3">
        <w:t xml:space="preserve"> </w:t>
      </w:r>
      <w:r w:rsidR="00CE4B95">
        <w:t>check</w:t>
      </w:r>
      <w:r>
        <w:t xml:space="preserve"> the</w:t>
      </w:r>
      <w:r w:rsidR="00CE4B95">
        <w:t xml:space="preserve"> state level data to see if</w:t>
      </w:r>
      <w:r>
        <w:t xml:space="preserve"> “hotspot</w:t>
      </w:r>
      <w:r w:rsidR="00A90937">
        <w:t>s”</w:t>
      </w:r>
      <w:r>
        <w:t xml:space="preserve"> existed during the two stages.</w:t>
      </w:r>
    </w:p>
    <w:p w14:paraId="787F96EA" w14:textId="729ABD74" w:rsidR="001F1749" w:rsidRDefault="00DD1DA3" w:rsidP="00063F35">
      <w:pPr>
        <w:spacing w:before="10" w:after="160" w:line="480" w:lineRule="auto"/>
        <w:ind w:left="720" w:firstLine="720"/>
        <w:jc w:val="both"/>
      </w:pPr>
      <w:r>
        <w:t>I</w:t>
      </w:r>
      <w:r w:rsidR="00EF258E">
        <w:t xml:space="preserve"> ran 48 state-level (47 states plus DC) regressions with the four independent variables (two stage du</w:t>
      </w:r>
      <w:r w:rsidR="00CE4B95">
        <w:t xml:space="preserve">mmies, </w:t>
      </w:r>
      <w:proofErr w:type="spellStart"/>
      <w:r w:rsidR="00CE4B95">
        <w:t>lnheatinput</w:t>
      </w:r>
      <w:proofErr w:type="spellEnd"/>
      <w:r w:rsidR="00CE4B95">
        <w:t xml:space="preserve"> and </w:t>
      </w:r>
      <w:proofErr w:type="spellStart"/>
      <w:r w:rsidR="00CE4B95">
        <w:t>lntec</w:t>
      </w:r>
      <w:proofErr w:type="spellEnd"/>
      <w:r w:rsidR="00CE4B95">
        <w:t>) from</w:t>
      </w:r>
      <w:r w:rsidR="00EF258E">
        <w:t xml:space="preserve"> the f</w:t>
      </w:r>
      <w:r w:rsidR="00CE4B95">
        <w:t xml:space="preserve">inal national level regression.  </w:t>
      </w:r>
      <w:r w:rsidR="00EF258E">
        <w:t>Observing the coefficients of stage 1 and stage 2 in</w:t>
      </w:r>
      <w:r>
        <w:t xml:space="preserve"> each regression, I</w:t>
      </w:r>
      <w:r w:rsidR="00EF258E">
        <w:t xml:space="preserve"> find that they are significantly negative in some states, implying a successful implementation of the policy, while in other states stage dummies have significantly positive coefficients, </w:t>
      </w:r>
      <w:r w:rsidR="00CE4B95">
        <w:t>indicating concern over possible</w:t>
      </w:r>
      <w:r w:rsidR="00EF258E">
        <w:t xml:space="preserve"> hotspot</w:t>
      </w:r>
      <w:r w:rsidR="00CE4B95">
        <w:t>s</w:t>
      </w:r>
      <w:r w:rsidR="00EF258E">
        <w:t xml:space="preserve">. See Appendix </w:t>
      </w:r>
      <w:r w:rsidR="001D7CF4">
        <w:t>1</w:t>
      </w:r>
      <w:r w:rsidR="00EF258E">
        <w:t xml:space="preserve"> for detailed state-level results.</w:t>
      </w:r>
    </w:p>
    <w:p w14:paraId="54B70B0D" w14:textId="243B3374" w:rsidR="001F1749" w:rsidRDefault="00EF258E" w:rsidP="00063F35">
      <w:pPr>
        <w:spacing w:before="10" w:after="160" w:line="480" w:lineRule="auto"/>
        <w:ind w:left="720" w:firstLine="720"/>
        <w:jc w:val="both"/>
      </w:pPr>
      <w:r>
        <w:t xml:space="preserve">The following table is a summary of </w:t>
      </w:r>
      <w:r w:rsidR="00560926">
        <w:t xml:space="preserve">the </w:t>
      </w:r>
      <w:r>
        <w:t>state level analysis.  All coefficients were significant at the 0.05 level.</w:t>
      </w:r>
    </w:p>
    <w:tbl>
      <w:tblPr>
        <w:tblStyle w:val="a3"/>
        <w:tblW w:w="88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40"/>
        <w:gridCol w:w="2955"/>
        <w:gridCol w:w="2955"/>
      </w:tblGrid>
      <w:tr w:rsidR="001F1749" w14:paraId="32A7584F" w14:textId="77777777">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2FDE5F" w14:textId="77777777" w:rsidR="001F1749" w:rsidRDefault="00EF258E">
            <w:pPr>
              <w:spacing w:before="10"/>
              <w:jc w:val="both"/>
            </w:pPr>
            <w:r>
              <w:rPr>
                <w:sz w:val="24"/>
                <w:szCs w:val="24"/>
              </w:rPr>
              <w:t>Stage</w:t>
            </w:r>
          </w:p>
        </w:tc>
        <w:tc>
          <w:tcPr>
            <w:tcW w:w="29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72A487" w14:textId="77777777" w:rsidR="001F1749" w:rsidRDefault="00EF258E">
            <w:pPr>
              <w:spacing w:before="10"/>
              <w:jc w:val="both"/>
            </w:pPr>
            <w:r>
              <w:rPr>
                <w:sz w:val="24"/>
                <w:szCs w:val="24"/>
              </w:rPr>
              <w:t>States - Negative</w:t>
            </w:r>
          </w:p>
        </w:tc>
        <w:tc>
          <w:tcPr>
            <w:tcW w:w="29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91E837E" w14:textId="50E9B4EB" w:rsidR="001F1749" w:rsidRDefault="00EF258E">
            <w:pPr>
              <w:spacing w:before="10"/>
              <w:jc w:val="both"/>
            </w:pPr>
            <w:r>
              <w:rPr>
                <w:sz w:val="24"/>
                <w:szCs w:val="24"/>
              </w:rPr>
              <w:t xml:space="preserve">States </w:t>
            </w:r>
            <w:r w:rsidR="00DD1DA3">
              <w:rPr>
                <w:sz w:val="24"/>
                <w:szCs w:val="24"/>
              </w:rPr>
              <w:t>–</w:t>
            </w:r>
            <w:r>
              <w:rPr>
                <w:sz w:val="24"/>
                <w:szCs w:val="24"/>
              </w:rPr>
              <w:t xml:space="preserve"> Positive</w:t>
            </w:r>
          </w:p>
        </w:tc>
      </w:tr>
      <w:tr w:rsidR="001F1749" w14:paraId="17A7CAF1" w14:textId="77777777">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F3A457" w14:textId="77777777" w:rsidR="001F1749" w:rsidRDefault="00EF258E">
            <w:pPr>
              <w:spacing w:before="10"/>
              <w:jc w:val="both"/>
            </w:pPr>
            <w:r>
              <w:rPr>
                <w:sz w:val="24"/>
                <w:szCs w:val="24"/>
              </w:rPr>
              <w:t>Stage 1</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15F48F0D" w14:textId="77777777" w:rsidR="001F1749" w:rsidRDefault="00EF258E">
            <w:pPr>
              <w:spacing w:before="10"/>
              <w:jc w:val="both"/>
            </w:pPr>
            <w:r>
              <w:rPr>
                <w:sz w:val="24"/>
                <w:szCs w:val="24"/>
              </w:rPr>
              <w:t>19 states</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62209959" w14:textId="77777777" w:rsidR="001F1749" w:rsidRDefault="00EF258E">
            <w:pPr>
              <w:spacing w:before="10"/>
              <w:jc w:val="both"/>
            </w:pPr>
            <w:r>
              <w:rPr>
                <w:sz w:val="24"/>
                <w:szCs w:val="24"/>
              </w:rPr>
              <w:t>CO, LA, NV, OK, UT</w:t>
            </w:r>
          </w:p>
        </w:tc>
      </w:tr>
      <w:tr w:rsidR="001F1749" w14:paraId="4A81C308" w14:textId="77777777">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2150B3" w14:textId="77777777" w:rsidR="001F1749" w:rsidRDefault="00EF258E">
            <w:pPr>
              <w:spacing w:before="10"/>
              <w:jc w:val="both"/>
            </w:pPr>
            <w:r>
              <w:rPr>
                <w:sz w:val="24"/>
                <w:szCs w:val="24"/>
              </w:rPr>
              <w:t>Stage 2</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6821B200" w14:textId="77777777" w:rsidR="001F1749" w:rsidRDefault="00EF258E">
            <w:pPr>
              <w:spacing w:before="10"/>
              <w:jc w:val="both"/>
            </w:pPr>
            <w:r>
              <w:rPr>
                <w:sz w:val="24"/>
                <w:szCs w:val="24"/>
              </w:rPr>
              <w:t>27 states</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6FB69512" w14:textId="77777777" w:rsidR="001F1749" w:rsidRDefault="00EF258E">
            <w:pPr>
              <w:spacing w:before="10"/>
              <w:jc w:val="both"/>
            </w:pPr>
            <w:r>
              <w:rPr>
                <w:sz w:val="24"/>
                <w:szCs w:val="24"/>
              </w:rPr>
              <w:t>CO, LA, NE</w:t>
            </w:r>
          </w:p>
        </w:tc>
      </w:tr>
    </w:tbl>
    <w:p w14:paraId="6F23EE88" w14:textId="77777777" w:rsidR="001F1749" w:rsidRDefault="001F1749">
      <w:pPr>
        <w:spacing w:before="10" w:after="160" w:line="480" w:lineRule="auto"/>
        <w:jc w:val="both"/>
      </w:pPr>
    </w:p>
    <w:p w14:paraId="5082D56F" w14:textId="0C5C1CC6" w:rsidR="001F1749" w:rsidRDefault="00EF258E" w:rsidP="00063F35">
      <w:pPr>
        <w:spacing w:before="10" w:after="160" w:line="480" w:lineRule="auto"/>
        <w:ind w:left="720" w:firstLine="720"/>
        <w:jc w:val="both"/>
      </w:pPr>
      <w:r>
        <w:t>In stage 1, there were 19 states with significantly negative coefficient</w:t>
      </w:r>
      <w:r w:rsidR="00560926">
        <w:t>s</w:t>
      </w:r>
      <w:r>
        <w:t xml:space="preserve"> of </w:t>
      </w:r>
      <w:r w:rsidR="00560926">
        <w:t xml:space="preserve">the </w:t>
      </w:r>
      <w:r>
        <w:t>stage dummy and 5 states with significantly positive</w:t>
      </w:r>
      <w:r w:rsidR="00560926">
        <w:t xml:space="preserve"> coefficients</w:t>
      </w:r>
      <w:r>
        <w:t>. In stage 2, 27 states had negative coefficients and only 3 states had positive ones.</w:t>
      </w:r>
    </w:p>
    <w:p w14:paraId="4642F13E" w14:textId="7EB7E4A7" w:rsidR="001F1749" w:rsidRDefault="00EF258E" w:rsidP="00063F35">
      <w:pPr>
        <w:spacing w:before="10" w:after="160" w:line="480" w:lineRule="auto"/>
        <w:ind w:left="720" w:firstLine="720"/>
        <w:jc w:val="both"/>
      </w:pPr>
      <w:r>
        <w:lastRenderedPageBreak/>
        <w:t>States with negative stage dummy coefficient</w:t>
      </w:r>
      <w:r w:rsidR="00063F35">
        <w:t>s</w:t>
      </w:r>
      <w:r>
        <w:t xml:space="preserve"> </w:t>
      </w:r>
      <w:r w:rsidR="00063F35">
        <w:t xml:space="preserve">far outnumber </w:t>
      </w:r>
      <w:r>
        <w:t xml:space="preserve">states with </w:t>
      </w:r>
      <w:r w:rsidR="00063F35">
        <w:t xml:space="preserve">a </w:t>
      </w:r>
      <w:r>
        <w:t>positive</w:t>
      </w:r>
      <w:r w:rsidR="00DD1DA3">
        <w:t xml:space="preserve"> stage dummy, in both stages. I</w:t>
      </w:r>
      <w:r>
        <w:t xml:space="preserve"> also found out that in stage 2, more states saw a reduction in SO2 emissions and the hotspot issue was also less severe in comparison with stage 1, which once again confirmed the success of the policy implementation.</w:t>
      </w:r>
    </w:p>
    <w:p w14:paraId="112DC346" w14:textId="445F4865" w:rsidR="001F1749" w:rsidRDefault="00EF258E" w:rsidP="00063F35">
      <w:pPr>
        <w:spacing w:before="10" w:after="160" w:line="480" w:lineRule="auto"/>
        <w:ind w:left="720" w:firstLine="720"/>
        <w:jc w:val="both"/>
      </w:pPr>
      <w:r>
        <w:t>After examining the results o</w:t>
      </w:r>
      <w:r w:rsidR="00DD1DA3">
        <w:t>f 48 state level regressions, I</w:t>
      </w:r>
      <w:r>
        <w:t xml:space="preserve"> found that the state level analysis is no</w:t>
      </w:r>
      <w:r w:rsidR="00560926">
        <w:t>t as robust statistically as the national level analysis.  As such, the</w:t>
      </w:r>
      <w:r>
        <w:t xml:space="preserve"> conclusions can be drawn </w:t>
      </w:r>
      <w:r w:rsidR="00560926">
        <w:t xml:space="preserve">somewhat </w:t>
      </w:r>
      <w:r>
        <w:t>into question.  However, they are a good first step t</w:t>
      </w:r>
      <w:r w:rsidR="00560926">
        <w:t>owards further research in which</w:t>
      </w:r>
      <w:r>
        <w:t xml:space="preserve"> different independent varia</w:t>
      </w:r>
      <w:r w:rsidR="00560926">
        <w:t>bles at the state level could be anal</w:t>
      </w:r>
      <w:r w:rsidR="00523CB8">
        <w:t>y</w:t>
      </w:r>
      <w:r w:rsidR="00560926">
        <w:t>zed</w:t>
      </w:r>
      <w:r>
        <w:t>.</w:t>
      </w:r>
    </w:p>
    <w:p w14:paraId="23A90F8D" w14:textId="2F08DC2D" w:rsidR="001F1749" w:rsidRDefault="00EF258E" w:rsidP="00063F35">
      <w:pPr>
        <w:spacing w:before="10" w:after="160" w:line="480" w:lineRule="auto"/>
        <w:ind w:left="720" w:firstLine="720"/>
        <w:jc w:val="both"/>
      </w:pPr>
      <w:r>
        <w:t xml:space="preserve">In sum, at </w:t>
      </w:r>
      <w:r w:rsidR="00063F35">
        <w:t xml:space="preserve">the </w:t>
      </w:r>
      <w:r>
        <w:t xml:space="preserve">national level, it was found that both stage 1 and stage 2 are significantly </w:t>
      </w:r>
      <w:r w:rsidR="00560926">
        <w:t xml:space="preserve">and </w:t>
      </w:r>
      <w:r>
        <w:t xml:space="preserve">negatively different from stage 0. In terms of </w:t>
      </w:r>
      <w:r w:rsidR="00560926">
        <w:t xml:space="preserve">the </w:t>
      </w:r>
      <w:r>
        <w:t>reduction of SO2 emissions, stage 2 was more negat</w:t>
      </w:r>
      <w:r w:rsidR="00DD1DA3">
        <w:t xml:space="preserve">ively different </w:t>
      </w:r>
      <w:r w:rsidR="00560926">
        <w:t xml:space="preserve">from stage 0 </w:t>
      </w:r>
      <w:r w:rsidR="00DD1DA3">
        <w:t>than stage 1</w:t>
      </w:r>
      <w:r w:rsidR="00560926">
        <w:t xml:space="preserve"> was.  </w:t>
      </w:r>
      <w:r w:rsidR="00DD1DA3">
        <w:t>I</w:t>
      </w:r>
      <w:r>
        <w:t xml:space="preserve"> can conclude that at the national level, the program worked well in reducing overall SO2 emissions over the </w:t>
      </w:r>
      <w:r w:rsidR="00560926">
        <w:t>defined two periods</w:t>
      </w:r>
      <w:r>
        <w:t>.</w:t>
      </w:r>
    </w:p>
    <w:p w14:paraId="27C653C3" w14:textId="4EAA4776" w:rsidR="001F1749" w:rsidRDefault="00EF258E" w:rsidP="00063F35">
      <w:pPr>
        <w:spacing w:before="10" w:after="160" w:line="480" w:lineRule="auto"/>
        <w:ind w:left="720" w:firstLine="720"/>
        <w:jc w:val="both"/>
      </w:pPr>
      <w:r>
        <w:t xml:space="preserve">At </w:t>
      </w:r>
      <w:r w:rsidR="00063F35">
        <w:t xml:space="preserve">the </w:t>
      </w:r>
      <w:r>
        <w:t xml:space="preserve">state level, the number of states which experienced a significant decrease of SO2 emissions during stage 1, as compared to stage 0, was high. Further, more states had reduction in SO2 emissions when comparing the negative coefficient </w:t>
      </w:r>
      <w:r w:rsidR="00063F35">
        <w:t>re</w:t>
      </w:r>
      <w:r w:rsidR="00560926">
        <w:t>sults</w:t>
      </w:r>
      <w:r w:rsidR="00063F35">
        <w:t xml:space="preserve"> of stage 1 and stage 2.  </w:t>
      </w:r>
      <w:r w:rsidR="00560926">
        <w:t xml:space="preserve">Hotspots, however, were also found.  Specifically, five states in </w:t>
      </w:r>
      <w:r>
        <w:t xml:space="preserve">stage </w:t>
      </w:r>
      <w:r w:rsidR="00560926">
        <w:t xml:space="preserve">1 </w:t>
      </w:r>
      <w:r>
        <w:t xml:space="preserve">and three </w:t>
      </w:r>
      <w:r w:rsidR="00560926">
        <w:t xml:space="preserve">states in </w:t>
      </w:r>
      <w:r>
        <w:t>stage</w:t>
      </w:r>
      <w:r w:rsidR="00560926">
        <w:t xml:space="preserve"> 2 were found to have positive coefficients</w:t>
      </w:r>
      <w:r>
        <w:t xml:space="preserve">. Among these states, Colorado and Louisiana experienced </w:t>
      </w:r>
      <w:r w:rsidR="00DD1DA3">
        <w:t xml:space="preserve">an </w:t>
      </w:r>
      <w:r>
        <w:t>increase in SO2 emissions in both sta</w:t>
      </w:r>
      <w:r w:rsidR="00063F35">
        <w:t>ges</w:t>
      </w:r>
      <w:r>
        <w:t>, which may deserve furt</w:t>
      </w:r>
      <w:r w:rsidR="00560926">
        <w:t xml:space="preserve">her study.  </w:t>
      </w:r>
      <w:r>
        <w:t>All in all, g</w:t>
      </w:r>
      <w:r w:rsidR="00DD1DA3">
        <w:t>iven the state level results, I</w:t>
      </w:r>
      <w:r>
        <w:t xml:space="preserve"> can conclude that hotspots d</w:t>
      </w:r>
      <w:r w:rsidR="00560926">
        <w:t>id indeed occur in some states.  While t</w:t>
      </w:r>
      <w:r>
        <w:t>hey slightly decreased between stage 1 and stage 2</w:t>
      </w:r>
      <w:r w:rsidR="00560926">
        <w:t>,</w:t>
      </w:r>
      <w:r>
        <w:t xml:space="preserve"> </w:t>
      </w:r>
      <w:r w:rsidR="00560926">
        <w:t>they</w:t>
      </w:r>
      <w:r>
        <w:t xml:space="preserve"> did not disappear completely. While these hotsp</w:t>
      </w:r>
      <w:r w:rsidR="00560926">
        <w:t>ots can be seen as a concern, I</w:t>
      </w:r>
      <w:r>
        <w:t xml:space="preserve"> believe that they generally pale in </w:t>
      </w:r>
      <w:r>
        <w:lastRenderedPageBreak/>
        <w:t xml:space="preserve">comparison to </w:t>
      </w:r>
      <w:r w:rsidR="00560926">
        <w:t xml:space="preserve">the </w:t>
      </w:r>
      <w:r>
        <w:t xml:space="preserve">overall reduction in SO2 emissions the program </w:t>
      </w:r>
      <w:r w:rsidR="00560926">
        <w:t>was responsible for at both the</w:t>
      </w:r>
      <w:r>
        <w:t xml:space="preserve"> national and state level</w:t>
      </w:r>
      <w:r w:rsidR="00560926">
        <w:t>s</w:t>
      </w:r>
      <w:r>
        <w:t>.</w:t>
      </w:r>
    </w:p>
    <w:p w14:paraId="7E883AE0" w14:textId="575E9803" w:rsidR="001F1749" w:rsidRDefault="00EF258E" w:rsidP="00063F35">
      <w:pPr>
        <w:spacing w:before="10" w:after="160" w:line="480" w:lineRule="auto"/>
        <w:ind w:left="720" w:firstLine="720"/>
        <w:jc w:val="both"/>
      </w:pPr>
      <w:r>
        <w:t>Future environmental policy makers</w:t>
      </w:r>
      <w:r w:rsidR="00560926">
        <w:t xml:space="preserve"> can refer to the results of this</w:t>
      </w:r>
      <w:r>
        <w:t xml:space="preserve"> analysis when they are considering the impact of a policy at national, state and even municipal level</w:t>
      </w:r>
      <w:r w:rsidR="00560926">
        <w:t>s</w:t>
      </w:r>
      <w:r>
        <w:t>.</w:t>
      </w:r>
    </w:p>
    <w:p w14:paraId="5C5B3B18" w14:textId="77777777" w:rsidR="0063349F" w:rsidRDefault="0063349F" w:rsidP="00063F35">
      <w:pPr>
        <w:spacing w:before="10" w:after="160" w:line="480" w:lineRule="auto"/>
        <w:ind w:left="720" w:firstLine="720"/>
        <w:jc w:val="both"/>
      </w:pPr>
    </w:p>
    <w:p w14:paraId="4B4797D0" w14:textId="77777777" w:rsidR="001F1749" w:rsidRDefault="00230FF0">
      <w:pPr>
        <w:pStyle w:val="Heading1"/>
        <w:tabs>
          <w:tab w:val="left" w:pos="831"/>
        </w:tabs>
        <w:spacing w:line="480" w:lineRule="auto"/>
        <w:ind w:left="0"/>
      </w:pPr>
      <w:r>
        <w:t xml:space="preserve">       </w:t>
      </w:r>
      <w:r w:rsidR="00EF258E">
        <w:rPr>
          <w:u w:val="single"/>
        </w:rPr>
        <w:t>VI: Conclusion</w:t>
      </w:r>
    </w:p>
    <w:p w14:paraId="1497EAE5" w14:textId="17BD487E" w:rsidR="001F1749" w:rsidRDefault="00EF258E" w:rsidP="00302516">
      <w:pPr>
        <w:spacing w:before="73" w:line="480" w:lineRule="auto"/>
        <w:ind w:left="422" w:right="147" w:firstLine="700"/>
        <w:jc w:val="both"/>
      </w:pPr>
      <w:r>
        <w:rPr>
          <w:sz w:val="23"/>
          <w:szCs w:val="23"/>
        </w:rPr>
        <w:t>In brief, these findings are interesting. At the national-level, for the analysis that utilized the state-level data, it was found that both stage</w:t>
      </w:r>
      <w:r w:rsidR="00A57B3F">
        <w:rPr>
          <w:sz w:val="23"/>
          <w:szCs w:val="23"/>
        </w:rPr>
        <w:t xml:space="preserve"> 1 and stage 2 are significantly and</w:t>
      </w:r>
      <w:r>
        <w:rPr>
          <w:sz w:val="23"/>
          <w:szCs w:val="23"/>
        </w:rPr>
        <w:t xml:space="preserve"> negatively differ</w:t>
      </w:r>
      <w:r w:rsidR="00A57B3F">
        <w:rPr>
          <w:sz w:val="23"/>
          <w:szCs w:val="23"/>
        </w:rPr>
        <w:t>ent from stage 0.  Further, it is</w:t>
      </w:r>
      <w:r>
        <w:rPr>
          <w:sz w:val="23"/>
          <w:szCs w:val="23"/>
        </w:rPr>
        <w:t xml:space="preserve"> apparent that, given the corresponding p-v</w:t>
      </w:r>
      <w:r w:rsidR="00A57B3F">
        <w:rPr>
          <w:sz w:val="23"/>
          <w:szCs w:val="23"/>
        </w:rPr>
        <w:t xml:space="preserve">alues of the coefficients, </w:t>
      </w:r>
      <w:r>
        <w:rPr>
          <w:sz w:val="23"/>
          <w:szCs w:val="23"/>
        </w:rPr>
        <w:t>stage 2 was more negatively different, in terms of emissions, than stage 1.  All of this points to the fact that, at the national level, the program worked well in reducing overall SO2 emissions over the two phases defined.</w:t>
      </w:r>
    </w:p>
    <w:p w14:paraId="231B0EFC" w14:textId="3FF46C1A" w:rsidR="001F1749" w:rsidRDefault="00EF258E" w:rsidP="00302516">
      <w:pPr>
        <w:spacing w:before="1" w:line="480" w:lineRule="auto"/>
        <w:ind w:left="422" w:right="279" w:firstLine="700"/>
        <w:jc w:val="both"/>
      </w:pPr>
      <w:r>
        <w:rPr>
          <w:sz w:val="23"/>
          <w:szCs w:val="23"/>
        </w:rPr>
        <w:t>Secondly, the number of states which experienced a significant diminishment of SO2 emissions during stage 1, as compared to stage 0, were high. Further, the number of states with drops in emissions increased even more when comparing the negative coefficient returns of stage 1 and stage 2.  There were, however, states for which the level of SO2 emitted was higher during stage 1 than that of stage 0. Specifically, the states with increased SO2 emiss</w:t>
      </w:r>
      <w:r w:rsidR="00A57B3F">
        <w:rPr>
          <w:sz w:val="23"/>
          <w:szCs w:val="23"/>
        </w:rPr>
        <w:t>ions during stage 1</w:t>
      </w:r>
      <w:r>
        <w:rPr>
          <w:sz w:val="23"/>
          <w:szCs w:val="23"/>
        </w:rPr>
        <w:t xml:space="preserve"> included (at the 0.05 p-value), </w:t>
      </w:r>
      <w:r>
        <w:rPr>
          <w:sz w:val="24"/>
          <w:szCs w:val="24"/>
        </w:rPr>
        <w:t>CO, LA, NV, OK, and UT.</w:t>
      </w:r>
      <w:r>
        <w:rPr>
          <w:sz w:val="23"/>
          <w:szCs w:val="23"/>
        </w:rPr>
        <w:t xml:space="preserve">  Other states also experienced an increase at stage 2 (at the 0.05 p-value), and included </w:t>
      </w:r>
      <w:r>
        <w:rPr>
          <w:sz w:val="24"/>
          <w:szCs w:val="24"/>
        </w:rPr>
        <w:t>CO, LA, and NE</w:t>
      </w:r>
      <w:r>
        <w:rPr>
          <w:sz w:val="23"/>
          <w:szCs w:val="23"/>
        </w:rPr>
        <w:t>.</w:t>
      </w:r>
    </w:p>
    <w:p w14:paraId="601AB170" w14:textId="59176949" w:rsidR="001F1749" w:rsidRDefault="00DD1DA3" w:rsidP="00302516">
      <w:pPr>
        <w:spacing w:before="1" w:line="480" w:lineRule="auto"/>
        <w:ind w:left="422" w:right="130" w:firstLine="700"/>
        <w:jc w:val="both"/>
      </w:pPr>
      <w:r>
        <w:rPr>
          <w:sz w:val="23"/>
          <w:szCs w:val="23"/>
        </w:rPr>
        <w:t>In sum, I</w:t>
      </w:r>
      <w:r w:rsidR="00EF258E">
        <w:rPr>
          <w:sz w:val="23"/>
          <w:szCs w:val="23"/>
        </w:rPr>
        <w:t xml:space="preserve"> can infer that the program was found to be, generally, a successful </w:t>
      </w:r>
      <w:r w:rsidR="00EF258E">
        <w:rPr>
          <w:sz w:val="23"/>
          <w:szCs w:val="23"/>
        </w:rPr>
        <w:lastRenderedPageBreak/>
        <w:t>one when considering national-level emissions. This is intuitive, as the primary goal of the cap-and-trade program itself was to diminish aggregate, national</w:t>
      </w:r>
      <w:r w:rsidR="00063F35">
        <w:rPr>
          <w:sz w:val="23"/>
          <w:szCs w:val="23"/>
        </w:rPr>
        <w:t xml:space="preserve">-level SO2 emissions to </w:t>
      </w:r>
      <w:r w:rsidR="00EF258E">
        <w:rPr>
          <w:sz w:val="23"/>
          <w:szCs w:val="23"/>
        </w:rPr>
        <w:t xml:space="preserve">50% of 1980 levels. No geographic bounds were placed on the trade of the permits, however, which </w:t>
      </w:r>
      <w:r w:rsidR="00A57B3F">
        <w:rPr>
          <w:sz w:val="23"/>
          <w:szCs w:val="23"/>
        </w:rPr>
        <w:t xml:space="preserve">generally led to the concern over </w:t>
      </w:r>
      <w:r w:rsidR="00EF258E">
        <w:rPr>
          <w:sz w:val="23"/>
          <w:szCs w:val="23"/>
        </w:rPr>
        <w:t>hots</w:t>
      </w:r>
      <w:r>
        <w:rPr>
          <w:sz w:val="23"/>
          <w:szCs w:val="23"/>
        </w:rPr>
        <w:t>pots which I</w:t>
      </w:r>
      <w:r w:rsidR="00063F35">
        <w:rPr>
          <w:sz w:val="23"/>
          <w:szCs w:val="23"/>
        </w:rPr>
        <w:t xml:space="preserve"> have attempted to </w:t>
      </w:r>
      <w:r w:rsidR="00EF258E">
        <w:rPr>
          <w:sz w:val="23"/>
          <w:szCs w:val="23"/>
        </w:rPr>
        <w:t>address in th</w:t>
      </w:r>
      <w:r w:rsidR="00A57B3F">
        <w:rPr>
          <w:sz w:val="23"/>
          <w:szCs w:val="23"/>
        </w:rPr>
        <w:t>is paper.  Through my</w:t>
      </w:r>
      <w:r w:rsidR="00EF258E">
        <w:rPr>
          <w:sz w:val="23"/>
          <w:szCs w:val="23"/>
        </w:rPr>
        <w:t xml:space="preserve"> analyses,</w:t>
      </w:r>
      <w:r>
        <w:rPr>
          <w:sz w:val="23"/>
          <w:szCs w:val="23"/>
        </w:rPr>
        <w:t xml:space="preserve"> I</w:t>
      </w:r>
      <w:r w:rsidR="00EF258E">
        <w:rPr>
          <w:sz w:val="23"/>
          <w:szCs w:val="23"/>
        </w:rPr>
        <w:t xml:space="preserve"> found that hotspots did indeed occur. Specifically, </w:t>
      </w:r>
      <w:r w:rsidR="00EF258E">
        <w:rPr>
          <w:sz w:val="24"/>
          <w:szCs w:val="24"/>
        </w:rPr>
        <w:t>CO, LA, NV, OK, and UT</w:t>
      </w:r>
      <w:r w:rsidR="00EF258E">
        <w:rPr>
          <w:sz w:val="23"/>
          <w:szCs w:val="23"/>
        </w:rPr>
        <w:t xml:space="preserve"> all experienced a significant increase in emissions during</w:t>
      </w:r>
      <w:r w:rsidR="00B65FC5">
        <w:rPr>
          <w:sz w:val="23"/>
          <w:szCs w:val="23"/>
        </w:rPr>
        <w:t xml:space="preserve"> the period 1995 to 1999.  For </w:t>
      </w:r>
      <w:r w:rsidR="00523CB8">
        <w:rPr>
          <w:sz w:val="23"/>
          <w:szCs w:val="23"/>
        </w:rPr>
        <w:t>the period 2000 to 2013</w:t>
      </w:r>
      <w:r w:rsidR="00EF258E">
        <w:rPr>
          <w:sz w:val="23"/>
          <w:szCs w:val="23"/>
        </w:rPr>
        <w:t xml:space="preserve">, </w:t>
      </w:r>
      <w:r w:rsidR="00EF258E">
        <w:rPr>
          <w:sz w:val="24"/>
          <w:szCs w:val="24"/>
        </w:rPr>
        <w:t>CO, LA, and NE</w:t>
      </w:r>
      <w:r w:rsidR="00EF258E">
        <w:rPr>
          <w:sz w:val="23"/>
          <w:szCs w:val="23"/>
        </w:rPr>
        <w:t xml:space="preserve"> experienced an increase in emissions relative to stage 0 levels, with a great many </w:t>
      </w:r>
      <w:r w:rsidR="00A57B3F">
        <w:rPr>
          <w:sz w:val="23"/>
          <w:szCs w:val="23"/>
        </w:rPr>
        <w:t>states</w:t>
      </w:r>
      <w:r w:rsidR="00B65FC5">
        <w:rPr>
          <w:sz w:val="23"/>
          <w:szCs w:val="23"/>
        </w:rPr>
        <w:t xml:space="preserve"> experiencing a decrease </w:t>
      </w:r>
      <w:r w:rsidR="00EF258E">
        <w:rPr>
          <w:sz w:val="23"/>
          <w:szCs w:val="23"/>
        </w:rPr>
        <w:t>in state-level emissions during this same period.  All in all, given the state results, it can be said that hotspots did indee</w:t>
      </w:r>
      <w:r w:rsidR="00A57B3F">
        <w:rPr>
          <w:sz w:val="23"/>
          <w:szCs w:val="23"/>
        </w:rPr>
        <w:t>d occur in the areas</w:t>
      </w:r>
      <w:r w:rsidR="00EF258E">
        <w:rPr>
          <w:sz w:val="23"/>
          <w:szCs w:val="23"/>
        </w:rPr>
        <w:t xml:space="preserve"> listed, but these hotspots either disappeared completely between stage 1 and stage 2, or diminished quite a bit.  While these</w:t>
      </w:r>
      <w:r w:rsidR="00A57B3F">
        <w:rPr>
          <w:sz w:val="23"/>
          <w:szCs w:val="23"/>
        </w:rPr>
        <w:t xml:space="preserve"> hotspots can be construed as</w:t>
      </w:r>
      <w:r w:rsidR="00EF258E">
        <w:rPr>
          <w:sz w:val="23"/>
          <w:szCs w:val="23"/>
        </w:rPr>
        <w:t xml:space="preserve"> </w:t>
      </w:r>
      <w:r w:rsidR="00063F35">
        <w:rPr>
          <w:sz w:val="23"/>
          <w:szCs w:val="23"/>
        </w:rPr>
        <w:t xml:space="preserve">a </w:t>
      </w:r>
      <w:r w:rsidR="00EF258E">
        <w:rPr>
          <w:sz w:val="23"/>
          <w:szCs w:val="23"/>
        </w:rPr>
        <w:t>concern, it is important to note that they general</w:t>
      </w:r>
      <w:r w:rsidR="00A57B3F">
        <w:rPr>
          <w:sz w:val="23"/>
          <w:szCs w:val="23"/>
        </w:rPr>
        <w:t xml:space="preserve">ly pale in comparison to </w:t>
      </w:r>
      <w:r w:rsidR="00EF258E">
        <w:rPr>
          <w:sz w:val="23"/>
          <w:szCs w:val="23"/>
        </w:rPr>
        <w:t>the reduction in SO2 emissions the pro</w:t>
      </w:r>
      <w:r w:rsidR="00A57B3F">
        <w:rPr>
          <w:sz w:val="23"/>
          <w:szCs w:val="23"/>
        </w:rPr>
        <w:t>gram has been responsible for</w:t>
      </w:r>
      <w:r w:rsidR="00EF258E">
        <w:rPr>
          <w:sz w:val="23"/>
          <w:szCs w:val="23"/>
        </w:rPr>
        <w:t>.</w:t>
      </w:r>
    </w:p>
    <w:p w14:paraId="7B15F1FF" w14:textId="77777777" w:rsidR="00B02603" w:rsidRDefault="00B02603" w:rsidP="00302516">
      <w:pPr>
        <w:spacing w:before="1" w:line="480" w:lineRule="auto"/>
        <w:ind w:right="130"/>
        <w:jc w:val="both"/>
        <w:rPr>
          <w:b/>
          <w:sz w:val="23"/>
          <w:szCs w:val="23"/>
          <w:u w:val="single"/>
        </w:rPr>
      </w:pPr>
    </w:p>
    <w:p w14:paraId="13F1BB73" w14:textId="77777777" w:rsidR="00B02603" w:rsidRDefault="00B02603" w:rsidP="00302516">
      <w:pPr>
        <w:spacing w:before="1" w:line="480" w:lineRule="auto"/>
        <w:ind w:right="130"/>
        <w:jc w:val="both"/>
        <w:rPr>
          <w:b/>
          <w:sz w:val="23"/>
          <w:szCs w:val="23"/>
          <w:u w:val="single"/>
        </w:rPr>
      </w:pPr>
    </w:p>
    <w:p w14:paraId="3BB0EF56" w14:textId="77777777" w:rsidR="00B02603" w:rsidRDefault="00B02603" w:rsidP="00302516">
      <w:pPr>
        <w:spacing w:before="1" w:line="480" w:lineRule="auto"/>
        <w:ind w:right="130"/>
        <w:jc w:val="both"/>
        <w:rPr>
          <w:b/>
          <w:sz w:val="23"/>
          <w:szCs w:val="23"/>
          <w:u w:val="single"/>
        </w:rPr>
      </w:pPr>
    </w:p>
    <w:p w14:paraId="0DDA97CD" w14:textId="77777777" w:rsidR="00B02603" w:rsidRDefault="00B02603">
      <w:pPr>
        <w:spacing w:before="1" w:line="480" w:lineRule="auto"/>
        <w:ind w:right="130"/>
        <w:rPr>
          <w:b/>
          <w:sz w:val="23"/>
          <w:szCs w:val="23"/>
          <w:u w:val="single"/>
        </w:rPr>
      </w:pPr>
    </w:p>
    <w:p w14:paraId="15FE59FC" w14:textId="77777777" w:rsidR="00B02603" w:rsidRDefault="00B02603">
      <w:pPr>
        <w:spacing w:before="1" w:line="480" w:lineRule="auto"/>
        <w:ind w:right="130"/>
        <w:rPr>
          <w:b/>
          <w:sz w:val="23"/>
          <w:szCs w:val="23"/>
          <w:u w:val="single"/>
        </w:rPr>
      </w:pPr>
    </w:p>
    <w:p w14:paraId="59CEC919" w14:textId="77777777" w:rsidR="00063F35" w:rsidRDefault="00063F35">
      <w:pPr>
        <w:spacing w:before="1" w:line="480" w:lineRule="auto"/>
        <w:ind w:right="130"/>
        <w:rPr>
          <w:b/>
          <w:sz w:val="23"/>
          <w:szCs w:val="23"/>
          <w:u w:val="single"/>
        </w:rPr>
      </w:pPr>
    </w:p>
    <w:p w14:paraId="0D172CC4" w14:textId="77777777" w:rsidR="00227B20" w:rsidRDefault="00227B20">
      <w:pPr>
        <w:spacing w:before="1" w:line="480" w:lineRule="auto"/>
        <w:ind w:right="130"/>
        <w:rPr>
          <w:b/>
          <w:sz w:val="23"/>
          <w:szCs w:val="23"/>
          <w:u w:val="single"/>
        </w:rPr>
      </w:pPr>
    </w:p>
    <w:p w14:paraId="6D0E9B2D" w14:textId="77777777" w:rsidR="00A57B3F" w:rsidRDefault="00A57B3F">
      <w:pPr>
        <w:spacing w:before="1" w:line="480" w:lineRule="auto"/>
        <w:ind w:right="130"/>
        <w:rPr>
          <w:b/>
          <w:sz w:val="23"/>
          <w:szCs w:val="23"/>
          <w:u w:val="single"/>
        </w:rPr>
      </w:pPr>
    </w:p>
    <w:p w14:paraId="6463EF0D" w14:textId="77777777" w:rsidR="00A57B3F" w:rsidRDefault="00A57B3F">
      <w:pPr>
        <w:spacing w:before="1" w:line="480" w:lineRule="auto"/>
        <w:ind w:right="130"/>
        <w:rPr>
          <w:b/>
          <w:sz w:val="23"/>
          <w:szCs w:val="23"/>
          <w:u w:val="single"/>
        </w:rPr>
      </w:pPr>
    </w:p>
    <w:p w14:paraId="0F9309DA" w14:textId="77777777" w:rsidR="001F1749" w:rsidRDefault="00EF258E">
      <w:pPr>
        <w:spacing w:before="1" w:line="480" w:lineRule="auto"/>
        <w:ind w:right="130"/>
      </w:pPr>
      <w:r>
        <w:rPr>
          <w:b/>
          <w:sz w:val="23"/>
          <w:szCs w:val="23"/>
          <w:u w:val="single"/>
        </w:rPr>
        <w:lastRenderedPageBreak/>
        <w:t>VII: Bibliography</w:t>
      </w:r>
    </w:p>
    <w:p w14:paraId="16EDAFF6" w14:textId="77777777" w:rsidR="001F1749" w:rsidRPr="00302516" w:rsidRDefault="00EF258E">
      <w:pPr>
        <w:spacing w:before="156" w:line="480" w:lineRule="auto"/>
        <w:ind w:left="121" w:right="7"/>
      </w:pPr>
      <w:proofErr w:type="spellStart"/>
      <w:r w:rsidRPr="00302516">
        <w:rPr>
          <w:rFonts w:eastAsia="Calibri"/>
          <w:sz w:val="19"/>
          <w:szCs w:val="19"/>
        </w:rPr>
        <w:t>Burtraw</w:t>
      </w:r>
      <w:proofErr w:type="spellEnd"/>
      <w:r w:rsidRPr="00302516">
        <w:rPr>
          <w:rFonts w:eastAsia="Calibri"/>
          <w:sz w:val="19"/>
          <w:szCs w:val="19"/>
        </w:rPr>
        <w:t xml:space="preserve">, Dallas and </w:t>
      </w:r>
      <w:proofErr w:type="spellStart"/>
      <w:r w:rsidRPr="00302516">
        <w:rPr>
          <w:rFonts w:eastAsia="Calibri"/>
          <w:sz w:val="19"/>
          <w:szCs w:val="19"/>
        </w:rPr>
        <w:t>Mansure</w:t>
      </w:r>
      <w:proofErr w:type="spellEnd"/>
      <w:r w:rsidRPr="00302516">
        <w:rPr>
          <w:rFonts w:eastAsia="Calibri"/>
          <w:sz w:val="19"/>
          <w:szCs w:val="19"/>
        </w:rPr>
        <w:t xml:space="preserve">, Erin (1999), </w:t>
      </w:r>
      <w:r w:rsidRPr="00302516">
        <w:rPr>
          <w:rFonts w:eastAsia="Calibri"/>
          <w:i/>
          <w:sz w:val="19"/>
          <w:szCs w:val="19"/>
        </w:rPr>
        <w:t>The Effects of Trading and Banking in the SO</w:t>
      </w:r>
      <w:r w:rsidRPr="00302516">
        <w:rPr>
          <w:rFonts w:eastAsia="Calibri"/>
          <w:i/>
          <w:sz w:val="12"/>
          <w:szCs w:val="12"/>
        </w:rPr>
        <w:t xml:space="preserve">2 </w:t>
      </w:r>
      <w:r w:rsidRPr="00302516">
        <w:rPr>
          <w:rFonts w:eastAsia="Calibri"/>
          <w:i/>
          <w:sz w:val="19"/>
          <w:szCs w:val="19"/>
        </w:rPr>
        <w:t>Allowance Market</w:t>
      </w:r>
    </w:p>
    <w:p w14:paraId="378439F3" w14:textId="77777777" w:rsidR="001F1749" w:rsidRPr="00302516" w:rsidRDefault="00EF258E">
      <w:pPr>
        <w:spacing w:line="480" w:lineRule="auto"/>
        <w:ind w:left="121" w:right="7"/>
      </w:pPr>
      <w:r w:rsidRPr="00302516">
        <w:rPr>
          <w:rFonts w:eastAsia="Calibri"/>
          <w:sz w:val="19"/>
          <w:szCs w:val="19"/>
        </w:rPr>
        <w:t>(Resources for the Future, Washington D.C.).,</w:t>
      </w:r>
    </w:p>
    <w:p w14:paraId="66AFE0FD" w14:textId="77777777" w:rsidR="001F1749" w:rsidRPr="00302516" w:rsidRDefault="00EF258E">
      <w:pPr>
        <w:spacing w:before="87" w:line="480" w:lineRule="auto"/>
        <w:ind w:left="121" w:right="7"/>
      </w:pPr>
      <w:proofErr w:type="spellStart"/>
      <w:r w:rsidRPr="00302516">
        <w:rPr>
          <w:rFonts w:eastAsia="Calibri"/>
          <w:sz w:val="19"/>
          <w:szCs w:val="19"/>
        </w:rPr>
        <w:t>Burtraw</w:t>
      </w:r>
      <w:proofErr w:type="spellEnd"/>
      <w:r w:rsidRPr="00302516">
        <w:rPr>
          <w:rFonts w:eastAsia="Calibri"/>
          <w:sz w:val="19"/>
          <w:szCs w:val="19"/>
        </w:rPr>
        <w:t xml:space="preserve">, Dallas and Palmer, Karen (2003), </w:t>
      </w:r>
      <w:r w:rsidRPr="00302516">
        <w:rPr>
          <w:rFonts w:eastAsia="Calibri"/>
          <w:i/>
          <w:sz w:val="19"/>
          <w:szCs w:val="19"/>
        </w:rPr>
        <w:t>The Paparazzi Take a Look at a Living Legend: The SO</w:t>
      </w:r>
      <w:r w:rsidRPr="00302516">
        <w:rPr>
          <w:rFonts w:eastAsia="Calibri"/>
          <w:i/>
          <w:sz w:val="12"/>
          <w:szCs w:val="12"/>
        </w:rPr>
        <w:t xml:space="preserve">2 </w:t>
      </w:r>
      <w:r w:rsidRPr="00302516">
        <w:rPr>
          <w:rFonts w:eastAsia="Calibri"/>
          <w:i/>
          <w:sz w:val="19"/>
          <w:szCs w:val="19"/>
        </w:rPr>
        <w:t xml:space="preserve">Cap-and-Trade Program for Power Plants in the United States </w:t>
      </w:r>
      <w:r w:rsidRPr="00302516">
        <w:rPr>
          <w:rFonts w:eastAsia="Calibri"/>
          <w:sz w:val="19"/>
          <w:szCs w:val="19"/>
        </w:rPr>
        <w:t>(Resources for the Future, Washington D.C.)</w:t>
      </w:r>
    </w:p>
    <w:p w14:paraId="04572F38" w14:textId="77777777" w:rsidR="001F1749" w:rsidRPr="00302516" w:rsidRDefault="00EF258E">
      <w:pPr>
        <w:spacing w:line="480" w:lineRule="auto"/>
        <w:ind w:left="121" w:right="7"/>
      </w:pPr>
      <w:r w:rsidRPr="00302516">
        <w:rPr>
          <w:rFonts w:eastAsia="Calibri"/>
          <w:sz w:val="19"/>
          <w:szCs w:val="19"/>
        </w:rPr>
        <w:t xml:space="preserve">Cramton, Peter (2000), “A Review of Markets for Clean Air: The U.S. Acid Rain Program”, </w:t>
      </w:r>
      <w:r w:rsidRPr="00302516">
        <w:rPr>
          <w:rFonts w:eastAsia="Calibri"/>
          <w:i/>
          <w:sz w:val="19"/>
          <w:szCs w:val="19"/>
        </w:rPr>
        <w:t xml:space="preserve">Journal of Economic Literature </w:t>
      </w:r>
      <w:r w:rsidRPr="00302516">
        <w:rPr>
          <w:rFonts w:eastAsia="Calibri"/>
          <w:sz w:val="19"/>
          <w:szCs w:val="19"/>
        </w:rPr>
        <w:t>38(3):627-633</w:t>
      </w:r>
    </w:p>
    <w:p w14:paraId="1FBB1AA3" w14:textId="77777777" w:rsidR="001F1749" w:rsidRPr="00302516" w:rsidRDefault="00EF258E">
      <w:pPr>
        <w:spacing w:line="480" w:lineRule="auto"/>
        <w:ind w:left="121" w:right="7"/>
      </w:pPr>
      <w:r w:rsidRPr="00302516">
        <w:rPr>
          <w:rFonts w:eastAsia="Calibri"/>
          <w:sz w:val="21"/>
          <w:szCs w:val="21"/>
        </w:rPr>
        <w:t>US EPA, Benefits and Costs of the CAA, 1990-2020 (March 2011), p.6-13</w:t>
      </w:r>
    </w:p>
    <w:p w14:paraId="67F9A7E5" w14:textId="77777777" w:rsidR="001F1749" w:rsidRPr="00302516" w:rsidRDefault="00EF258E">
      <w:pPr>
        <w:spacing w:line="480" w:lineRule="auto"/>
        <w:ind w:left="121" w:right="7"/>
      </w:pPr>
      <w:r w:rsidRPr="00302516">
        <w:rPr>
          <w:rFonts w:eastAsia="Calibri"/>
          <w:sz w:val="21"/>
          <w:szCs w:val="21"/>
        </w:rPr>
        <w:t xml:space="preserve">US EPA, “Acid Rain Program Benefits Exceed Expectations,” 2010, p.4 (citing </w:t>
      </w:r>
      <w:proofErr w:type="spellStart"/>
      <w:r w:rsidRPr="00302516">
        <w:rPr>
          <w:rFonts w:eastAsia="Calibri"/>
          <w:sz w:val="21"/>
          <w:szCs w:val="21"/>
        </w:rPr>
        <w:t>Lauraine</w:t>
      </w:r>
      <w:proofErr w:type="spellEnd"/>
      <w:r w:rsidRPr="00302516">
        <w:rPr>
          <w:rFonts w:eastAsia="Calibri"/>
          <w:sz w:val="21"/>
          <w:szCs w:val="21"/>
        </w:rPr>
        <w:t xml:space="preserve"> G. Chestnut and David M. Mills, “A Fresh Look at the Benefits and Cost of the US Acid Rain Program,” Journal of Environmental Management, Vol. 77, Issue 3 (November 2005),   252-266.)</w:t>
      </w:r>
    </w:p>
    <w:p w14:paraId="6FAADD5F" w14:textId="77777777" w:rsidR="001F1749" w:rsidRDefault="001F1749">
      <w:pPr>
        <w:spacing w:before="1" w:line="480" w:lineRule="auto"/>
        <w:ind w:left="422" w:right="130"/>
      </w:pPr>
    </w:p>
    <w:p w14:paraId="08FB75E8" w14:textId="77777777" w:rsidR="001F1749" w:rsidRDefault="001F1749">
      <w:pPr>
        <w:spacing w:before="1" w:line="480" w:lineRule="auto"/>
        <w:ind w:left="422" w:right="130"/>
      </w:pPr>
    </w:p>
    <w:p w14:paraId="31E70A71" w14:textId="77777777" w:rsidR="001F1749" w:rsidRDefault="001F1749">
      <w:pPr>
        <w:spacing w:before="1" w:line="480" w:lineRule="auto"/>
        <w:ind w:left="422" w:right="130"/>
      </w:pPr>
    </w:p>
    <w:p w14:paraId="07885DA2" w14:textId="77777777" w:rsidR="001F1749" w:rsidRDefault="001F1749">
      <w:pPr>
        <w:spacing w:before="1" w:line="480" w:lineRule="auto"/>
        <w:ind w:left="422" w:right="130"/>
      </w:pPr>
    </w:p>
    <w:p w14:paraId="157CB565" w14:textId="77777777" w:rsidR="001F1749" w:rsidRDefault="001F1749">
      <w:pPr>
        <w:spacing w:before="1" w:line="480" w:lineRule="auto"/>
        <w:ind w:left="422" w:right="130"/>
      </w:pPr>
    </w:p>
    <w:p w14:paraId="6C47973D" w14:textId="77777777" w:rsidR="00B02603" w:rsidRDefault="00B02603">
      <w:pPr>
        <w:spacing w:before="1" w:line="480" w:lineRule="auto"/>
        <w:ind w:left="422" w:right="130"/>
        <w:rPr>
          <w:b/>
          <w:sz w:val="23"/>
          <w:szCs w:val="23"/>
          <w:u w:val="single"/>
        </w:rPr>
      </w:pPr>
    </w:p>
    <w:p w14:paraId="1181FE2B" w14:textId="77777777" w:rsidR="00B02603" w:rsidRDefault="00B02603">
      <w:pPr>
        <w:spacing w:before="1" w:line="480" w:lineRule="auto"/>
        <w:ind w:left="422" w:right="130"/>
        <w:rPr>
          <w:b/>
          <w:sz w:val="23"/>
          <w:szCs w:val="23"/>
          <w:u w:val="single"/>
        </w:rPr>
      </w:pPr>
    </w:p>
    <w:p w14:paraId="4300669A" w14:textId="77777777" w:rsidR="00B02603" w:rsidRDefault="00B02603">
      <w:pPr>
        <w:spacing w:before="1" w:line="480" w:lineRule="auto"/>
        <w:ind w:left="422" w:right="130"/>
        <w:rPr>
          <w:b/>
          <w:sz w:val="23"/>
          <w:szCs w:val="23"/>
          <w:u w:val="single"/>
        </w:rPr>
      </w:pPr>
    </w:p>
    <w:p w14:paraId="016CF784" w14:textId="77777777" w:rsidR="00B02603" w:rsidRDefault="00B02603">
      <w:pPr>
        <w:spacing w:before="1" w:line="480" w:lineRule="auto"/>
        <w:ind w:left="422" w:right="130"/>
        <w:rPr>
          <w:b/>
          <w:sz w:val="23"/>
          <w:szCs w:val="23"/>
          <w:u w:val="single"/>
        </w:rPr>
      </w:pPr>
    </w:p>
    <w:p w14:paraId="4C604710" w14:textId="77777777" w:rsidR="00B02603" w:rsidRDefault="00B02603">
      <w:pPr>
        <w:spacing w:before="1" w:line="480" w:lineRule="auto"/>
        <w:ind w:left="422" w:right="130"/>
        <w:rPr>
          <w:b/>
          <w:sz w:val="23"/>
          <w:szCs w:val="23"/>
          <w:u w:val="single"/>
        </w:rPr>
      </w:pPr>
    </w:p>
    <w:p w14:paraId="24930EED" w14:textId="77777777" w:rsidR="00B02603" w:rsidRDefault="00B02603">
      <w:pPr>
        <w:spacing w:before="1" w:line="480" w:lineRule="auto"/>
        <w:ind w:left="422" w:right="130"/>
        <w:rPr>
          <w:b/>
          <w:sz w:val="23"/>
          <w:szCs w:val="23"/>
          <w:u w:val="single"/>
        </w:rPr>
      </w:pPr>
    </w:p>
    <w:p w14:paraId="38B05E6F" w14:textId="77777777" w:rsidR="00B02603" w:rsidRDefault="00B02603">
      <w:pPr>
        <w:spacing w:before="1" w:line="480" w:lineRule="auto"/>
        <w:ind w:left="422" w:right="130"/>
        <w:rPr>
          <w:b/>
          <w:sz w:val="23"/>
          <w:szCs w:val="23"/>
          <w:u w:val="single"/>
        </w:rPr>
      </w:pPr>
    </w:p>
    <w:p w14:paraId="612394F9" w14:textId="77777777" w:rsidR="00302516" w:rsidRDefault="00302516">
      <w:pPr>
        <w:spacing w:before="1" w:line="480" w:lineRule="auto"/>
        <w:ind w:left="422" w:right="130"/>
        <w:rPr>
          <w:b/>
          <w:sz w:val="23"/>
          <w:szCs w:val="23"/>
          <w:u w:val="single"/>
        </w:rPr>
      </w:pPr>
    </w:p>
    <w:p w14:paraId="0056880C" w14:textId="717ADBD8" w:rsidR="001F1749" w:rsidRPr="00227B20" w:rsidRDefault="00EF258E" w:rsidP="00227B20">
      <w:pPr>
        <w:spacing w:before="1" w:line="480" w:lineRule="auto"/>
        <w:ind w:left="422" w:right="130"/>
        <w:rPr>
          <w:b/>
          <w:sz w:val="23"/>
          <w:szCs w:val="23"/>
          <w:u w:val="single"/>
        </w:rPr>
      </w:pPr>
      <w:r>
        <w:rPr>
          <w:b/>
          <w:sz w:val="23"/>
          <w:szCs w:val="23"/>
          <w:u w:val="single"/>
        </w:rPr>
        <w:lastRenderedPageBreak/>
        <w:t>VIII: Appendix</w:t>
      </w:r>
    </w:p>
    <w:p w14:paraId="12ADEE6F" w14:textId="77777777" w:rsidR="001F1749" w:rsidRDefault="00EF258E">
      <w:pPr>
        <w:spacing w:line="480" w:lineRule="auto"/>
        <w:ind w:left="424"/>
        <w:jc w:val="center"/>
      </w:pPr>
      <w:r>
        <w:rPr>
          <w:noProof/>
        </w:rPr>
        <w:drawing>
          <wp:inline distT="114300" distB="114300" distL="114300" distR="114300" wp14:anchorId="1A3B1ABC" wp14:editId="687D6D58">
            <wp:extent cx="1666875" cy="493395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1666875" cy="4933950"/>
                    </a:xfrm>
                    <a:prstGeom prst="rect">
                      <a:avLst/>
                    </a:prstGeom>
                    <a:ln/>
                  </pic:spPr>
                </pic:pic>
              </a:graphicData>
            </a:graphic>
          </wp:inline>
        </w:drawing>
      </w:r>
    </w:p>
    <w:p w14:paraId="35A0C309" w14:textId="36785FB9" w:rsidR="00E7308C" w:rsidRDefault="00EF258E">
      <w:pPr>
        <w:spacing w:line="480" w:lineRule="auto"/>
        <w:ind w:left="424"/>
        <w:jc w:val="center"/>
        <w:rPr>
          <w:sz w:val="23"/>
          <w:szCs w:val="23"/>
        </w:rPr>
      </w:pPr>
      <w:r>
        <w:rPr>
          <w:sz w:val="23"/>
          <w:szCs w:val="23"/>
        </w:rPr>
        <w:t xml:space="preserve">Appendix </w:t>
      </w:r>
      <w:r w:rsidR="001D7CF4">
        <w:rPr>
          <w:sz w:val="23"/>
          <w:szCs w:val="23"/>
        </w:rPr>
        <w:t>1</w:t>
      </w:r>
      <w:r>
        <w:rPr>
          <w:sz w:val="23"/>
          <w:szCs w:val="23"/>
        </w:rPr>
        <w:t>: State level results</w:t>
      </w:r>
    </w:p>
    <w:p w14:paraId="736706A4" w14:textId="77777777" w:rsidR="00E7308C" w:rsidRDefault="00E7308C">
      <w:pPr>
        <w:spacing w:line="480" w:lineRule="auto"/>
        <w:ind w:left="424"/>
        <w:jc w:val="center"/>
        <w:rPr>
          <w:sz w:val="23"/>
          <w:szCs w:val="23"/>
        </w:rPr>
      </w:pPr>
    </w:p>
    <w:p w14:paraId="5276B3D8" w14:textId="77777777" w:rsidR="00E7308C" w:rsidRDefault="00E7308C">
      <w:pPr>
        <w:spacing w:line="480" w:lineRule="auto"/>
        <w:ind w:left="424"/>
        <w:jc w:val="center"/>
        <w:rPr>
          <w:sz w:val="23"/>
          <w:szCs w:val="23"/>
        </w:rPr>
      </w:pPr>
    </w:p>
    <w:p w14:paraId="2EDE3F76" w14:textId="77777777" w:rsidR="00E7308C" w:rsidRDefault="00E7308C">
      <w:pPr>
        <w:spacing w:line="480" w:lineRule="auto"/>
        <w:ind w:left="424"/>
        <w:jc w:val="center"/>
        <w:rPr>
          <w:sz w:val="23"/>
          <w:szCs w:val="23"/>
        </w:rPr>
      </w:pPr>
    </w:p>
    <w:p w14:paraId="1F354B1D" w14:textId="77777777" w:rsidR="00E7308C" w:rsidRDefault="00E7308C">
      <w:pPr>
        <w:spacing w:line="480" w:lineRule="auto"/>
        <w:ind w:left="424"/>
        <w:jc w:val="center"/>
        <w:rPr>
          <w:sz w:val="23"/>
          <w:szCs w:val="23"/>
        </w:rPr>
      </w:pPr>
    </w:p>
    <w:p w14:paraId="5A8F68AE" w14:textId="77777777" w:rsidR="001F1749" w:rsidRDefault="00EF258E" w:rsidP="00302516">
      <w:pPr>
        <w:spacing w:line="480" w:lineRule="auto"/>
        <w:rPr>
          <w:sz w:val="23"/>
          <w:szCs w:val="23"/>
        </w:rPr>
      </w:pPr>
      <w:r>
        <w:rPr>
          <w:sz w:val="23"/>
          <w:szCs w:val="23"/>
        </w:rPr>
        <w:t xml:space="preserve"> </w:t>
      </w:r>
    </w:p>
    <w:p w14:paraId="1150CF41" w14:textId="77777777" w:rsidR="00227B20" w:rsidRDefault="00227B20" w:rsidP="00302516">
      <w:pPr>
        <w:spacing w:line="480" w:lineRule="auto"/>
        <w:rPr>
          <w:sz w:val="23"/>
          <w:szCs w:val="23"/>
        </w:rPr>
      </w:pPr>
    </w:p>
    <w:p w14:paraId="642BA5BC" w14:textId="77777777" w:rsidR="00227B20" w:rsidRDefault="00227B20" w:rsidP="00302516">
      <w:pPr>
        <w:spacing w:line="480" w:lineRule="auto"/>
      </w:pPr>
    </w:p>
    <w:p w14:paraId="4AAFD08C" w14:textId="77777777" w:rsidR="001F1749" w:rsidRDefault="00EF258E">
      <w:pPr>
        <w:spacing w:line="480" w:lineRule="auto"/>
        <w:ind w:left="114"/>
      </w:pPr>
      <w:r>
        <w:rPr>
          <w:noProof/>
        </w:rPr>
        <w:lastRenderedPageBreak/>
        <mc:AlternateContent>
          <mc:Choice Requires="wpg">
            <w:drawing>
              <wp:inline distT="0" distB="0" distL="0" distR="0" wp14:anchorId="2ED8BB03" wp14:editId="4B8B2719">
                <wp:extent cx="1778000" cy="12700"/>
                <wp:effectExtent l="0" t="0" r="0" b="0"/>
                <wp:docPr id="7" name="Group 7"/>
                <wp:cNvGraphicFramePr/>
                <a:graphic xmlns:a="http://schemas.openxmlformats.org/drawingml/2006/main">
                  <a:graphicData uri="http://schemas.microsoft.com/office/word/2010/wordprocessingGroup">
                    <wpg:wgp>
                      <wpg:cNvGrpSpPr/>
                      <wpg:grpSpPr>
                        <a:xfrm>
                          <a:off x="0" y="0"/>
                          <a:ext cx="1778000" cy="12700"/>
                          <a:chOff x="4450967" y="3775237"/>
                          <a:chExt cx="1784984" cy="5079"/>
                        </a:xfrm>
                      </wpg:grpSpPr>
                      <wpg:grpSp>
                        <wpg:cNvPr id="12" name="Group 12"/>
                        <wpg:cNvGrpSpPr/>
                        <wpg:grpSpPr>
                          <a:xfrm>
                            <a:off x="4450967" y="3775237"/>
                            <a:ext cx="1784984" cy="5079"/>
                            <a:chOff x="0" y="0"/>
                            <a:chExt cx="2810" cy="7"/>
                          </a:xfrm>
                        </wpg:grpSpPr>
                        <wps:wsp>
                          <wps:cNvPr id="13" name="Rectangle 13"/>
                          <wps:cNvSpPr/>
                          <wps:spPr>
                            <a:xfrm>
                              <a:off x="0" y="0"/>
                              <a:ext cx="2800" cy="0"/>
                            </a:xfrm>
                            <a:prstGeom prst="rect">
                              <a:avLst/>
                            </a:prstGeom>
                            <a:noFill/>
                            <a:ln>
                              <a:noFill/>
                            </a:ln>
                          </wps:spPr>
                          <wps:txbx>
                            <w:txbxContent>
                              <w:p w14:paraId="18D37CBC" w14:textId="77777777" w:rsidR="001F1749" w:rsidRDefault="001F1749">
                                <w:pPr>
                                  <w:textDirection w:val="btLr"/>
                                </w:pPr>
                              </w:p>
                            </w:txbxContent>
                          </wps:txbx>
                          <wps:bodyPr lIns="91425" tIns="91425" rIns="91425" bIns="91425" anchor="ctr" anchorCtr="0"/>
                        </wps:wsp>
                        <wps:wsp>
                          <wps:cNvPr id="14" name="Straight Arrow Connector 14"/>
                          <wps:cNvCnPr/>
                          <wps:spPr>
                            <a:xfrm>
                              <a:off x="7" y="7"/>
                              <a:ext cx="2802"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w:pict>
              <v:group w14:anchorId="2ED8BB03" id="Group 7" o:spid="_x0000_s1026" style="width:140pt;height:1pt;mso-position-horizontal-relative:char;mso-position-vertical-relative:line" coordorigin="44509,37752" coordsize="17849,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">
                <v:group id="Group 12" o:spid="_x0000_s1027" style="position:absolute;left:44509;top:37752;width:17850;height:51" coordsize="281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rect id="Rectangle 13" o:spid="_x0000_s1028" style="position:absolute;width:2800;height: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" filled="f" stroked="f">
                    <v:textbox inset="2.53958mm,2.53958mm,2.53958mm,2.53958mm">
                      <w:txbxContent>
                        <w:p w14:paraId="18D37CBC" w14:textId="77777777" w:rsidR="001F1749" w:rsidRDefault="001F1749">
                          <w:pPr>
                            <w:textDirection w:val="btLr"/>
                          </w:pPr>
                        </w:p>
                      </w:txbxContent>
                    </v:textbox>
                  </v:rect>
                  <v:shapetype id="_x0000_t32" coordsize="21600,21600" o:spt="32" o:oned="t" path="m,l21600,21600e" filled="f">
                    <v:path arrowok="t" fillok="f" o:connecttype="none"/>
                    <o:lock v:ext="edit" shapetype="t"/>
                  </v:shapetype>
                  <v:shape id="Straight Arrow Connector 14" o:spid="_x0000_s1029" type="#_x0000_t32" style="position:absolute;left:7;top:7;width:280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"/>
                </v:group>
                <w10:anchorlock/>
              </v:group>
            </w:pict>
          </mc:Fallback>
        </mc:AlternateContent>
      </w:r>
    </w:p>
    <w:p w14:paraId="55E075EE" w14:textId="77777777" w:rsidR="001F1749" w:rsidRPr="00302516" w:rsidRDefault="00EF258E">
      <w:pPr>
        <w:spacing w:before="87" w:line="480" w:lineRule="auto"/>
        <w:ind w:left="121" w:right="7"/>
      </w:pPr>
      <w:proofErr w:type="spellStart"/>
      <w:r w:rsidRPr="00302516">
        <w:rPr>
          <w:rFonts w:eastAsia="Calibri"/>
          <w:sz w:val="20"/>
          <w:szCs w:val="20"/>
          <w:vertAlign w:val="superscript"/>
        </w:rPr>
        <w:t>i</w:t>
      </w:r>
      <w:proofErr w:type="spellEnd"/>
      <w:r w:rsidRPr="00302516">
        <w:rPr>
          <w:rFonts w:eastAsia="Calibri"/>
          <w:sz w:val="20"/>
          <w:szCs w:val="20"/>
          <w:vertAlign w:val="superscript"/>
        </w:rPr>
        <w:t xml:space="preserve"> </w:t>
      </w:r>
      <w:proofErr w:type="spellStart"/>
      <w:r w:rsidRPr="00302516">
        <w:rPr>
          <w:rFonts w:eastAsia="Calibri"/>
          <w:sz w:val="19"/>
          <w:szCs w:val="19"/>
        </w:rPr>
        <w:t>Burtraw</w:t>
      </w:r>
      <w:proofErr w:type="spellEnd"/>
      <w:r w:rsidRPr="00302516">
        <w:rPr>
          <w:rFonts w:eastAsia="Calibri"/>
          <w:sz w:val="19"/>
          <w:szCs w:val="19"/>
        </w:rPr>
        <w:t xml:space="preserve">, Dallas and Palmer, Karen (2003), </w:t>
      </w:r>
      <w:r w:rsidRPr="00302516">
        <w:rPr>
          <w:rFonts w:eastAsia="Calibri"/>
          <w:i/>
          <w:sz w:val="19"/>
          <w:szCs w:val="19"/>
        </w:rPr>
        <w:t>The Paparazzi Take a Look at a Living Legend: The SO</w:t>
      </w:r>
      <w:r w:rsidRPr="00302516">
        <w:rPr>
          <w:rFonts w:eastAsia="Calibri"/>
          <w:i/>
          <w:sz w:val="12"/>
          <w:szCs w:val="12"/>
        </w:rPr>
        <w:t xml:space="preserve">2 </w:t>
      </w:r>
      <w:r w:rsidRPr="00302516">
        <w:rPr>
          <w:rFonts w:eastAsia="Calibri"/>
          <w:i/>
          <w:sz w:val="19"/>
          <w:szCs w:val="19"/>
        </w:rPr>
        <w:t xml:space="preserve">Cap-and-Trade Program for Power Plants in the United States </w:t>
      </w:r>
      <w:r w:rsidRPr="00302516">
        <w:rPr>
          <w:rFonts w:eastAsia="Calibri"/>
          <w:sz w:val="19"/>
          <w:szCs w:val="19"/>
        </w:rPr>
        <w:t>(Resources for the Future, Washington D.C.), page 2</w:t>
      </w:r>
    </w:p>
    <w:p w14:paraId="1F191AF5" w14:textId="77777777" w:rsidR="001F1749" w:rsidRPr="00302516" w:rsidRDefault="00EF258E">
      <w:pPr>
        <w:spacing w:line="480" w:lineRule="auto"/>
        <w:ind w:left="121" w:right="7"/>
      </w:pPr>
      <w:r w:rsidRPr="00302516">
        <w:rPr>
          <w:rFonts w:eastAsia="Calibri"/>
          <w:sz w:val="20"/>
          <w:szCs w:val="20"/>
          <w:vertAlign w:val="superscript"/>
        </w:rPr>
        <w:t xml:space="preserve">ii </w:t>
      </w:r>
      <w:r w:rsidRPr="00302516">
        <w:rPr>
          <w:rFonts w:eastAsia="Calibri"/>
          <w:sz w:val="19"/>
          <w:szCs w:val="19"/>
        </w:rPr>
        <w:t xml:space="preserve">Cramton, Peter (2000), “A Review of Markets for Clean Air: The U.S. Acid Rain Program”, </w:t>
      </w:r>
      <w:r w:rsidRPr="00302516">
        <w:rPr>
          <w:rFonts w:eastAsia="Calibri"/>
          <w:i/>
          <w:sz w:val="19"/>
          <w:szCs w:val="19"/>
        </w:rPr>
        <w:t xml:space="preserve">Journal of Economic Literature </w:t>
      </w:r>
      <w:r w:rsidRPr="00302516">
        <w:rPr>
          <w:rFonts w:eastAsia="Calibri"/>
          <w:sz w:val="19"/>
          <w:szCs w:val="19"/>
        </w:rPr>
        <w:t xml:space="preserve">38(3):627-633, </w:t>
      </w:r>
      <w:proofErr w:type="gramStart"/>
      <w:r w:rsidRPr="00302516">
        <w:rPr>
          <w:rFonts w:eastAsia="Calibri"/>
          <w:sz w:val="19"/>
          <w:szCs w:val="19"/>
        </w:rPr>
        <w:t>page  627</w:t>
      </w:r>
      <w:proofErr w:type="gramEnd"/>
    </w:p>
    <w:p w14:paraId="212BE746" w14:textId="77777777" w:rsidR="001F1749" w:rsidRPr="00302516" w:rsidRDefault="00EF258E">
      <w:pPr>
        <w:spacing w:line="480" w:lineRule="auto"/>
        <w:ind w:left="121" w:right="7"/>
      </w:pPr>
      <w:r w:rsidRPr="00302516">
        <w:rPr>
          <w:rFonts w:eastAsia="Calibri"/>
          <w:sz w:val="20"/>
          <w:szCs w:val="20"/>
          <w:vertAlign w:val="superscript"/>
        </w:rPr>
        <w:t xml:space="preserve">iii </w:t>
      </w:r>
      <w:r w:rsidRPr="00302516">
        <w:rPr>
          <w:rFonts w:eastAsia="Calibri"/>
          <w:sz w:val="19"/>
          <w:szCs w:val="19"/>
        </w:rPr>
        <w:t xml:space="preserve">Cramton, Peter (2000), “A Review of Markets for Clean Air: The U.S. Acid Rain Program”, </w:t>
      </w:r>
      <w:r w:rsidRPr="00302516">
        <w:rPr>
          <w:rFonts w:eastAsia="Calibri"/>
          <w:i/>
          <w:sz w:val="19"/>
          <w:szCs w:val="19"/>
        </w:rPr>
        <w:t xml:space="preserve">Journal of Economic Literature </w:t>
      </w:r>
      <w:r w:rsidRPr="00302516">
        <w:rPr>
          <w:rFonts w:eastAsia="Calibri"/>
          <w:sz w:val="19"/>
          <w:szCs w:val="19"/>
        </w:rPr>
        <w:t xml:space="preserve">38(3):627-633, </w:t>
      </w:r>
      <w:proofErr w:type="gramStart"/>
      <w:r w:rsidRPr="00302516">
        <w:rPr>
          <w:rFonts w:eastAsia="Calibri"/>
          <w:sz w:val="19"/>
          <w:szCs w:val="19"/>
        </w:rPr>
        <w:t>page  627</w:t>
      </w:r>
      <w:proofErr w:type="gramEnd"/>
    </w:p>
    <w:p w14:paraId="2C5419BC" w14:textId="77777777" w:rsidR="001F1749" w:rsidRPr="00302516" w:rsidRDefault="00EF258E">
      <w:pPr>
        <w:spacing w:line="480" w:lineRule="auto"/>
        <w:ind w:left="121" w:right="7"/>
      </w:pPr>
      <w:r w:rsidRPr="00302516">
        <w:rPr>
          <w:rFonts w:eastAsia="Calibri"/>
          <w:sz w:val="20"/>
          <w:szCs w:val="20"/>
          <w:vertAlign w:val="superscript"/>
        </w:rPr>
        <w:t xml:space="preserve">iv </w:t>
      </w:r>
      <w:proofErr w:type="spellStart"/>
      <w:r w:rsidRPr="00302516">
        <w:rPr>
          <w:rFonts w:eastAsia="Calibri"/>
          <w:sz w:val="19"/>
          <w:szCs w:val="19"/>
        </w:rPr>
        <w:t>Burtraw</w:t>
      </w:r>
      <w:proofErr w:type="spellEnd"/>
      <w:r w:rsidRPr="00302516">
        <w:rPr>
          <w:rFonts w:eastAsia="Calibri"/>
          <w:sz w:val="19"/>
          <w:szCs w:val="19"/>
        </w:rPr>
        <w:t xml:space="preserve">, Dallas and Palmer, Karen (2003), </w:t>
      </w:r>
      <w:r w:rsidRPr="00302516">
        <w:rPr>
          <w:rFonts w:eastAsia="Calibri"/>
          <w:i/>
          <w:sz w:val="19"/>
          <w:szCs w:val="19"/>
        </w:rPr>
        <w:t>The Paparazzi Take a Look at a Living Legend: The SO</w:t>
      </w:r>
      <w:r w:rsidRPr="00302516">
        <w:rPr>
          <w:rFonts w:eastAsia="Calibri"/>
          <w:i/>
          <w:sz w:val="12"/>
          <w:szCs w:val="12"/>
        </w:rPr>
        <w:t xml:space="preserve">2 </w:t>
      </w:r>
      <w:r w:rsidRPr="00302516">
        <w:rPr>
          <w:rFonts w:eastAsia="Calibri"/>
          <w:i/>
          <w:sz w:val="19"/>
          <w:szCs w:val="19"/>
        </w:rPr>
        <w:t xml:space="preserve">Cap-and-Trade Program for Power Plants in the United States </w:t>
      </w:r>
      <w:r w:rsidRPr="00302516">
        <w:rPr>
          <w:rFonts w:eastAsia="Calibri"/>
          <w:sz w:val="19"/>
          <w:szCs w:val="19"/>
        </w:rPr>
        <w:t>(Resources for the Future, Washington D.C.), page 5</w:t>
      </w:r>
    </w:p>
    <w:p w14:paraId="316C08B4" w14:textId="77777777" w:rsidR="001F1749" w:rsidRPr="00302516" w:rsidRDefault="00EF258E">
      <w:pPr>
        <w:spacing w:line="480" w:lineRule="auto"/>
        <w:ind w:left="121" w:right="7"/>
      </w:pPr>
      <w:r w:rsidRPr="00302516">
        <w:rPr>
          <w:rFonts w:eastAsia="Calibri"/>
          <w:sz w:val="20"/>
          <w:szCs w:val="20"/>
          <w:vertAlign w:val="superscript"/>
        </w:rPr>
        <w:t xml:space="preserve">v </w:t>
      </w:r>
      <w:r w:rsidRPr="00302516">
        <w:rPr>
          <w:rFonts w:eastAsia="Calibri"/>
          <w:sz w:val="19"/>
          <w:szCs w:val="19"/>
        </w:rPr>
        <w:t>ibid page 5</w:t>
      </w:r>
    </w:p>
    <w:p w14:paraId="1896BF34" w14:textId="77777777" w:rsidR="001F1749" w:rsidRPr="00302516" w:rsidRDefault="00EF258E">
      <w:pPr>
        <w:spacing w:before="10" w:line="480" w:lineRule="auto"/>
        <w:ind w:left="121" w:right="7"/>
      </w:pPr>
      <w:r w:rsidRPr="00302516">
        <w:rPr>
          <w:rFonts w:eastAsia="Calibri"/>
          <w:sz w:val="20"/>
          <w:szCs w:val="20"/>
          <w:vertAlign w:val="superscript"/>
        </w:rPr>
        <w:t xml:space="preserve">vi </w:t>
      </w:r>
      <w:r w:rsidRPr="00302516">
        <w:rPr>
          <w:rFonts w:eastAsia="Calibri"/>
          <w:sz w:val="19"/>
          <w:szCs w:val="19"/>
        </w:rPr>
        <w:t xml:space="preserve">Cramton, Peter (2000), “A Review of Markets for Clean Air: The U.S. Acid Rain Program”, </w:t>
      </w:r>
      <w:r w:rsidRPr="00302516">
        <w:rPr>
          <w:rFonts w:eastAsia="Calibri"/>
          <w:i/>
          <w:sz w:val="19"/>
          <w:szCs w:val="19"/>
        </w:rPr>
        <w:t xml:space="preserve">Journal of Economic Literature </w:t>
      </w:r>
      <w:r w:rsidRPr="00302516">
        <w:rPr>
          <w:rFonts w:eastAsia="Calibri"/>
          <w:sz w:val="19"/>
          <w:szCs w:val="19"/>
        </w:rPr>
        <w:t xml:space="preserve">38(3):627-633, </w:t>
      </w:r>
      <w:proofErr w:type="gramStart"/>
      <w:r w:rsidRPr="00302516">
        <w:rPr>
          <w:rFonts w:eastAsia="Calibri"/>
          <w:sz w:val="19"/>
          <w:szCs w:val="19"/>
        </w:rPr>
        <w:t>page  630</w:t>
      </w:r>
      <w:proofErr w:type="gramEnd"/>
    </w:p>
    <w:p w14:paraId="6A31F140" w14:textId="77777777" w:rsidR="001F1749" w:rsidRPr="00302516" w:rsidRDefault="00EF258E">
      <w:pPr>
        <w:spacing w:line="480" w:lineRule="auto"/>
        <w:ind w:left="121" w:right="7"/>
      </w:pPr>
      <w:r w:rsidRPr="00302516">
        <w:rPr>
          <w:rFonts w:eastAsia="Calibri"/>
          <w:sz w:val="20"/>
          <w:szCs w:val="20"/>
          <w:vertAlign w:val="superscript"/>
        </w:rPr>
        <w:t xml:space="preserve">vii </w:t>
      </w:r>
      <w:r w:rsidRPr="00302516">
        <w:rPr>
          <w:rFonts w:eastAsia="Calibri"/>
          <w:sz w:val="19"/>
          <w:szCs w:val="19"/>
        </w:rPr>
        <w:t>Ibid, page 629</w:t>
      </w:r>
    </w:p>
    <w:p w14:paraId="19010968" w14:textId="77777777" w:rsidR="00B02603" w:rsidRPr="00302516" w:rsidRDefault="00EF258E" w:rsidP="00B02603">
      <w:pPr>
        <w:spacing w:before="10" w:line="480" w:lineRule="auto"/>
        <w:ind w:left="121" w:right="7"/>
      </w:pPr>
      <w:r w:rsidRPr="00302516">
        <w:rPr>
          <w:rFonts w:eastAsia="Calibri"/>
          <w:sz w:val="20"/>
          <w:szCs w:val="20"/>
          <w:vertAlign w:val="superscript"/>
        </w:rPr>
        <w:t xml:space="preserve">viii </w:t>
      </w:r>
      <w:proofErr w:type="spellStart"/>
      <w:r w:rsidRPr="00302516">
        <w:rPr>
          <w:rFonts w:eastAsia="Calibri"/>
          <w:sz w:val="19"/>
          <w:szCs w:val="19"/>
        </w:rPr>
        <w:t>Burtraw</w:t>
      </w:r>
      <w:proofErr w:type="spellEnd"/>
      <w:r w:rsidRPr="00302516">
        <w:rPr>
          <w:rFonts w:eastAsia="Calibri"/>
          <w:sz w:val="19"/>
          <w:szCs w:val="19"/>
        </w:rPr>
        <w:t xml:space="preserve">, Dallas and Palmer, Karen (2003), </w:t>
      </w:r>
      <w:r w:rsidRPr="00302516">
        <w:rPr>
          <w:rFonts w:eastAsia="Calibri"/>
          <w:i/>
          <w:sz w:val="19"/>
          <w:szCs w:val="19"/>
        </w:rPr>
        <w:t>The Paparazzi Take a Look at a Living Legend: The SO</w:t>
      </w:r>
      <w:r w:rsidRPr="00302516">
        <w:rPr>
          <w:rFonts w:eastAsia="Calibri"/>
          <w:i/>
          <w:sz w:val="12"/>
          <w:szCs w:val="12"/>
        </w:rPr>
        <w:t xml:space="preserve">2 </w:t>
      </w:r>
      <w:r w:rsidRPr="00302516">
        <w:rPr>
          <w:rFonts w:eastAsia="Calibri"/>
          <w:i/>
          <w:sz w:val="19"/>
          <w:szCs w:val="19"/>
        </w:rPr>
        <w:t xml:space="preserve">Cap-and-Trade Program for Power Plants in the United States </w:t>
      </w:r>
      <w:r w:rsidRPr="00302516">
        <w:rPr>
          <w:rFonts w:eastAsia="Calibri"/>
          <w:sz w:val="19"/>
          <w:szCs w:val="19"/>
        </w:rPr>
        <w:t>(Resources for the Future, Washington D.C.), page 18</w:t>
      </w:r>
    </w:p>
    <w:p w14:paraId="57D2967F" w14:textId="77777777" w:rsidR="00B02603" w:rsidRPr="00302516" w:rsidRDefault="00EF258E" w:rsidP="00B02603">
      <w:pPr>
        <w:spacing w:before="10" w:line="480" w:lineRule="auto"/>
        <w:ind w:left="121" w:right="7"/>
        <w:rPr>
          <w:rFonts w:eastAsia="Calibri"/>
          <w:sz w:val="19"/>
          <w:szCs w:val="19"/>
        </w:rPr>
      </w:pPr>
      <w:r w:rsidRPr="00302516">
        <w:rPr>
          <w:rFonts w:eastAsia="Calibri"/>
          <w:sz w:val="20"/>
          <w:szCs w:val="20"/>
          <w:vertAlign w:val="superscript"/>
        </w:rPr>
        <w:t xml:space="preserve">ix </w:t>
      </w:r>
      <w:r w:rsidRPr="00302516">
        <w:rPr>
          <w:rFonts w:eastAsia="Calibri"/>
          <w:sz w:val="19"/>
          <w:szCs w:val="19"/>
        </w:rPr>
        <w:t xml:space="preserve">Ibid, page 7 </w:t>
      </w:r>
    </w:p>
    <w:p w14:paraId="44E47D6C" w14:textId="77777777" w:rsidR="00B02603" w:rsidRPr="00302516" w:rsidRDefault="00EF258E" w:rsidP="00B02603">
      <w:pPr>
        <w:spacing w:before="10" w:line="480" w:lineRule="auto"/>
        <w:ind w:left="121" w:right="7"/>
        <w:rPr>
          <w:rFonts w:eastAsia="Calibri"/>
          <w:sz w:val="19"/>
          <w:szCs w:val="19"/>
        </w:rPr>
      </w:pPr>
      <w:r w:rsidRPr="00302516">
        <w:rPr>
          <w:rFonts w:eastAsia="Calibri"/>
          <w:sz w:val="20"/>
          <w:szCs w:val="20"/>
          <w:vertAlign w:val="superscript"/>
        </w:rPr>
        <w:t xml:space="preserve">x </w:t>
      </w:r>
      <w:r w:rsidRPr="00302516">
        <w:rPr>
          <w:rFonts w:eastAsia="Calibri"/>
          <w:sz w:val="19"/>
          <w:szCs w:val="19"/>
        </w:rPr>
        <w:t xml:space="preserve">Ibid, page 7 </w:t>
      </w:r>
    </w:p>
    <w:p w14:paraId="0CAC78AC" w14:textId="77777777" w:rsidR="001F1749" w:rsidRPr="00302516" w:rsidRDefault="00EF258E" w:rsidP="00B02603">
      <w:pPr>
        <w:spacing w:before="10" w:line="480" w:lineRule="auto"/>
        <w:ind w:left="121" w:right="7"/>
      </w:pPr>
      <w:r w:rsidRPr="00302516">
        <w:rPr>
          <w:rFonts w:eastAsia="Calibri"/>
          <w:sz w:val="20"/>
          <w:szCs w:val="20"/>
          <w:vertAlign w:val="superscript"/>
        </w:rPr>
        <w:t xml:space="preserve">xi </w:t>
      </w:r>
      <w:r w:rsidRPr="00302516">
        <w:rPr>
          <w:rFonts w:eastAsia="Calibri"/>
          <w:sz w:val="19"/>
          <w:szCs w:val="19"/>
        </w:rPr>
        <w:t>Ibid, page 8</w:t>
      </w:r>
    </w:p>
    <w:p w14:paraId="4F9E0931" w14:textId="77777777" w:rsidR="001F1749" w:rsidRPr="00302516" w:rsidRDefault="00EF258E">
      <w:pPr>
        <w:spacing w:line="480" w:lineRule="auto"/>
        <w:ind w:left="121" w:right="7"/>
      </w:pPr>
      <w:r w:rsidRPr="00302516">
        <w:rPr>
          <w:rFonts w:eastAsia="Calibri"/>
          <w:sz w:val="20"/>
          <w:szCs w:val="20"/>
          <w:vertAlign w:val="superscript"/>
        </w:rPr>
        <w:t xml:space="preserve">xii </w:t>
      </w:r>
      <w:r w:rsidRPr="00302516">
        <w:rPr>
          <w:rFonts w:eastAsia="Calibri"/>
          <w:sz w:val="21"/>
          <w:szCs w:val="21"/>
        </w:rPr>
        <w:t>US EPA, Benefits and Costs of the CAA, 1990-2020 (March 2011), p.6-13</w:t>
      </w:r>
    </w:p>
    <w:p w14:paraId="7CD38B2B" w14:textId="77777777" w:rsidR="00B02603" w:rsidRPr="00302516" w:rsidRDefault="00EF258E" w:rsidP="00B02603">
      <w:pPr>
        <w:spacing w:line="480" w:lineRule="auto"/>
        <w:ind w:left="121" w:right="7"/>
      </w:pPr>
      <w:r w:rsidRPr="00302516">
        <w:rPr>
          <w:rFonts w:eastAsia="Calibri"/>
          <w:sz w:val="20"/>
          <w:szCs w:val="20"/>
          <w:vertAlign w:val="superscript"/>
        </w:rPr>
        <w:t xml:space="preserve">xiii </w:t>
      </w:r>
      <w:r w:rsidRPr="00302516">
        <w:rPr>
          <w:rFonts w:eastAsia="Calibri"/>
          <w:sz w:val="21"/>
          <w:szCs w:val="21"/>
        </w:rPr>
        <w:t xml:space="preserve">US EPA, “Acid Rain Program Benefits Exceed Expectations,” 2010, p.4 (citing </w:t>
      </w:r>
      <w:proofErr w:type="spellStart"/>
      <w:r w:rsidRPr="00302516">
        <w:rPr>
          <w:rFonts w:eastAsia="Calibri"/>
          <w:sz w:val="21"/>
          <w:szCs w:val="21"/>
        </w:rPr>
        <w:t>Lauraine</w:t>
      </w:r>
      <w:proofErr w:type="spellEnd"/>
      <w:r w:rsidRPr="00302516">
        <w:rPr>
          <w:rFonts w:eastAsia="Calibri"/>
          <w:sz w:val="21"/>
          <w:szCs w:val="21"/>
        </w:rPr>
        <w:t xml:space="preserve"> G. Chestnut and David M. Mills, “A Fresh Look at the Benefits and Cost of the US Acid Rain Program,” Journal of Environmental Management, Vol. 77, Issue 3 (November 2005</w:t>
      </w:r>
      <w:proofErr w:type="gramStart"/>
      <w:r w:rsidRPr="00302516">
        <w:rPr>
          <w:rFonts w:eastAsia="Calibri"/>
          <w:sz w:val="21"/>
          <w:szCs w:val="21"/>
        </w:rPr>
        <w:t xml:space="preserve">),   </w:t>
      </w:r>
      <w:proofErr w:type="gramEnd"/>
      <w:r w:rsidRPr="00302516">
        <w:rPr>
          <w:rFonts w:eastAsia="Calibri"/>
          <w:sz w:val="21"/>
          <w:szCs w:val="21"/>
        </w:rPr>
        <w:t>252-266.)</w:t>
      </w:r>
    </w:p>
    <w:p w14:paraId="5A8EDFD0" w14:textId="77777777" w:rsidR="001F1749" w:rsidRPr="00302516" w:rsidRDefault="00EF258E" w:rsidP="00B02603">
      <w:pPr>
        <w:spacing w:line="480" w:lineRule="auto"/>
        <w:ind w:left="121" w:right="7"/>
      </w:pPr>
      <w:r w:rsidRPr="00302516">
        <w:rPr>
          <w:rFonts w:eastAsia="Calibri"/>
          <w:sz w:val="20"/>
          <w:szCs w:val="20"/>
          <w:vertAlign w:val="superscript"/>
        </w:rPr>
        <w:t xml:space="preserve">xiv </w:t>
      </w:r>
      <w:proofErr w:type="spellStart"/>
      <w:r w:rsidRPr="00302516">
        <w:rPr>
          <w:rFonts w:eastAsia="Calibri"/>
          <w:sz w:val="19"/>
          <w:szCs w:val="19"/>
        </w:rPr>
        <w:t>Burtraw</w:t>
      </w:r>
      <w:proofErr w:type="spellEnd"/>
      <w:r w:rsidRPr="00302516">
        <w:rPr>
          <w:rFonts w:eastAsia="Calibri"/>
          <w:sz w:val="19"/>
          <w:szCs w:val="19"/>
        </w:rPr>
        <w:t xml:space="preserve">, Dallas and </w:t>
      </w:r>
      <w:proofErr w:type="spellStart"/>
      <w:r w:rsidRPr="00302516">
        <w:rPr>
          <w:rFonts w:eastAsia="Calibri"/>
          <w:sz w:val="19"/>
          <w:szCs w:val="19"/>
        </w:rPr>
        <w:t>Mansure</w:t>
      </w:r>
      <w:proofErr w:type="spellEnd"/>
      <w:r w:rsidRPr="00302516">
        <w:rPr>
          <w:rFonts w:eastAsia="Calibri"/>
          <w:sz w:val="19"/>
          <w:szCs w:val="19"/>
        </w:rPr>
        <w:t xml:space="preserve">, Erin (1999), </w:t>
      </w:r>
      <w:r w:rsidRPr="00302516">
        <w:rPr>
          <w:rFonts w:eastAsia="Calibri"/>
          <w:i/>
          <w:sz w:val="19"/>
          <w:szCs w:val="19"/>
        </w:rPr>
        <w:t>The Effects of Trading and Banking in the SO</w:t>
      </w:r>
      <w:r w:rsidRPr="00302516">
        <w:rPr>
          <w:rFonts w:eastAsia="Calibri"/>
          <w:i/>
          <w:sz w:val="12"/>
          <w:szCs w:val="12"/>
        </w:rPr>
        <w:t xml:space="preserve">2 </w:t>
      </w:r>
      <w:r w:rsidRPr="00302516">
        <w:rPr>
          <w:rFonts w:eastAsia="Calibri"/>
          <w:i/>
          <w:sz w:val="19"/>
          <w:szCs w:val="19"/>
        </w:rPr>
        <w:t>Allowance Market</w:t>
      </w:r>
    </w:p>
    <w:p w14:paraId="362D1DAF" w14:textId="77777777" w:rsidR="001F1749" w:rsidRPr="00302516" w:rsidRDefault="00EF258E">
      <w:pPr>
        <w:spacing w:line="480" w:lineRule="auto"/>
        <w:ind w:left="121" w:right="7"/>
      </w:pPr>
      <w:r w:rsidRPr="00302516">
        <w:rPr>
          <w:rFonts w:eastAsia="Calibri"/>
          <w:sz w:val="19"/>
          <w:szCs w:val="19"/>
        </w:rPr>
        <w:lastRenderedPageBreak/>
        <w:t xml:space="preserve">(Resources for the Future, Washington D.C.)., </w:t>
      </w:r>
      <w:proofErr w:type="gramStart"/>
      <w:r w:rsidRPr="00302516">
        <w:rPr>
          <w:rFonts w:eastAsia="Calibri"/>
          <w:sz w:val="19"/>
          <w:szCs w:val="19"/>
        </w:rPr>
        <w:t>page  13</w:t>
      </w:r>
      <w:proofErr w:type="gramEnd"/>
    </w:p>
    <w:p w14:paraId="7BD8845C" w14:textId="77777777" w:rsidR="001F1749" w:rsidRPr="00302516" w:rsidRDefault="00EF258E">
      <w:pPr>
        <w:spacing w:line="480" w:lineRule="auto"/>
        <w:ind w:left="121" w:right="7"/>
      </w:pPr>
      <w:r w:rsidRPr="00302516">
        <w:rPr>
          <w:rFonts w:eastAsia="Calibri"/>
          <w:sz w:val="20"/>
          <w:szCs w:val="20"/>
          <w:vertAlign w:val="superscript"/>
        </w:rPr>
        <w:t xml:space="preserve">xv </w:t>
      </w:r>
      <w:r w:rsidRPr="00302516">
        <w:rPr>
          <w:rFonts w:eastAsia="Calibri"/>
          <w:sz w:val="19"/>
          <w:szCs w:val="19"/>
        </w:rPr>
        <w:t>Ibid, page 11</w:t>
      </w:r>
    </w:p>
    <w:p w14:paraId="3C5AA9B2" w14:textId="77777777" w:rsidR="001F1749" w:rsidRPr="00302516" w:rsidRDefault="00EF258E">
      <w:pPr>
        <w:spacing w:line="480" w:lineRule="auto"/>
        <w:ind w:left="121" w:right="7"/>
      </w:pPr>
      <w:r w:rsidRPr="00302516">
        <w:rPr>
          <w:rFonts w:eastAsia="Calibri"/>
          <w:sz w:val="20"/>
          <w:szCs w:val="20"/>
          <w:vertAlign w:val="superscript"/>
        </w:rPr>
        <w:t xml:space="preserve">xvi      </w:t>
      </w:r>
      <w:hyperlink r:id="rId12">
        <w:r w:rsidRPr="00302516">
          <w:rPr>
            <w:rFonts w:eastAsia="Calibri"/>
            <w:sz w:val="19"/>
            <w:szCs w:val="19"/>
            <w:u w:val="single"/>
          </w:rPr>
          <w:t>http://camddataandmaps.epa.gov/gdm/index.cfm?fuseaction=emissions.wizard</w:t>
        </w:r>
      </w:hyperlink>
    </w:p>
    <w:p w14:paraId="7D2CD745" w14:textId="77777777" w:rsidR="001F1749" w:rsidRPr="00302516" w:rsidRDefault="001F1749">
      <w:pPr>
        <w:spacing w:line="480" w:lineRule="auto"/>
        <w:ind w:left="121" w:right="7"/>
      </w:pPr>
    </w:p>
    <w:p w14:paraId="3C4B6874" w14:textId="77777777" w:rsidR="001F1749" w:rsidRPr="00302516" w:rsidRDefault="00277572">
      <w:pPr>
        <w:spacing w:line="480" w:lineRule="auto"/>
        <w:ind w:left="121" w:right="7"/>
      </w:pPr>
      <w:hyperlink r:id="rId13"/>
    </w:p>
    <w:sectPr w:rsidR="001F1749" w:rsidRPr="00302516" w:rsidSect="00983071">
      <w:headerReference w:type="even" r:id="rId14"/>
      <w:headerReference w:type="default" r:id="rId15"/>
      <w:footerReference w:type="even" r:id="rId16"/>
      <w:footerReference w:type="default" r:id="rId17"/>
      <w:headerReference w:type="first" r:id="rId18"/>
      <w:footerReference w:type="first" r:id="rId19"/>
      <w:pgSz w:w="11900" w:h="16840"/>
      <w:pgMar w:top="1440" w:right="1800" w:bottom="1440" w:left="180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D5B49" w14:textId="77777777" w:rsidR="00277572" w:rsidRDefault="00277572">
      <w:r>
        <w:separator/>
      </w:r>
    </w:p>
  </w:endnote>
  <w:endnote w:type="continuationSeparator" w:id="0">
    <w:p w14:paraId="731EDFF1" w14:textId="77777777" w:rsidR="00277572" w:rsidRDefault="00277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3989A" w14:textId="77777777" w:rsidR="00E2576C" w:rsidRDefault="00E257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9DBB9" w14:textId="77777777" w:rsidR="001F1749" w:rsidRDefault="00EF258E">
    <w:pPr>
      <w:spacing w:after="1691" w:line="14" w:lineRule="auto"/>
    </w:pPr>
    <w:r>
      <w:fldChar w:fldCharType="begin"/>
    </w:r>
    <w:r>
      <w:instrText>PAGE</w:instrText>
    </w:r>
    <w:r>
      <w:fldChar w:fldCharType="separate"/>
    </w:r>
    <w:r w:rsidR="00523CB8">
      <w:rPr>
        <w:noProof/>
      </w:rPr>
      <w:t>24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5E416" w14:textId="77777777" w:rsidR="00E2576C" w:rsidRDefault="00E257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0B947" w14:textId="77777777" w:rsidR="00277572" w:rsidRDefault="00277572">
      <w:r>
        <w:separator/>
      </w:r>
    </w:p>
  </w:footnote>
  <w:footnote w:type="continuationSeparator" w:id="0">
    <w:p w14:paraId="0FACFFDF" w14:textId="77777777" w:rsidR="00277572" w:rsidRDefault="002775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BC00" w14:textId="77777777" w:rsidR="00E2576C" w:rsidRDefault="00E257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77482" w14:textId="77777777" w:rsidR="00E2576C" w:rsidRDefault="00E257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4B272" w14:textId="77777777" w:rsidR="00E2576C" w:rsidRDefault="00E257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F4D71"/>
    <w:multiLevelType w:val="multilevel"/>
    <w:tmpl w:val="4028C26C"/>
    <w:lvl w:ilvl="0">
      <w:start w:val="1"/>
      <w:numFmt w:val="upperRoman"/>
      <w:lvlText w:val="%1"/>
      <w:lvlJc w:val="left"/>
      <w:pPr>
        <w:ind w:left="571" w:firstLine="422"/>
      </w:pPr>
      <w:rPr>
        <w:u w:val="single"/>
      </w:rPr>
    </w:lvl>
    <w:lvl w:ilvl="1">
      <w:start w:val="1"/>
      <w:numFmt w:val="bullet"/>
      <w:lvlText w:val="•"/>
      <w:lvlJc w:val="left"/>
      <w:pPr>
        <w:ind w:left="1416" w:firstLine="1267"/>
      </w:pPr>
      <w:rPr>
        <w:rFonts w:ascii="Arial" w:eastAsia="Arial" w:hAnsi="Arial" w:cs="Arial"/>
      </w:rPr>
    </w:lvl>
    <w:lvl w:ilvl="2">
      <w:start w:val="1"/>
      <w:numFmt w:val="bullet"/>
      <w:lvlText w:val="•"/>
      <w:lvlJc w:val="left"/>
      <w:pPr>
        <w:ind w:left="2252" w:firstLine="2103"/>
      </w:pPr>
      <w:rPr>
        <w:rFonts w:ascii="Arial" w:eastAsia="Arial" w:hAnsi="Arial" w:cs="Arial"/>
      </w:rPr>
    </w:lvl>
    <w:lvl w:ilvl="3">
      <w:start w:val="1"/>
      <w:numFmt w:val="bullet"/>
      <w:lvlText w:val="•"/>
      <w:lvlJc w:val="left"/>
      <w:pPr>
        <w:ind w:left="3088" w:firstLine="2939"/>
      </w:pPr>
      <w:rPr>
        <w:rFonts w:ascii="Arial" w:eastAsia="Arial" w:hAnsi="Arial" w:cs="Arial"/>
      </w:rPr>
    </w:lvl>
    <w:lvl w:ilvl="4">
      <w:start w:val="1"/>
      <w:numFmt w:val="bullet"/>
      <w:lvlText w:val="•"/>
      <w:lvlJc w:val="left"/>
      <w:pPr>
        <w:ind w:left="3924" w:firstLine="3775"/>
      </w:pPr>
      <w:rPr>
        <w:rFonts w:ascii="Arial" w:eastAsia="Arial" w:hAnsi="Arial" w:cs="Arial"/>
      </w:rPr>
    </w:lvl>
    <w:lvl w:ilvl="5">
      <w:start w:val="1"/>
      <w:numFmt w:val="bullet"/>
      <w:lvlText w:val="•"/>
      <w:lvlJc w:val="left"/>
      <w:pPr>
        <w:ind w:left="4760" w:firstLine="4611"/>
      </w:pPr>
      <w:rPr>
        <w:rFonts w:ascii="Arial" w:eastAsia="Arial" w:hAnsi="Arial" w:cs="Arial"/>
      </w:rPr>
    </w:lvl>
    <w:lvl w:ilvl="6">
      <w:start w:val="1"/>
      <w:numFmt w:val="bullet"/>
      <w:lvlText w:val="•"/>
      <w:lvlJc w:val="left"/>
      <w:pPr>
        <w:ind w:left="5596" w:firstLine="5447"/>
      </w:pPr>
      <w:rPr>
        <w:rFonts w:ascii="Arial" w:eastAsia="Arial" w:hAnsi="Arial" w:cs="Arial"/>
      </w:rPr>
    </w:lvl>
    <w:lvl w:ilvl="7">
      <w:start w:val="1"/>
      <w:numFmt w:val="bullet"/>
      <w:lvlText w:val="•"/>
      <w:lvlJc w:val="left"/>
      <w:pPr>
        <w:ind w:left="6432" w:firstLine="6283"/>
      </w:pPr>
      <w:rPr>
        <w:rFonts w:ascii="Arial" w:eastAsia="Arial" w:hAnsi="Arial" w:cs="Arial"/>
      </w:rPr>
    </w:lvl>
    <w:lvl w:ilvl="8">
      <w:start w:val="1"/>
      <w:numFmt w:val="bullet"/>
      <w:lvlText w:val="•"/>
      <w:lvlJc w:val="left"/>
      <w:pPr>
        <w:ind w:left="7268" w:firstLine="7119"/>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1749"/>
    <w:rsid w:val="00063F35"/>
    <w:rsid w:val="00155F27"/>
    <w:rsid w:val="001D7CF4"/>
    <w:rsid w:val="001F1749"/>
    <w:rsid w:val="00227B20"/>
    <w:rsid w:val="00230FF0"/>
    <w:rsid w:val="00277572"/>
    <w:rsid w:val="002D30E6"/>
    <w:rsid w:val="00302516"/>
    <w:rsid w:val="00305F5F"/>
    <w:rsid w:val="004A00E4"/>
    <w:rsid w:val="00523CB8"/>
    <w:rsid w:val="00560926"/>
    <w:rsid w:val="0063349F"/>
    <w:rsid w:val="006836C2"/>
    <w:rsid w:val="00791084"/>
    <w:rsid w:val="00897DA3"/>
    <w:rsid w:val="00912145"/>
    <w:rsid w:val="00957A00"/>
    <w:rsid w:val="00983071"/>
    <w:rsid w:val="009C39F2"/>
    <w:rsid w:val="00A57B3F"/>
    <w:rsid w:val="00A90937"/>
    <w:rsid w:val="00AA4FFA"/>
    <w:rsid w:val="00B02603"/>
    <w:rsid w:val="00B65FC5"/>
    <w:rsid w:val="00CB726E"/>
    <w:rsid w:val="00CE4B95"/>
    <w:rsid w:val="00DD1DA3"/>
    <w:rsid w:val="00E2576C"/>
    <w:rsid w:val="00E27BDA"/>
    <w:rsid w:val="00E7308C"/>
    <w:rsid w:val="00EF258E"/>
    <w:rsid w:val="00F51476"/>
    <w:rsid w:val="00FA3007"/>
    <w:rsid w:val="00FD78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001AC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ind w:left="1123"/>
      <w:outlineLvl w:val="0"/>
    </w:pPr>
    <w:rPr>
      <w:b/>
      <w:sz w:val="23"/>
      <w:szCs w:val="23"/>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BalloonText">
    <w:name w:val="Balloon Text"/>
    <w:basedOn w:val="Normal"/>
    <w:link w:val="BalloonTextChar"/>
    <w:uiPriority w:val="99"/>
    <w:semiHidden/>
    <w:unhideWhenUsed/>
    <w:rsid w:val="003025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2516"/>
    <w:rPr>
      <w:rFonts w:ascii="Lucida Grande" w:hAnsi="Lucida Grande" w:cs="Lucida Grande"/>
      <w:sz w:val="18"/>
      <w:szCs w:val="18"/>
    </w:rPr>
  </w:style>
  <w:style w:type="paragraph" w:styleId="Header">
    <w:name w:val="header"/>
    <w:basedOn w:val="Normal"/>
    <w:link w:val="HeaderChar"/>
    <w:uiPriority w:val="99"/>
    <w:unhideWhenUsed/>
    <w:rsid w:val="00302516"/>
    <w:pPr>
      <w:tabs>
        <w:tab w:val="center" w:pos="4320"/>
        <w:tab w:val="right" w:pos="8640"/>
      </w:tabs>
    </w:pPr>
  </w:style>
  <w:style w:type="character" w:customStyle="1" w:styleId="HeaderChar">
    <w:name w:val="Header Char"/>
    <w:basedOn w:val="DefaultParagraphFont"/>
    <w:link w:val="Header"/>
    <w:uiPriority w:val="99"/>
    <w:rsid w:val="00302516"/>
  </w:style>
  <w:style w:type="paragraph" w:styleId="Footer">
    <w:name w:val="footer"/>
    <w:basedOn w:val="Normal"/>
    <w:link w:val="FooterChar"/>
    <w:uiPriority w:val="99"/>
    <w:unhideWhenUsed/>
    <w:rsid w:val="00302516"/>
    <w:pPr>
      <w:tabs>
        <w:tab w:val="center" w:pos="4320"/>
        <w:tab w:val="right" w:pos="8640"/>
      </w:tabs>
    </w:pPr>
  </w:style>
  <w:style w:type="character" w:customStyle="1" w:styleId="FooterChar">
    <w:name w:val="Footer Char"/>
    <w:basedOn w:val="DefaultParagraphFont"/>
    <w:link w:val="Footer"/>
    <w:uiPriority w:val="99"/>
    <w:rsid w:val="00302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camddataandmaps.epa.gov/gdm/index.cfm?fuseaction=emissions.wizard"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camddataandmaps.epa.gov/gdm/index.cfm?fuseaction=emissions.wizard"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25</Pages>
  <Words>4439</Words>
  <Characters>25306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chrisgelsmack</dc:creator>
  <cp:lastModifiedBy>Carl Mackensen</cp:lastModifiedBy>
  <cp:revision>7</cp:revision>
  <dcterms:created xsi:type="dcterms:W3CDTF">2018-05-31T15:46:00Z</dcterms:created>
  <dcterms:modified xsi:type="dcterms:W3CDTF">2020-05-07T22:04:00Z</dcterms:modified>
</cp:coreProperties>
</file>