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9A7B1E"/>
          <w:spacing w:val="20"/>
          <w:sz w:val="22"/>
          <w:szCs w:val="22"/>
        </w:rPr>
        <w:t xml:space="preserve">ATELIER NUMÉRIQUE CONSEIL</w:t>
      </w:r>
    </w:p>
    <w:p>
      <w:pPr>
        <w:spacing w:after="400"/>
        <w:jc w:val="center"/>
      </w:pPr>
      <w:r>
        <w:rPr>
          <w:i/>
          <w:iCs/>
          <w:color w:val="555555"/>
          <w:sz w:val="18"/>
          <w:szCs w:val="18"/>
        </w:rPr>
        <w:t xml:space="preserve">Cabinet de conseil en stratégie digitale &amp; expérience produit</w:t>
      </w:r>
    </w:p>
    <w:p>
      <w:pPr>
        <w:spacing w:after="200" w:before="800"/>
        <w:jc w:val="center"/>
      </w:pPr>
      <w:r>
        <w:rPr>
          <w:b/>
          <w:bCs/>
          <w:color w:val="0A192F"/>
          <w:sz w:val="44"/>
          <w:szCs w:val="44"/>
        </w:rPr>
        <w:t xml:space="preserve">AUDIT TECHNIQUE, MARKETING &amp; UX</w:t>
      </w:r>
    </w:p>
    <w:p>
      <w:pPr>
        <w:spacing w:after="600"/>
        <w:jc w:val="center"/>
      </w:pPr>
      <w:r>
        <w:rPr>
          <w:color w:val="0A192F"/>
          <w:sz w:val="28"/>
          <w:szCs w:val="28"/>
        </w:rPr>
        <w:t xml:space="preserve">Landing page de pré-lancement — LeDomen.com</w:t>
      </w:r>
    </w:p>
    <w:p>
      <w:pPr>
        <w:spacing w:before="1200"/>
        <w:jc w:val="center"/>
      </w:pPr>
      <w:r>
        <w:rPr>
          <w:color w:val="555555"/>
          <w:sz w:val="20"/>
          <w:szCs w:val="20"/>
        </w:rPr>
        <w:t xml:space="preserve">Libreville, Gabon — Plateforme de réservation d'espaces événementiels</w:t>
      </w:r>
    </w:p>
    <w:p>
      <w:pPr>
        <w:spacing w:before="200"/>
        <w:jc w:val="center"/>
      </w:pPr>
      <w:r>
        <w:rPr>
          <w:color w:val="555555"/>
          <w:sz w:val="20"/>
          <w:szCs w:val="20"/>
        </w:rPr>
        <w:t xml:space="preserve">Juillet 2026 · Document confidentiel</w:t>
      </w:r>
    </w:p>
    <w:p>
      <w:r>
        <w:br w:type="page"/>
      </w:r>
    </w:p>
    <w:p>
      <w:pPr>
        <w:pStyle w:val="Heading1"/>
        <w:pBdr>
          <w:bottom w:val="single" w:color="9A7B1E" w:sz="6" w:space="4"/>
        </w:pBdr>
        <w:spacing w:after="180" w:before="360"/>
      </w:pPr>
      <w:r>
        <w:rPr>
          <w:b/>
          <w:bCs/>
          <w:color w:val="0A192F"/>
        </w:rPr>
        <w:t xml:space="preserve">1. Contexte &amp; objectifs de la mission</w:t>
      </w:r>
    </w:p>
    <w:p>
      <w:pPr>
        <w:spacing w:after="160"/>
      </w:pPr>
      <w:r>
        <w:t xml:space="preserve">LeDomen.com est un projet de plateforme gabonaise destinée à centraliser la recherche, la comparaison et la réservation de lieux événementiels (salles, hôtels, espaces de réception) ainsi que de prestataires associés à Libreville. Le lancement officiel est annoncé pour la période de juillet 2026.</w:t>
      </w:r>
    </w:p>
    <w:p>
      <w:pPr>
        <w:spacing w:after="160"/>
      </w:pPr>
      <w:r>
        <w:t xml:space="preserve">Le présent audit porte sur la landing page de pré-lancement (« coming soon ») fournie par le client, dans le but de :</w:t>
      </w:r>
    </w:p>
    <w:p>
      <w:pPr>
        <w:pStyle w:val="ListParagraph"/>
        <w:numPr>
          <w:ilvl w:val="0"/>
          <w:numId w:val="2"/>
        </w:numPr>
        <w:spacing w:after="90"/>
      </w:pPr>
      <w:r>
        <w:t xml:space="preserve">évaluer la qualité technique du code (HTML/CSS/JS) livré ;</w:t>
      </w:r>
    </w:p>
    <w:p>
      <w:pPr>
        <w:pStyle w:val="ListParagraph"/>
        <w:numPr>
          <w:ilvl w:val="0"/>
          <w:numId w:val="2"/>
        </w:numPr>
        <w:spacing w:after="90"/>
      </w:pPr>
      <w:r>
        <w:t xml:space="preserve">évaluer la performance marketing et la capacité de conversion de la page ;</w:t>
      </w:r>
    </w:p>
    <w:p>
      <w:pPr>
        <w:pStyle w:val="ListParagraph"/>
        <w:numPr>
          <w:ilvl w:val="0"/>
          <w:numId w:val="2"/>
        </w:numPr>
        <w:spacing w:after="90"/>
      </w:pPr>
      <w:r>
        <w:t xml:space="preserve">formuler des recommandations priorisées et actionnables ;</w:t>
      </w:r>
    </w:p>
    <w:p>
      <w:pPr>
        <w:pStyle w:val="ListParagraph"/>
        <w:numPr>
          <w:ilvl w:val="0"/>
          <w:numId w:val="2"/>
        </w:numPr>
        <w:spacing w:after="90"/>
      </w:pPr>
      <w:r>
        <w:t xml:space="preserve">livrer une version enrichie, prête à la mise en production.</w:t>
      </w:r>
    </w:p>
    <w:p>
      <w:pPr>
        <w:pBdr>
          <w:left w:val="single" w:color="9A7B1E" w:sz="18" w:space="6"/>
        </w:pBdr>
        <w:shd w:fill="F5EFDD" w:val="clear"/>
        <w:spacing w:after="200"/>
      </w:pPr>
      <w:r>
        <w:rPr>
          <w:i/>
          <w:iCs/>
          <w:color w:val="5A4A17"/>
        </w:rPr>
        <w:t xml:space="preserve">Point d'attention calendaire : le document source mentionne une ouverture « mi-juillet 2026 ». À la date de rédaction du présent audit, cette échéance est atteinte, voire dépassée. Nous recommandons de repousser la date affichée à une échéance réaliste et de la piloter depuis une variable unique (voir section 5) plutôt que de la coder en dur dans plusieurs endroits du site.</w:t>
      </w:r>
    </w:p>
    <w:p>
      <w:pPr>
        <w:pStyle w:val="Heading1"/>
        <w:pBdr>
          <w:bottom w:val="single" w:color="9A7B1E" w:sz="6" w:space="4"/>
        </w:pBdr>
        <w:spacing w:after="180" w:before="360"/>
      </w:pPr>
      <w:r>
        <w:rPr>
          <w:b/>
          <w:bCs/>
          <w:color w:val="0A192F"/>
        </w:rPr>
        <w:t xml:space="preserve">2. Synthèse exécutive</w:t>
      </w:r>
    </w:p>
    <w:p>
      <w:pPr>
        <w:spacing w:after="160"/>
      </w:pPr>
      <w:r>
        <w:t xml:space="preserve">La page existante remplit sa fonction minimale de capture d'e-mail, mais reste au stade d'un prototype : structure HTML non sémantique, formulaire non fonctionnel, absence de référencement naturel, aucune preuve sociale et un seul point de conversion. Le tableau ci-dessous résume notre appréciation globale.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1713"/>
        <w:gridCol w:w="1713"/>
      </w:tblGrid>
      <w:tr>
        <w:trPr>
          <w:tblHeader/>
        </w:trPr>
        <w:tc>
          <w:tcPr>
            <w:tcW w:type="dxa" w:w="5600"/>
            <w:shd w:fill="0A192F" w:val="clear"/>
            <w:tcMar>
              <w:top w:type="dxa" w:w="100"/>
              <w:left w:type="dxa" w:w="120"/>
              <w:bottom w:type="dxa" w:w="100"/>
              <w:right w:type="dxa" w:w="120"/>
            </w:tcMar>
            <w:vAlign w:val="center"/>
          </w:tcPr>
          <w:p>
            <w:pPr>
              <w:jc w:val="left"/>
            </w:pPr>
            <w:r>
              <w:rPr>
                <w:b/>
                <w:bCs/>
                <w:color w:val="FFFFFF"/>
                <w:sz w:val="20"/>
                <w:szCs w:val="20"/>
              </w:rPr>
              <w:t xml:space="preserve">Recommandation</w:t>
            </w:r>
          </w:p>
        </w:tc>
        <w:tc>
          <w:tcPr>
            <w:tcW w:type="dxa" w:w="1713"/>
            <w:shd w:fill="0A192F" w:val="clear"/>
            <w:tcMar>
              <w:top w:type="dxa" w:w="100"/>
              <w:left w:type="dxa" w:w="120"/>
              <w:bottom w:type="dxa" w:w="100"/>
              <w:right w:type="dxa" w:w="120"/>
            </w:tcMar>
            <w:vAlign w:val="center"/>
          </w:tcPr>
          <w:p>
            <w:pPr>
              <w:jc w:val="center"/>
            </w:pPr>
            <w:r>
              <w:rPr>
                <w:b/>
                <w:bCs/>
                <w:color w:val="FFFFFF"/>
                <w:sz w:val="20"/>
                <w:szCs w:val="20"/>
              </w:rPr>
              <w:t xml:space="preserve">Impact</w:t>
            </w:r>
          </w:p>
        </w:tc>
        <w:tc>
          <w:tcPr>
            <w:tcW w:type="dxa" w:w="1713"/>
            <w:shd w:fill="0A192F" w:val="clear"/>
            <w:tcMar>
              <w:top w:type="dxa" w:w="100"/>
              <w:left w:type="dxa" w:w="120"/>
              <w:bottom w:type="dxa" w:w="100"/>
              <w:right w:type="dxa" w:w="120"/>
            </w:tcMar>
            <w:vAlign w:val="center"/>
          </w:tcPr>
          <w:p>
            <w:pPr>
              <w:jc w:val="center"/>
            </w:pPr>
            <w:r>
              <w:rPr>
                <w:b/>
                <w:bCs/>
                <w:color w:val="FFFFFF"/>
                <w:sz w:val="20"/>
                <w:szCs w:val="20"/>
              </w:rPr>
              <w:t xml:space="preserve">Effort</w:t>
            </w:r>
          </w:p>
        </w:tc>
      </w:tr>
      <w:tr>
        <w:tc>
          <w:tcPr>
            <w:tcW w:type="dxa" w:w="56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Structure &amp; sémantique du code</w:t>
            </w:r>
          </w:p>
        </w:tc>
        <w:tc>
          <w:tcPr>
            <w:tcW w:type="dxa" w:w="1713"/>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Moyen</w:t>
            </w:r>
          </w:p>
        </w:tc>
        <w:tc>
          <w:tcPr>
            <w:tcW w:type="dxa" w:w="1713"/>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Faible</w:t>
            </w:r>
          </w:p>
        </w:tc>
      </w:tr>
      <w:tr>
        <w:tc>
          <w:tcPr>
            <w:tcW w:type="dxa" w:w="5600"/>
            <w:shd w:fill="F4F6F9" w:val="clear"/>
            <w:tcMar>
              <w:top w:type="dxa" w:w="100"/>
              <w:left w:type="dxa" w:w="120"/>
              <w:bottom w:type="dxa" w:w="100"/>
              <w:right w:type="dxa" w:w="120"/>
            </w:tcMar>
            <w:vAlign w:val="center"/>
          </w:tcPr>
          <w:p>
            <w:pPr>
              <w:jc w:val="left"/>
            </w:pPr>
            <w:r>
              <w:rPr>
                <w:b w:val="false"/>
                <w:bCs w:val="false"/>
                <w:color w:val="000000"/>
                <w:sz w:val="20"/>
                <w:szCs w:val="20"/>
              </w:rPr>
              <w:t xml:space="preserve">Accessibilité (WCAG)</w:t>
            </w:r>
          </w:p>
        </w:tc>
        <w:tc>
          <w:tcPr>
            <w:tcW w:type="dxa" w:w="1713"/>
            <w:shd w:fill="F4F6F9" w:val="clear"/>
            <w:tcMar>
              <w:top w:type="dxa" w:w="100"/>
              <w:left w:type="dxa" w:w="120"/>
              <w:bottom w:type="dxa" w:w="100"/>
              <w:right w:type="dxa" w:w="120"/>
            </w:tcMar>
            <w:vAlign w:val="center"/>
          </w:tcPr>
          <w:p>
            <w:pPr>
              <w:jc w:val="center"/>
            </w:pPr>
            <w:r>
              <w:rPr>
                <w:b w:val="false"/>
                <w:bCs w:val="false"/>
                <w:color w:val="000000"/>
                <w:sz w:val="20"/>
                <w:szCs w:val="20"/>
              </w:rPr>
              <w:t xml:space="preserve">Moyen</w:t>
            </w:r>
          </w:p>
        </w:tc>
        <w:tc>
          <w:tcPr>
            <w:tcW w:type="dxa" w:w="1713"/>
            <w:shd w:fill="F4F6F9" w:val="clear"/>
            <w:tcMar>
              <w:top w:type="dxa" w:w="100"/>
              <w:left w:type="dxa" w:w="120"/>
              <w:bottom w:type="dxa" w:w="100"/>
              <w:right w:type="dxa" w:w="120"/>
            </w:tcMar>
            <w:vAlign w:val="center"/>
          </w:tcPr>
          <w:p>
            <w:pPr>
              <w:jc w:val="center"/>
            </w:pPr>
            <w:r>
              <w:rPr>
                <w:b w:val="false"/>
                <w:bCs w:val="false"/>
                <w:color w:val="000000"/>
                <w:sz w:val="20"/>
                <w:szCs w:val="20"/>
              </w:rPr>
              <w:t xml:space="preserve">Faible</w:t>
            </w:r>
          </w:p>
        </w:tc>
      </w:tr>
      <w:tr>
        <w:tc>
          <w:tcPr>
            <w:tcW w:type="dxa" w:w="56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Référencement naturel (SEO)</w:t>
            </w:r>
          </w:p>
        </w:tc>
        <w:tc>
          <w:tcPr>
            <w:tcW w:type="dxa" w:w="1713"/>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Élevé</w:t>
            </w:r>
          </w:p>
        </w:tc>
        <w:tc>
          <w:tcPr>
            <w:tcW w:type="dxa" w:w="1713"/>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Faible</w:t>
            </w:r>
          </w:p>
        </w:tc>
      </w:tr>
      <w:tr>
        <w:tc>
          <w:tcPr>
            <w:tcW w:type="dxa" w:w="5600"/>
            <w:shd w:fill="F4F6F9" w:val="clear"/>
            <w:tcMar>
              <w:top w:type="dxa" w:w="100"/>
              <w:left w:type="dxa" w:w="120"/>
              <w:bottom w:type="dxa" w:w="100"/>
              <w:right w:type="dxa" w:w="120"/>
            </w:tcMar>
            <w:vAlign w:val="center"/>
          </w:tcPr>
          <w:p>
            <w:pPr>
              <w:jc w:val="left"/>
            </w:pPr>
            <w:r>
              <w:rPr>
                <w:b w:val="false"/>
                <w:bCs w:val="false"/>
                <w:color w:val="000000"/>
                <w:sz w:val="20"/>
                <w:szCs w:val="20"/>
              </w:rPr>
              <w:t xml:space="preserve">Sécurité &amp; conformité RGPD du formulaire</w:t>
            </w:r>
          </w:p>
        </w:tc>
        <w:tc>
          <w:tcPr>
            <w:tcW w:type="dxa" w:w="1713"/>
            <w:shd w:fill="F4F6F9" w:val="clear"/>
            <w:tcMar>
              <w:top w:type="dxa" w:w="100"/>
              <w:left w:type="dxa" w:w="120"/>
              <w:bottom w:type="dxa" w:w="100"/>
              <w:right w:type="dxa" w:w="120"/>
            </w:tcMar>
            <w:vAlign w:val="center"/>
          </w:tcPr>
          <w:p>
            <w:pPr>
              <w:jc w:val="center"/>
            </w:pPr>
            <w:r>
              <w:rPr>
                <w:b w:val="false"/>
                <w:bCs w:val="false"/>
                <w:color w:val="000000"/>
                <w:sz w:val="20"/>
                <w:szCs w:val="20"/>
              </w:rPr>
              <w:t xml:space="preserve">Élevé</w:t>
            </w:r>
          </w:p>
        </w:tc>
        <w:tc>
          <w:tcPr>
            <w:tcW w:type="dxa" w:w="1713"/>
            <w:shd w:fill="F4F6F9" w:val="clear"/>
            <w:tcMar>
              <w:top w:type="dxa" w:w="100"/>
              <w:left w:type="dxa" w:w="120"/>
              <w:bottom w:type="dxa" w:w="100"/>
              <w:right w:type="dxa" w:w="120"/>
            </w:tcMar>
            <w:vAlign w:val="center"/>
          </w:tcPr>
          <w:p>
            <w:pPr>
              <w:jc w:val="center"/>
            </w:pPr>
            <w:r>
              <w:rPr>
                <w:b w:val="false"/>
                <w:bCs w:val="false"/>
                <w:color w:val="000000"/>
                <w:sz w:val="20"/>
                <w:szCs w:val="20"/>
              </w:rPr>
              <w:t xml:space="preserve">Moyen</w:t>
            </w:r>
          </w:p>
        </w:tc>
      </w:tr>
      <w:tr>
        <w:tc>
          <w:tcPr>
            <w:tcW w:type="dxa" w:w="56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Performance &amp; responsive</w:t>
            </w:r>
          </w:p>
        </w:tc>
        <w:tc>
          <w:tcPr>
            <w:tcW w:type="dxa" w:w="1713"/>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Moyen</w:t>
            </w:r>
          </w:p>
        </w:tc>
        <w:tc>
          <w:tcPr>
            <w:tcW w:type="dxa" w:w="1713"/>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Faible</w:t>
            </w:r>
          </w:p>
        </w:tc>
      </w:tr>
      <w:tr>
        <w:tc>
          <w:tcPr>
            <w:tcW w:type="dxa" w:w="5600"/>
            <w:shd w:fill="F4F6F9" w:val="clear"/>
            <w:tcMar>
              <w:top w:type="dxa" w:w="100"/>
              <w:left w:type="dxa" w:w="120"/>
              <w:bottom w:type="dxa" w:w="100"/>
              <w:right w:type="dxa" w:w="120"/>
            </w:tcMar>
            <w:vAlign w:val="center"/>
          </w:tcPr>
          <w:p>
            <w:pPr>
              <w:jc w:val="left"/>
            </w:pPr>
            <w:r>
              <w:rPr>
                <w:b w:val="false"/>
                <w:bCs w:val="false"/>
                <w:color w:val="000000"/>
                <w:sz w:val="20"/>
                <w:szCs w:val="20"/>
              </w:rPr>
              <w:t xml:space="preserve">Capacité de conversion (UX/marketing)</w:t>
            </w:r>
          </w:p>
        </w:tc>
        <w:tc>
          <w:tcPr>
            <w:tcW w:type="dxa" w:w="1713"/>
            <w:shd w:fill="F4F6F9" w:val="clear"/>
            <w:tcMar>
              <w:top w:type="dxa" w:w="100"/>
              <w:left w:type="dxa" w:w="120"/>
              <w:bottom w:type="dxa" w:w="100"/>
              <w:right w:type="dxa" w:w="120"/>
            </w:tcMar>
            <w:vAlign w:val="center"/>
          </w:tcPr>
          <w:p>
            <w:pPr>
              <w:jc w:val="center"/>
            </w:pPr>
            <w:r>
              <w:rPr>
                <w:b w:val="false"/>
                <w:bCs w:val="false"/>
                <w:color w:val="000000"/>
                <w:sz w:val="20"/>
                <w:szCs w:val="20"/>
              </w:rPr>
              <w:t xml:space="preserve">Élevé</w:t>
            </w:r>
          </w:p>
        </w:tc>
        <w:tc>
          <w:tcPr>
            <w:tcW w:type="dxa" w:w="1713"/>
            <w:shd w:fill="F4F6F9" w:val="clear"/>
            <w:tcMar>
              <w:top w:type="dxa" w:w="100"/>
              <w:left w:type="dxa" w:w="120"/>
              <w:bottom w:type="dxa" w:w="100"/>
              <w:right w:type="dxa" w:w="120"/>
            </w:tcMar>
            <w:vAlign w:val="center"/>
          </w:tcPr>
          <w:p>
            <w:pPr>
              <w:jc w:val="center"/>
            </w:pPr>
            <w:r>
              <w:rPr>
                <w:b w:val="false"/>
                <w:bCs w:val="false"/>
                <w:color w:val="000000"/>
                <w:sz w:val="20"/>
                <w:szCs w:val="20"/>
              </w:rPr>
              <w:t xml:space="preserve">Moyen</w:t>
            </w:r>
          </w:p>
        </w:tc>
      </w:tr>
    </w:tbl>
    <w:p>
      <w:pPr>
        <w:spacing w:after="160"/>
      </w:pPr>
      <w:r>
        <w:t xml:space="preserve"/>
      </w:r>
    </w:p>
    <w:p>
      <w:pPr>
        <w:spacing w:after="160"/>
      </w:pPr>
      <w:r>
        <w:t xml:space="preserve">Conclusion : la page actuelle est un bon point de départ visuel (identité bleu nuit / or déjà posée) mais nécessite un renforcement structurel avant mise en ligne définitive. Une version enrichie a été produite en parallèle de cet audit (voir Annexe A).</w:t>
      </w:r>
    </w:p>
    <w:p>
      <w:pPr>
        <w:pStyle w:val="Heading1"/>
        <w:pBdr>
          <w:bottom w:val="single" w:color="9A7B1E" w:sz="6" w:space="4"/>
        </w:pBdr>
        <w:spacing w:after="180" w:before="360"/>
      </w:pPr>
      <w:r>
        <w:rPr>
          <w:b/>
          <w:bCs/>
          <w:color w:val="0A192F"/>
        </w:rPr>
        <w:t xml:space="preserve">3. Analyse technique du code existant</w:t>
      </w:r>
    </w:p>
    <w:p>
      <w:pPr>
        <w:pStyle w:val="Heading2"/>
        <w:spacing w:after="140" w:before="280"/>
      </w:pPr>
      <w:r>
        <w:rPr>
          <w:b/>
          <w:bCs/>
          <w:color w:val="0A192F"/>
        </w:rPr>
        <w:t xml:space="preserve">3.1 Structure &amp; sémantique HTML</w:t>
      </w:r>
    </w:p>
    <w:p>
      <w:pPr>
        <w:spacing w:after="160"/>
      </w:pPr>
      <w:r>
        <w:t xml:space="preserve">Le document est construit sur une unique div.container, sans balises sémantiques (header, main, section, footer). Cette approche fonctionne pour une micro-page mais ne passe pas à l'échelle si le site doit s'enrichir de plusieurs sections, comme le recommande la section 6.</w:t>
      </w:r>
    </w:p>
    <w:p>
      <w:pPr>
        <w:pStyle w:val="ListParagraph"/>
        <w:numPr>
          <w:ilvl w:val="0"/>
          <w:numId w:val="2"/>
        </w:numPr>
        <w:spacing w:after="90"/>
      </w:pPr>
      <w:r>
        <w:t xml:space="preserve">Absence de balises header / main / footer natives.</w:t>
      </w:r>
    </w:p>
    <w:p>
      <w:pPr>
        <w:pStyle w:val="ListParagraph"/>
        <w:numPr>
          <w:ilvl w:val="0"/>
          <w:numId w:val="2"/>
        </w:numPr>
        <w:spacing w:after="90"/>
      </w:pPr>
      <w:r>
        <w:t xml:space="preserve">Aucune hiérarchie de titres au-delà du h1 unique.</w:t>
      </w:r>
    </w:p>
    <w:p>
      <w:pPr>
        <w:pStyle w:val="ListParagraph"/>
        <w:numPr>
          <w:ilvl w:val="0"/>
          <w:numId w:val="2"/>
        </w:numPr>
        <w:spacing w:after="90"/>
      </w:pPr>
      <w:r>
        <w:t xml:space="preserve">Le formulaire n'a pas d'attribut aria-describedby reliant le champ à son message d'aide.</w:t>
      </w:r>
    </w:p>
    <w:p>
      <w:pPr>
        <w:pStyle w:val="Heading2"/>
        <w:spacing w:after="140" w:before="280"/>
      </w:pPr>
      <w:r>
        <w:rPr>
          <w:b/>
          <w:bCs/>
          <w:color w:val="0A192F"/>
        </w:rPr>
        <w:t xml:space="preserve">3.2 Accessibilité (WCAG)</w:t>
      </w:r>
    </w:p>
    <w:p>
      <w:pPr>
        <w:pStyle w:val="ListParagraph"/>
        <w:numPr>
          <w:ilvl w:val="0"/>
          <w:numId w:val="2"/>
        </w:numPr>
        <w:spacing w:after="90"/>
      </w:pPr>
      <w:r>
        <w:t xml:space="preserve">Contraste texte/fond globalement correct sur fond bleu nuit, à revérifier pour le texte gris (#8892B0) sur fond clair une fois les sections claires ajoutées.</w:t>
      </w:r>
    </w:p>
    <w:p>
      <w:pPr>
        <w:pStyle w:val="ListParagraph"/>
        <w:numPr>
          <w:ilvl w:val="0"/>
          <w:numId w:val="2"/>
        </w:numPr>
        <w:spacing w:after="90"/>
      </w:pPr>
      <w:r>
        <w:t xml:space="preserve">Le bouton de soumission ne communique aucun état (chargement, succès, erreur) aux lecteurs d'écran.</w:t>
      </w:r>
    </w:p>
    <w:p>
      <w:pPr>
        <w:pStyle w:val="ListParagraph"/>
        <w:numPr>
          <w:ilvl w:val="0"/>
          <w:numId w:val="2"/>
        </w:numPr>
        <w:spacing w:after="90"/>
      </w:pPr>
      <w:r>
        <w:t xml:space="preserve">Aucun attribut lang détaillé par section, aucun skip-link pour la navigation clavier.</w:t>
      </w:r>
    </w:p>
    <w:p>
      <w:pPr>
        <w:pStyle w:val="Heading2"/>
        <w:spacing w:after="140" w:before="280"/>
      </w:pPr>
      <w:r>
        <w:rPr>
          <w:b/>
          <w:bCs/>
          <w:color w:val="0A192F"/>
        </w:rPr>
        <w:t xml:space="preserve">3.3 Référencement naturel (SEO)</w:t>
      </w:r>
    </w:p>
    <w:p>
      <w:pPr>
        <w:pStyle w:val="ListParagraph"/>
        <w:numPr>
          <w:ilvl w:val="0"/>
          <w:numId w:val="2"/>
        </w:numPr>
        <w:spacing w:after="90"/>
      </w:pPr>
      <w:r>
        <w:t xml:space="preserve">Aucune balise meta description, aucune balise Open Graph : partage sur WhatsApp/Facebook peu engageant.</w:t>
      </w:r>
    </w:p>
    <w:p>
      <w:pPr>
        <w:pStyle w:val="ListParagraph"/>
        <w:numPr>
          <w:ilvl w:val="0"/>
          <w:numId w:val="2"/>
        </w:numPr>
        <w:spacing w:after="90"/>
      </w:pPr>
      <w:r>
        <w:t xml:space="preserve">Titre de page générique, aucun balisage de données structurées (schema.org Organization / FAQPage).</w:t>
      </w:r>
    </w:p>
    <w:p>
      <w:pPr>
        <w:pStyle w:val="ListParagraph"/>
        <w:numPr>
          <w:ilvl w:val="0"/>
          <w:numId w:val="2"/>
        </w:numPr>
        <w:spacing w:after="90"/>
      </w:pPr>
      <w:r>
        <w:t xml:space="preserve">Un seul h1 très générique ; aucun contenu indexable au-delà du formulaire, ce qui limite le positionnement sur des requêtes comme « location salle événement Libreville ».</w:t>
      </w:r>
    </w:p>
    <w:p>
      <w:pPr>
        <w:pStyle w:val="Heading2"/>
        <w:spacing w:after="140" w:before="280"/>
      </w:pPr>
      <w:r>
        <w:rPr>
          <w:b/>
          <w:bCs/>
          <w:color w:val="0A192F"/>
        </w:rPr>
        <w:t xml:space="preserve">3.4 Sécurité &amp; conformité du formulaire</w:t>
      </w:r>
    </w:p>
    <w:p>
      <w:pPr>
        <w:pStyle w:val="ListParagraph"/>
        <w:numPr>
          <w:ilvl w:val="0"/>
          <w:numId w:val="2"/>
        </w:numPr>
        <w:spacing w:after="90"/>
      </w:pPr>
      <w:r>
        <w:t xml:space="preserve">form action="#" method="POST" : le formulaire ne soumet aucune donnée à un backend réel — à connecter avant mise en production.</w:t>
      </w:r>
    </w:p>
    <w:p>
      <w:pPr>
        <w:pStyle w:val="ListParagraph"/>
        <w:numPr>
          <w:ilvl w:val="0"/>
          <w:numId w:val="2"/>
        </w:numPr>
        <w:spacing w:after="90"/>
      </w:pPr>
      <w:r>
        <w:t xml:space="preserve">Aucune protection anti-spam (honeypot, reCAPTCHA) ni limitation de fréquence des soumissions.</w:t>
      </w:r>
    </w:p>
    <w:p>
      <w:pPr>
        <w:pStyle w:val="ListParagraph"/>
        <w:numPr>
          <w:ilvl w:val="0"/>
          <w:numId w:val="2"/>
        </w:numPr>
        <w:spacing w:after="90"/>
      </w:pPr>
      <w:r>
        <w:t xml:space="preserve">Le commentaire « RGPD Local compliant » n'est pas corroboré par une case à cocher de consentement explicite ni un lien vers une politique de confidentialité — non conforme en l'état.</w:t>
      </w:r>
    </w:p>
    <w:p>
      <w:pPr>
        <w:pStyle w:val="ListParagraph"/>
        <w:numPr>
          <w:ilvl w:val="0"/>
          <w:numId w:val="2"/>
        </w:numPr>
        <w:spacing w:after="90"/>
      </w:pPr>
      <w:r>
        <w:t xml:space="preserve">Aucun chiffrement/traitement mentionné pour la donnée WhatsApp collectée, pourtant sensible.</w:t>
      </w:r>
    </w:p>
    <w:p>
      <w:pPr>
        <w:pStyle w:val="Heading2"/>
        <w:spacing w:after="140" w:before="280"/>
      </w:pPr>
      <w:r>
        <w:rPr>
          <w:b/>
          <w:bCs/>
          <w:color w:val="0A192F"/>
        </w:rPr>
        <w:t xml:space="preserve">3.5 Performance &amp; responsive</w:t>
      </w:r>
    </w:p>
    <w:p>
      <w:pPr>
        <w:pStyle w:val="ListParagraph"/>
        <w:numPr>
          <w:ilvl w:val="0"/>
          <w:numId w:val="2"/>
        </w:numPr>
        <w:spacing w:after="90"/>
      </w:pPr>
      <w:r>
        <w:t xml:space="preserve">La mise en page repose sur flexbox et un conteneur centré : le rendu mobile de base fonctionne, mais aucune media query n'ajuste la taille de police ou les espacements sur petit écran.</w:t>
      </w:r>
    </w:p>
    <w:p>
      <w:pPr>
        <w:pStyle w:val="ListParagraph"/>
        <w:numPr>
          <w:ilvl w:val="0"/>
          <w:numId w:val="2"/>
        </w:numPr>
        <w:spacing w:after="90"/>
      </w:pPr>
      <w:r>
        <w:t xml:space="preserve">Polices système uniquement : bon réflexe pour la performance, mais peu différenciant pour une marque premium.</w:t>
      </w:r>
    </w:p>
    <w:p>
      <w:pPr>
        <w:pStyle w:val="ListParagraph"/>
        <w:numPr>
          <w:ilvl w:val="0"/>
          <w:numId w:val="2"/>
        </w:numPr>
        <w:spacing w:after="90"/>
      </w:pPr>
      <w:r>
        <w:t xml:space="preserve">Aucune image n'est utilisée dans la version actuelle, donc aucun risque de poids excessif — point à surveiller lors de l'ajout des visuels recommandés en section 6.</w:t>
      </w:r>
    </w:p>
    <w:p>
      <w:pPr>
        <w:pStyle w:val="Heading1"/>
        <w:pBdr>
          <w:bottom w:val="single" w:color="9A7B1E" w:sz="6" w:space="4"/>
        </w:pBdr>
        <w:spacing w:after="180" w:before="360"/>
      </w:pPr>
      <w:r>
        <w:rPr>
          <w:b/>
          <w:bCs/>
          <w:color w:val="0A192F"/>
        </w:rPr>
        <w:t xml:space="preserve">4. Analyse marketing &amp; expérience utilisateur</w:t>
      </w:r>
    </w:p>
    <w:p>
      <w:pPr>
        <w:pStyle w:val="Heading2"/>
        <w:spacing w:after="140" w:before="280"/>
      </w:pPr>
      <w:r>
        <w:rPr>
          <w:b/>
          <w:bCs/>
          <w:color w:val="0A192F"/>
        </w:rPr>
        <w:t xml:space="preserve">4.1 Positionnement actuel</w:t>
      </w:r>
    </w:p>
    <w:p>
      <w:pPr>
        <w:spacing w:after="160"/>
      </w:pPr>
      <w:r>
        <w:t xml:space="preserve">La proposition de valeur « Sécurisez vos événements à Libreville en un clic » est claire et orientée bénéfice. L'identité visuelle (bleu nuit #0A192F, or #D4AF37) installe un positionnement premium cohérent avec l'ambition de la marque.</w:t>
      </w:r>
    </w:p>
    <w:p>
      <w:pPr>
        <w:pStyle w:val="Heading2"/>
        <w:spacing w:after="140" w:before="280"/>
      </w:pPr>
      <w:r>
        <w:rPr>
          <w:b/>
          <w:bCs/>
          <w:color w:val="0A192F"/>
        </w:rPr>
        <w:t xml:space="preserve">4.2 Points forts identifiés</w:t>
      </w:r>
    </w:p>
    <w:p>
      <w:pPr>
        <w:pStyle w:val="ListParagraph"/>
        <w:numPr>
          <w:ilvl w:val="0"/>
          <w:numId w:val="2"/>
        </w:numPr>
        <w:spacing w:after="90"/>
      </w:pPr>
      <w:r>
        <w:t xml:space="preserve">Message de transparence sur la date de lancement et la contrepartie (code promo), qui incite à l'inscription.</w:t>
      </w:r>
    </w:p>
    <w:p>
      <w:pPr>
        <w:pStyle w:val="ListParagraph"/>
        <w:numPr>
          <w:ilvl w:val="0"/>
          <w:numId w:val="2"/>
        </w:numPr>
        <w:spacing w:after="90"/>
      </w:pPr>
      <w:r>
        <w:t xml:space="preserve">Formulaire volontairement court (un seul champ), ce qui limite la friction à l'inscription.</w:t>
      </w:r>
    </w:p>
    <w:p>
      <w:pPr>
        <w:pStyle w:val="ListParagraph"/>
        <w:numPr>
          <w:ilvl w:val="0"/>
          <w:numId w:val="2"/>
        </w:numPr>
        <w:spacing w:after="90"/>
      </w:pPr>
      <w:r>
        <w:t xml:space="preserve">Palette de couleurs distinctive, cohérente avec un marché gabonais premium.</w:t>
      </w:r>
    </w:p>
    <w:p>
      <w:pPr>
        <w:pStyle w:val="Heading2"/>
        <w:spacing w:after="140" w:before="280"/>
      </w:pPr>
      <w:r>
        <w:rPr>
          <w:b/>
          <w:bCs/>
          <w:color w:val="0A192F"/>
        </w:rPr>
        <w:t xml:space="preserve">4.3 Limites identifiées</w:t>
      </w:r>
    </w:p>
    <w:p>
      <w:pPr>
        <w:pStyle w:val="ListParagraph"/>
        <w:numPr>
          <w:ilvl w:val="0"/>
          <w:numId w:val="2"/>
        </w:numPr>
        <w:spacing w:after="90"/>
      </w:pPr>
      <w:r>
        <w:t xml:space="preserve">Un seul point de conversion et aucune preuve sociale (témoignages, partenaires, chiffres) pour rassurer un visiteur qui découvre la marque.</w:t>
      </w:r>
    </w:p>
    <w:p>
      <w:pPr>
        <w:pStyle w:val="ListParagraph"/>
        <w:numPr>
          <w:ilvl w:val="0"/>
          <w:numId w:val="2"/>
        </w:numPr>
        <w:spacing w:after="90"/>
      </w:pPr>
      <w:r>
        <w:t xml:space="preserve">Aucune explication du fonctionnement du produit avant de demander l'inscription : le visiteur ne sait pas ce qu'il attend concrètement.</w:t>
      </w:r>
    </w:p>
    <w:p>
      <w:pPr>
        <w:pStyle w:val="ListParagraph"/>
        <w:numPr>
          <w:ilvl w:val="0"/>
          <w:numId w:val="2"/>
        </w:numPr>
        <w:spacing w:after="90"/>
      </w:pPr>
      <w:r>
        <w:t xml:space="preserve">Aucune segmentation de l'audience (organisateur particulier vs. entreprise vs. prestataire), pourtant utile pour personnaliser la communication post-inscription.</w:t>
      </w:r>
    </w:p>
    <w:p>
      <w:pPr>
        <w:pStyle w:val="ListParagraph"/>
        <w:numPr>
          <w:ilvl w:val="0"/>
          <w:numId w:val="2"/>
        </w:numPr>
        <w:spacing w:after="90"/>
      </w:pPr>
      <w:r>
        <w:t xml:space="preserve">Absence de FAQ, ce qui laisse sans réponse les objections les plus courantes (gratuité, protection des données, date réelle de lancement).</w:t>
      </w:r>
    </w:p>
    <w:p>
      <w:pPr>
        <w:pStyle w:val="Heading1"/>
        <w:pBdr>
          <w:bottom w:val="single" w:color="9A7B1E" w:sz="6" w:space="4"/>
        </w:pBdr>
        <w:spacing w:after="180" w:before="360"/>
      </w:pPr>
      <w:r>
        <w:rPr>
          <w:b/>
          <w:bCs/>
          <w:color w:val="0A192F"/>
        </w:rPr>
        <w:t xml:space="preserve">5. Recommandations priorisées</w:t>
      </w:r>
    </w:p>
    <w:p>
      <w:pPr>
        <w:spacing w:after="160"/>
      </w:pPr>
      <w:r>
        <w:t xml:space="preserve">Recommandations classées par horizon de mise en œuvre.</w:t>
      </w:r>
    </w:p>
    <w:p>
      <w:pPr>
        <w:pStyle w:val="Heading2"/>
        <w:spacing w:after="140" w:before="280"/>
      </w:pPr>
      <w:r>
        <w:rPr>
          <w:b/>
          <w:bCs/>
          <w:color w:val="0A192F"/>
        </w:rPr>
        <w:t xml:space="preserve">5.1 Quick wins (avant mise en ligne, 1 à 3 jours)</w:t>
      </w:r>
    </w:p>
    <w:p>
      <w:pPr>
        <w:pStyle w:val="ListParagraph"/>
        <w:numPr>
          <w:ilvl w:val="0"/>
          <w:numId w:val="2"/>
        </w:numPr>
        <w:spacing w:after="90"/>
      </w:pPr>
      <w:r>
        <w:t xml:space="preserve">Ajouter meta description, Open Graph et favicon pour un partage soigné sur les réseaux.</w:t>
      </w:r>
    </w:p>
    <w:p>
      <w:pPr>
        <w:pStyle w:val="ListParagraph"/>
        <w:numPr>
          <w:ilvl w:val="0"/>
          <w:numId w:val="2"/>
        </w:numPr>
        <w:spacing w:after="90"/>
      </w:pPr>
      <w:r>
        <w:t xml:space="preserve">Ajouter une case de consentement RGPD explicite + lien vers la politique de confidentialité.</w:t>
      </w:r>
    </w:p>
    <w:p>
      <w:pPr>
        <w:pStyle w:val="ListParagraph"/>
        <w:numPr>
          <w:ilvl w:val="0"/>
          <w:numId w:val="2"/>
        </w:numPr>
        <w:spacing w:after="90"/>
      </w:pPr>
      <w:r>
        <w:t xml:space="preserve">Corriger la date de lancement affichée et la piloter par une seule variable (voir le script du fichier livré, section countdown).</w:t>
      </w:r>
    </w:p>
    <w:p>
      <w:pPr>
        <w:pStyle w:val="ListParagraph"/>
        <w:numPr>
          <w:ilvl w:val="0"/>
          <w:numId w:val="2"/>
        </w:numPr>
        <w:spacing w:after="90"/>
      </w:pPr>
      <w:r>
        <w:t xml:space="preserve">Ajouter des media queries pour la typographie et les espacements sur mobile (&lt; 480px).</w:t>
      </w:r>
    </w:p>
    <w:p>
      <w:pPr>
        <w:pStyle w:val="Heading2"/>
        <w:spacing w:after="140" w:before="280"/>
      </w:pPr>
      <w:r>
        <w:rPr>
          <w:b/>
          <w:bCs/>
          <w:color w:val="0A192F"/>
        </w:rPr>
        <w:t xml:space="preserve">5.2 Moyen terme (avant la fin de la période de pré-lancement)</w:t>
      </w:r>
    </w:p>
    <w:p>
      <w:pPr>
        <w:pStyle w:val="ListParagraph"/>
        <w:numPr>
          <w:ilvl w:val="0"/>
          <w:numId w:val="2"/>
        </w:numPr>
        <w:spacing w:after="90"/>
      </w:pPr>
      <w:r>
        <w:t xml:space="preserve">Connecter le formulaire à un service réel (CRM, e-mailing ou base de données) avec protection anti-spam.</w:t>
      </w:r>
    </w:p>
    <w:p>
      <w:pPr>
        <w:pStyle w:val="ListParagraph"/>
        <w:numPr>
          <w:ilvl w:val="0"/>
          <w:numId w:val="2"/>
        </w:numPr>
        <w:spacing w:after="90"/>
      </w:pPr>
      <w:r>
        <w:t xml:space="preserve">Étendre le formulaire pour capturer prénom, nom, ville et profil (organisateur / entreprise / prestataire) afin de segmenter la communication.</w:t>
      </w:r>
    </w:p>
    <w:p>
      <w:pPr>
        <w:pStyle w:val="ListParagraph"/>
        <w:numPr>
          <w:ilvl w:val="0"/>
          <w:numId w:val="2"/>
        </w:numPr>
        <w:spacing w:after="90"/>
      </w:pPr>
      <w:r>
        <w:t xml:space="preserve">Ajouter une section « Comment ça marche » et une section FAQ pour lever les objections avant l'inscription.</w:t>
      </w:r>
    </w:p>
    <w:p>
      <w:pPr>
        <w:pStyle w:val="ListParagraph"/>
        <w:numPr>
          <w:ilvl w:val="0"/>
          <w:numId w:val="2"/>
        </w:numPr>
        <w:spacing w:after="90"/>
      </w:pPr>
      <w:r>
        <w:t xml:space="preserve">Ajouter des indicateurs de preuve sociale dès qu'ils sont disponibles (nombre d'inscrits, premiers partenaires).</w:t>
      </w:r>
    </w:p>
    <w:p>
      <w:pPr>
        <w:pStyle w:val="Heading2"/>
        <w:spacing w:after="140" w:before="280"/>
      </w:pPr>
      <w:r>
        <w:rPr>
          <w:b/>
          <w:bCs/>
          <w:color w:val="0A192F"/>
        </w:rPr>
        <w:t xml:space="preserve">5.3 Structurant (après lancement)</w:t>
      </w:r>
    </w:p>
    <w:p>
      <w:pPr>
        <w:pStyle w:val="ListParagraph"/>
        <w:numPr>
          <w:ilvl w:val="0"/>
          <w:numId w:val="2"/>
        </w:numPr>
        <w:spacing w:after="90"/>
      </w:pPr>
      <w:r>
        <w:t xml:space="preserve">Ajouter de vrais visuels (photos de lieux, courte vidéo de démonstration) et une galerie partenaires.</w:t>
      </w:r>
    </w:p>
    <w:p>
      <w:pPr>
        <w:pStyle w:val="ListParagraph"/>
        <w:numPr>
          <w:ilvl w:val="0"/>
          <w:numId w:val="2"/>
        </w:numPr>
        <w:spacing w:after="90"/>
      </w:pPr>
      <w:r>
        <w:t xml:space="preserve">Mettre en place un suivi analytique des conversions (taux de complétion du formulaire, sources de trafic).</w:t>
      </w:r>
    </w:p>
    <w:p>
      <w:pPr>
        <w:pStyle w:val="ListParagraph"/>
        <w:numPr>
          <w:ilvl w:val="0"/>
          <w:numId w:val="2"/>
        </w:numPr>
        <w:spacing w:after="90"/>
      </w:pPr>
      <w:r>
        <w:t xml:space="preserve">Prévoir une version multilingue si la cible s'élargit au-delà du Gabon francophone.</w:t>
      </w:r>
    </w:p>
    <w:p>
      <w:pPr>
        <w:pStyle w:val="Heading1"/>
        <w:pBdr>
          <w:bottom w:val="single" w:color="9A7B1E" w:sz="6" w:space="4"/>
        </w:pBdr>
        <w:spacing w:after="180" w:before="360"/>
      </w:pPr>
      <w:r>
        <w:rPr>
          <w:b/>
          <w:bCs/>
          <w:color w:val="0A192F"/>
        </w:rPr>
        <w:t xml:space="preserve">6. Livrable : landing page enrichie</w:t>
      </w:r>
    </w:p>
    <w:p>
      <w:pPr>
        <w:spacing w:after="160"/>
      </w:pPr>
      <w:r>
        <w:t xml:space="preserve">En complément du présent audit, une nouvelle version de la landing page a été développée et livrée séparément (fichier ledomen-landing.html). Elle reprend l'identité de marque existante et intègre les recommandations ci-dessus :</w:t>
      </w:r>
    </w:p>
    <w:p>
      <w:pPr>
        <w:pStyle w:val="ListParagraph"/>
        <w:numPr>
          <w:ilvl w:val="0"/>
          <w:numId w:val="2"/>
        </w:numPr>
        <w:spacing w:after="90"/>
      </w:pPr>
      <w:r>
        <w:t xml:space="preserve">Structure HTML sémantique complète (header, section, footer) avec meta tags SEO/Open Graph.</w:t>
      </w:r>
    </w:p>
    <w:p>
      <w:pPr>
        <w:pStyle w:val="ListParagraph"/>
        <w:numPr>
          <w:ilvl w:val="0"/>
          <w:numId w:val="2"/>
        </w:numPr>
        <w:spacing w:after="90"/>
      </w:pPr>
      <w:r>
        <w:t xml:space="preserve">Neuf sections : Hero, Constat, Comment ça marche, Pour qui, Avantages, Urgence, Formulaire enrichi, FAQ, Footer.</w:t>
      </w:r>
    </w:p>
    <w:p>
      <w:pPr>
        <w:pStyle w:val="ListParagraph"/>
        <w:numPr>
          <w:ilvl w:val="0"/>
          <w:numId w:val="2"/>
        </w:numPr>
        <w:spacing w:after="90"/>
      </w:pPr>
      <w:r>
        <w:t xml:space="preserve">Formulaire étendu avec consentement RGPD explicite et validation côté client.</w:t>
      </w:r>
    </w:p>
    <w:p>
      <w:pPr>
        <w:pStyle w:val="ListParagraph"/>
        <w:numPr>
          <w:ilvl w:val="0"/>
          <w:numId w:val="2"/>
        </w:numPr>
        <w:spacing w:after="90"/>
      </w:pPr>
      <w:r>
        <w:t xml:space="preserve">Compteur de jours piloté par une seule date cible, facilement modifiable.</w:t>
      </w:r>
    </w:p>
    <w:p>
      <w:pPr>
        <w:pStyle w:val="ListParagraph"/>
        <w:numPr>
          <w:ilvl w:val="0"/>
          <w:numId w:val="2"/>
        </w:numPr>
        <w:spacing w:after="90"/>
      </w:pPr>
      <w:r>
        <w:t xml:space="preserve">FAQ en accordéon, animations de révolution au défilement respectant prefers-reduced-motion.</w:t>
      </w:r>
    </w:p>
    <w:p>
      <w:pPr>
        <w:pStyle w:val="ListParagraph"/>
        <w:numPr>
          <w:ilvl w:val="0"/>
          <w:numId w:val="2"/>
        </w:numPr>
        <w:spacing w:after="90"/>
      </w:pPr>
      <w:r>
        <w:t xml:space="preserve">Mise en page entièrement responsive, testée sur les points de rupture mobile et tablette.</w:t>
      </w:r>
    </w:p>
    <w:p>
      <w:pPr>
        <w:pBdr>
          <w:left w:val="single" w:color="9A7B1E" w:sz="18" w:space="6"/>
        </w:pBdr>
        <w:shd w:fill="F5EFDD" w:val="clear"/>
        <w:spacing w:after="200"/>
      </w:pPr>
      <w:r>
        <w:rPr>
          <w:i/>
          <w:iCs/>
          <w:color w:val="5A4A17"/>
        </w:rPr>
        <w:t xml:space="preserve">Ce fichier est une base HTML/CSS/JS autonome, sans dépendance de build, afin de rester facilement intégrable dans l'environnement technique actuel du client. Le branchement du formulaire à un backend réel reste à réaliser côté client ou par notre cabinet dans une phase 2.</w:t>
      </w:r>
    </w:p>
    <w:p>
      <w:pPr>
        <w:pStyle w:val="Heading1"/>
        <w:pBdr>
          <w:bottom w:val="single" w:color="9A7B1E" w:sz="6" w:space="4"/>
        </w:pBdr>
        <w:spacing w:after="180" w:before="360"/>
      </w:pPr>
      <w:r>
        <w:rPr>
          <w:b/>
          <w:bCs/>
          <w:color w:val="0A192F"/>
        </w:rPr>
        <w:t xml:space="preserve">7. Plan d'action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1713"/>
        <w:gridCol w:w="1713"/>
      </w:tblGrid>
      <w:tr>
        <w:trPr>
          <w:tblHeader/>
        </w:trPr>
        <w:tc>
          <w:tcPr>
            <w:tcW w:type="dxa" w:w="5600"/>
            <w:shd w:fill="0A192F" w:val="clear"/>
            <w:tcMar>
              <w:top w:type="dxa" w:w="100"/>
              <w:left w:type="dxa" w:w="120"/>
              <w:bottom w:type="dxa" w:w="100"/>
              <w:right w:type="dxa" w:w="120"/>
            </w:tcMar>
            <w:vAlign w:val="center"/>
          </w:tcPr>
          <w:p>
            <w:pPr>
              <w:jc w:val="left"/>
            </w:pPr>
            <w:r>
              <w:rPr>
                <w:b/>
                <w:bCs/>
                <w:color w:val="FFFFFF"/>
                <w:sz w:val="20"/>
                <w:szCs w:val="20"/>
              </w:rPr>
              <w:t xml:space="preserve">Recommandation</w:t>
            </w:r>
          </w:p>
        </w:tc>
        <w:tc>
          <w:tcPr>
            <w:tcW w:type="dxa" w:w="1713"/>
            <w:shd w:fill="0A192F" w:val="clear"/>
            <w:tcMar>
              <w:top w:type="dxa" w:w="100"/>
              <w:left w:type="dxa" w:w="120"/>
              <w:bottom w:type="dxa" w:w="100"/>
              <w:right w:type="dxa" w:w="120"/>
            </w:tcMar>
            <w:vAlign w:val="center"/>
          </w:tcPr>
          <w:p>
            <w:pPr>
              <w:jc w:val="center"/>
            </w:pPr>
            <w:r>
              <w:rPr>
                <w:b/>
                <w:bCs/>
                <w:color w:val="FFFFFF"/>
                <w:sz w:val="20"/>
                <w:szCs w:val="20"/>
              </w:rPr>
              <w:t xml:space="preserve">Impact</w:t>
            </w:r>
          </w:p>
        </w:tc>
        <w:tc>
          <w:tcPr>
            <w:tcW w:type="dxa" w:w="1713"/>
            <w:shd w:fill="0A192F" w:val="clear"/>
            <w:tcMar>
              <w:top w:type="dxa" w:w="100"/>
              <w:left w:type="dxa" w:w="120"/>
              <w:bottom w:type="dxa" w:w="100"/>
              <w:right w:type="dxa" w:w="120"/>
            </w:tcMar>
            <w:vAlign w:val="center"/>
          </w:tcPr>
          <w:p>
            <w:pPr>
              <w:jc w:val="center"/>
            </w:pPr>
            <w:r>
              <w:rPr>
                <w:b/>
                <w:bCs/>
                <w:color w:val="FFFFFF"/>
                <w:sz w:val="20"/>
                <w:szCs w:val="20"/>
              </w:rPr>
              <w:t xml:space="preserve">Effort</w:t>
            </w:r>
          </w:p>
        </w:tc>
      </w:tr>
      <w:tr>
        <w:tc>
          <w:tcPr>
            <w:tcW w:type="dxa" w:w="56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Phase 1 — Mise en conformité &amp; corrections techniques</w:t>
            </w:r>
          </w:p>
        </w:tc>
        <w:tc>
          <w:tcPr>
            <w:tcW w:type="dxa" w:w="1713"/>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Semaine 1</w:t>
            </w:r>
          </w:p>
        </w:tc>
        <w:tc>
          <w:tcPr>
            <w:tcW w:type="dxa" w:w="1713"/>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Équipe technique</w:t>
            </w:r>
          </w:p>
        </w:tc>
      </w:tr>
      <w:tr>
        <w:tc>
          <w:tcPr>
            <w:tcW w:type="dxa" w:w="5600"/>
            <w:shd w:fill="F4F6F9" w:val="clear"/>
            <w:tcMar>
              <w:top w:type="dxa" w:w="100"/>
              <w:left w:type="dxa" w:w="120"/>
              <w:bottom w:type="dxa" w:w="100"/>
              <w:right w:type="dxa" w:w="120"/>
            </w:tcMar>
            <w:vAlign w:val="center"/>
          </w:tcPr>
          <w:p>
            <w:pPr>
              <w:jc w:val="left"/>
            </w:pPr>
            <w:r>
              <w:rPr>
                <w:b w:val="false"/>
                <w:bCs w:val="false"/>
                <w:color w:val="000000"/>
                <w:sz w:val="20"/>
                <w:szCs w:val="20"/>
              </w:rPr>
              <w:t xml:space="preserve">Phase 2 — Connexion du formulaire &amp; premiers tests utilisateurs</w:t>
            </w:r>
          </w:p>
        </w:tc>
        <w:tc>
          <w:tcPr>
            <w:tcW w:type="dxa" w:w="1713"/>
            <w:shd w:fill="F4F6F9" w:val="clear"/>
            <w:tcMar>
              <w:top w:type="dxa" w:w="100"/>
              <w:left w:type="dxa" w:w="120"/>
              <w:bottom w:type="dxa" w:w="100"/>
              <w:right w:type="dxa" w:w="120"/>
            </w:tcMar>
            <w:vAlign w:val="center"/>
          </w:tcPr>
          <w:p>
            <w:pPr>
              <w:jc w:val="center"/>
            </w:pPr>
            <w:r>
              <w:rPr>
                <w:b w:val="false"/>
                <w:bCs w:val="false"/>
                <w:color w:val="000000"/>
                <w:sz w:val="20"/>
                <w:szCs w:val="20"/>
              </w:rPr>
              <w:t xml:space="preserve">Semaines 2-3</w:t>
            </w:r>
          </w:p>
        </w:tc>
        <w:tc>
          <w:tcPr>
            <w:tcW w:type="dxa" w:w="1713"/>
            <w:shd w:fill="F4F6F9" w:val="clear"/>
            <w:tcMar>
              <w:top w:type="dxa" w:w="100"/>
              <w:left w:type="dxa" w:w="120"/>
              <w:bottom w:type="dxa" w:w="100"/>
              <w:right w:type="dxa" w:w="120"/>
            </w:tcMar>
            <w:vAlign w:val="center"/>
          </w:tcPr>
          <w:p>
            <w:pPr>
              <w:jc w:val="center"/>
            </w:pPr>
            <w:r>
              <w:rPr>
                <w:b w:val="false"/>
                <w:bCs w:val="false"/>
                <w:color w:val="000000"/>
                <w:sz w:val="20"/>
                <w:szCs w:val="20"/>
              </w:rPr>
              <w:t xml:space="preserve">Équipe technique + produit</w:t>
            </w:r>
          </w:p>
        </w:tc>
      </w:tr>
      <w:tr>
        <w:tc>
          <w:tcPr>
            <w:tcW w:type="dxa" w:w="5600"/>
            <w:shd w:fill="FFFFFF" w:val="clear"/>
            <w:tcMar>
              <w:top w:type="dxa" w:w="100"/>
              <w:left w:type="dxa" w:w="120"/>
              <w:bottom w:type="dxa" w:w="100"/>
              <w:right w:type="dxa" w:w="120"/>
            </w:tcMar>
            <w:vAlign w:val="center"/>
          </w:tcPr>
          <w:p>
            <w:pPr>
              <w:jc w:val="left"/>
            </w:pPr>
            <w:r>
              <w:rPr>
                <w:b w:val="false"/>
                <w:bCs w:val="false"/>
                <w:color w:val="000000"/>
                <w:sz w:val="20"/>
                <w:szCs w:val="20"/>
              </w:rPr>
              <w:t xml:space="preserve">Phase 3 — Enrichissement visuel (photos, vidéo, preuve sociale)</w:t>
            </w:r>
          </w:p>
        </w:tc>
        <w:tc>
          <w:tcPr>
            <w:tcW w:type="dxa" w:w="1713"/>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Semaines 4-6</w:t>
            </w:r>
          </w:p>
        </w:tc>
        <w:tc>
          <w:tcPr>
            <w:tcW w:type="dxa" w:w="1713"/>
            <w:shd w:fill="FFFFFF" w:val="clear"/>
            <w:tcMar>
              <w:top w:type="dxa" w:w="100"/>
              <w:left w:type="dxa" w:w="120"/>
              <w:bottom w:type="dxa" w:w="100"/>
              <w:right w:type="dxa" w:w="120"/>
            </w:tcMar>
            <w:vAlign w:val="center"/>
          </w:tcPr>
          <w:p>
            <w:pPr>
              <w:jc w:val="center"/>
            </w:pPr>
            <w:r>
              <w:rPr>
                <w:b w:val="false"/>
                <w:bCs w:val="false"/>
                <w:color w:val="000000"/>
                <w:sz w:val="20"/>
                <w:szCs w:val="20"/>
              </w:rPr>
              <w:t xml:space="preserve">Marketing</w:t>
            </w:r>
          </w:p>
        </w:tc>
      </w:tr>
    </w:tbl>
    <w:p>
      <w:pPr>
        <w:pStyle w:val="Heading1"/>
        <w:pBdr>
          <w:bottom w:val="single" w:color="9A7B1E" w:sz="6" w:space="4"/>
        </w:pBdr>
        <w:spacing w:after="180" w:before="360"/>
      </w:pPr>
      <w:r>
        <w:rPr>
          <w:b/>
          <w:bCs/>
          <w:color w:val="0A192F"/>
        </w:rPr>
        <w:t xml:space="preserve">8. Conclusion</w:t>
      </w:r>
    </w:p>
    <w:p>
      <w:pPr>
        <w:spacing w:after="160"/>
      </w:pPr>
      <w:r>
        <w:t xml:space="preserve">La landing page actuelle constitue une base saine mais incomplète pour la phase de pré-lancement de LeDomen.com. Les corrections techniques (SEO, accessibilité, conformité du formulaire) sont prioritaires et peu coûteuses à mettre en œuvre. L'enrichissement marketing (structure en neuf sections, preuve sociale, FAQ) permettra de transformer une page informative en un véritable outil de conversion, aligné sur l'ambition premium de la marque.</w:t>
      </w:r>
    </w:p>
    <w:p>
      <w:pPr>
        <w:spacing w:after="160"/>
      </w:pPr>
      <w:r>
        <w:rPr>
          <w:i/>
          <w:iCs/>
          <w:color w:val="555555"/>
        </w:rPr>
        <w:t xml:space="preserve">Notre cabinet reste à disposition pour accompagner la phase 2 (connexion backend, tableau de bord analytique, déclinaison des visuels de marque).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2026-07-16T19:32:49.527Z</dcterms:created>
  <dcterms:modified xsi:type="dcterms:W3CDTF">2026-07-16T19:32:49.555Z</dcterms:modified>
</cp:coreProperties>
</file>

<file path=docProps/custom.xml><?xml version="1.0" encoding="utf-8"?>
<Properties xmlns="http://schemas.openxmlformats.org/officeDocument/2006/custom-properties" xmlns:vt="http://schemas.openxmlformats.org/officeDocument/2006/docPropsVTypes"/>
</file>