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Optimización y Auditoría de un Modelo de Crédito: Hiperparámetros, Modelos de Conjunto y una Recomendación Basada en el Costo</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sz w:val="24"/>
          <w:szCs w:val="24"/>
        </w:rPr>
        <w:t xml:space="preserve">Carlo E. Alicea Medina</w:t>
      </w:r>
    </w:p>
    <w:p>
      <w:pPr>
        <w:spacing w:after="0" w:before="0" w:line="480" w:lineRule="auto"/>
        <w:jc w:val="center"/>
      </w:pPr>
      <w:r>
        <w:rPr>
          <w:rFonts w:ascii="Times New Roman" w:cs="Times New Roman" w:eastAsia="Times New Roman" w:hAnsi="Times New Roman"/>
          <w:sz w:val="24"/>
          <w:szCs w:val="24"/>
        </w:rPr>
        <w:t xml:space="preserve">Maestría en Inteligencia Artificial, Atlantis University</w:t>
      </w:r>
    </w:p>
    <w:p>
      <w:pPr>
        <w:spacing w:after="0" w:before="0" w:line="480" w:lineRule="auto"/>
        <w:jc w:val="center"/>
      </w:pPr>
      <w:r>
        <w:rPr>
          <w:rFonts w:ascii="Times New Roman" w:cs="Times New Roman" w:eastAsia="Times New Roman" w:hAnsi="Times New Roman"/>
          <w:sz w:val="24"/>
          <w:szCs w:val="24"/>
        </w:rPr>
        <w:t xml:space="preserve">MAI 540: Machine Learning</w:t>
      </w:r>
    </w:p>
    <w:p>
      <w:pPr>
        <w:spacing w:after="0" w:before="0" w:line="480" w:lineRule="auto"/>
        <w:jc w:val="center"/>
      </w:pPr>
      <w:r>
        <w:rPr>
          <w:rFonts w:ascii="Times New Roman" w:cs="Times New Roman" w:eastAsia="Times New Roman" w:hAnsi="Times New Roman"/>
          <w:sz w:val="24"/>
          <w:szCs w:val="24"/>
        </w:rPr>
        <w:t xml:space="preserve">Prof. Kevin A. García Gallardo</w:t>
      </w:r>
    </w:p>
    <w:p>
      <w:pPr>
        <w:spacing w:after="0" w:before="0" w:line="480" w:lineRule="auto"/>
        <w:jc w:val="center"/>
      </w:pPr>
      <w:r>
        <w:rPr>
          <w:rFonts w:ascii="Times New Roman" w:cs="Times New Roman" w:eastAsia="Times New Roman" w:hAnsi="Times New Roman"/>
          <w:sz w:val="24"/>
          <w:szCs w:val="24"/>
        </w:rPr>
        <w:t xml:space="preserve">13 de octubre de 2026</w:t>
      </w:r>
    </w:p>
    <w:p>
      <w:r>
        <w:br w:type="page"/>
      </w:r>
    </w:p>
    <w:p>
      <w:pPr>
        <w:spacing w:after="0" w:before="0" w:line="480" w:lineRule="auto"/>
        <w:jc w:val="center"/>
      </w:pPr>
      <w:r>
        <w:rPr>
          <w:rFonts w:ascii="Times New Roman" w:cs="Times New Roman" w:eastAsia="Times New Roman" w:hAnsi="Times New Roman"/>
          <w:b/>
          <w:bCs/>
          <w:sz w:val="24"/>
          <w:szCs w:val="24"/>
        </w:rPr>
        <w:t xml:space="preserve">Optimización y Auditoría de un Modelo de Crédito: Hiperparámetros, Modelos de Conjunto y una Recomendación Basada en el Costo</w:t>
      </w:r>
    </w:p>
    <w:p>
      <w:pPr>
        <w:spacing w:after="0" w:before="0" w:line="480" w:lineRule="auto"/>
        <w:ind w:firstLine="720"/>
      </w:pPr>
      <w:r>
        <w:rPr>
          <w:rFonts w:ascii="Times New Roman" w:cs="Times New Roman" w:eastAsia="Times New Roman" w:hAnsi="Times New Roman"/>
          <w:sz w:val="24"/>
          <w:szCs w:val="24"/>
        </w:rPr>
        <w:t xml:space="preserve">En la Tarea 6.1, sobre German Credit (Hofmann, 1994), el árbol por defecto no superó el 0.70 de decir siempre «good» y el Random Forest detectó solo el 38 % de los créditos malos. Antes de medir fijé en </w:t>
      </w:r>
      <w:r>
        <w:rPr>
          <w:rFonts w:ascii="Times New Roman" w:cs="Times New Roman" w:eastAsia="Times New Roman" w:hAnsi="Times New Roman"/>
          <w:i/>
          <w:iCs/>
          <w:sz w:val="24"/>
          <w:szCs w:val="24"/>
        </w:rPr>
        <w:t xml:space="preserve">PLAN_6_2.md</w:t>
      </w:r>
      <w:r>
        <w:rPr>
          <w:rFonts w:ascii="Times New Roman" w:cs="Times New Roman" w:eastAsia="Times New Roman" w:hAnsi="Times New Roman"/>
          <w:sz w:val="24"/>
          <w:szCs w:val="24"/>
        </w:rPr>
        <w:t xml:space="preserve"> la matriz de coste (aprobar un malo cuesta 5; rechazar un bueno, 1) y la regla de selección: descartar los modelos con exactitud menos una desviación ≤ 0.70 y elegir el de menor coste. Repositorio: </w:t>
      </w:r>
      <w:r>
        <w:rPr>
          <w:rFonts w:ascii="Times New Roman" w:cs="Times New Roman" w:eastAsia="Times New Roman" w:hAnsi="Times New Roman"/>
          <w:sz w:val="24"/>
          <w:szCs w:val="24"/>
          <w:highlight w:val="yellow"/>
          <w:highlightCs w:val="yellow"/>
        </w:rPr>
        <w:t xml:space="preserve">https://github.com/USUARIO/tarea-6-1-german-credit</w:t>
      </w:r>
      <w:r>
        <w:rPr>
          <w:rFonts w:ascii="Times New Roman" w:cs="Times New Roman" w:eastAsia="Times New Roman" w:hAnsi="Times New Roman"/>
          <w:sz w:val="24"/>
          <w:szCs w:val="24"/>
        </w:rPr>
        <w:t xml:space="preserve">.</w:t>
      </w:r>
    </w:p>
    <w:p>
      <w:pPr>
        <w:keepNext/>
        <w:spacing w:after="0" w:before="0" w:line="480" w:lineRule="auto"/>
        <w:jc w:val="center"/>
      </w:pPr>
      <w:r>
        <w:rPr>
          <w:rFonts w:ascii="Times New Roman" w:cs="Times New Roman" w:eastAsia="Times New Roman" w:hAnsi="Times New Roman"/>
          <w:b/>
          <w:bCs/>
          <w:sz w:val="24"/>
          <w:szCs w:val="24"/>
        </w:rPr>
        <w:t xml:space="preserve">Búsqueda de Hiperparámetros y Número Honesto</w:t>
      </w:r>
    </w:p>
    <w:p>
      <w:pPr>
        <w:spacing w:after="0" w:before="0" w:line="480" w:lineRule="auto"/>
        <w:ind w:firstLine="720"/>
      </w:pPr>
      <w:r>
        <w:rPr>
          <w:rFonts w:ascii="Times New Roman" w:cs="Times New Roman" w:eastAsia="Times New Roman" w:hAnsi="Times New Roman"/>
          <w:sz w:val="24"/>
          <w:szCs w:val="24"/>
        </w:rPr>
        <w:t xml:space="preserve">Con </w:t>
      </w:r>
      <w:r>
        <w:rPr>
          <w:rFonts w:ascii="Times New Roman" w:cs="Times New Roman" w:eastAsia="Times New Roman" w:hAnsi="Times New Roman"/>
          <w:i/>
          <w:iCs/>
          <w:sz w:val="24"/>
          <w:szCs w:val="24"/>
        </w:rPr>
        <w:t xml:space="preserve">GridSearchCV</w:t>
      </w:r>
      <w:r>
        <w:rPr>
          <w:rFonts w:ascii="Times New Roman" w:cs="Times New Roman" w:eastAsia="Times New Roman" w:hAnsi="Times New Roman"/>
          <w:sz w:val="24"/>
          <w:szCs w:val="24"/>
        </w:rPr>
        <w:t xml:space="preserve"> (Pedregosa et al., 2011) exploré </w:t>
      </w:r>
      <w:r>
        <w:rPr>
          <w:rFonts w:ascii="Times New Roman" w:cs="Times New Roman" w:eastAsia="Times New Roman" w:hAnsi="Times New Roman"/>
          <w:i/>
          <w:iCs/>
          <w:sz w:val="24"/>
          <w:szCs w:val="24"/>
        </w:rPr>
        <w:t xml:space="preserve">max_depth</w:t>
      </w:r>
      <w:r>
        <w:rPr>
          <w:rFonts w:ascii="Times New Roman" w:cs="Times New Roman" w:eastAsia="Times New Roman" w:hAnsi="Times New Roman"/>
          <w:sz w:val="24"/>
          <w:szCs w:val="24"/>
        </w:rPr>
        <w:t xml:space="preserve"> ∈ {2, 3, 4, 5, 6, 8, 10, None} × </w:t>
      </w:r>
      <w:r>
        <w:rPr>
          <w:rFonts w:ascii="Times New Roman" w:cs="Times New Roman" w:eastAsia="Times New Roman" w:hAnsi="Times New Roman"/>
          <w:i/>
          <w:iCs/>
          <w:sz w:val="24"/>
          <w:szCs w:val="24"/>
        </w:rPr>
        <w:t xml:space="preserve">min_samples_leaf</w:t>
      </w:r>
      <w:r>
        <w:rPr>
          <w:rFonts w:ascii="Times New Roman" w:cs="Times New Roman" w:eastAsia="Times New Roman" w:hAnsi="Times New Roman"/>
          <w:sz w:val="24"/>
          <w:szCs w:val="24"/>
        </w:rPr>
        <w:t xml:space="preserve"> ∈ {1, 5, 10, 20, 50} (40 combinaciones) con la validación cruzada estratificada de 5 pliegues y semilla 42 de la 6.1. Ganó </w:t>
      </w:r>
      <w:r>
        <w:rPr>
          <w:rFonts w:ascii="Times New Roman" w:cs="Times New Roman" w:eastAsia="Times New Roman" w:hAnsi="Times New Roman"/>
          <w:i/>
          <w:iCs/>
          <w:sz w:val="24"/>
          <w:szCs w:val="24"/>
        </w:rPr>
        <w:t xml:space="preserve">max_depth</w:t>
      </w:r>
      <w:r>
        <w:rPr>
          <w:rFonts w:ascii="Times New Roman" w:cs="Times New Roman" w:eastAsia="Times New Roman" w:hAnsi="Times New Roman"/>
          <w:sz w:val="24"/>
          <w:szCs w:val="24"/>
        </w:rPr>
        <w:t xml:space="preserve"> = 5, </w:t>
      </w:r>
      <w:r>
        <w:rPr>
          <w:rFonts w:ascii="Times New Roman" w:cs="Times New Roman" w:eastAsia="Times New Roman" w:hAnsi="Times New Roman"/>
          <w:i/>
          <w:iCs/>
          <w:sz w:val="24"/>
          <w:szCs w:val="24"/>
        </w:rPr>
        <w:t xml:space="preserve">min_samples_leaf</w:t>
      </w:r>
      <w:r>
        <w:rPr>
          <w:rFonts w:ascii="Times New Roman" w:cs="Times New Roman" w:eastAsia="Times New Roman" w:hAnsi="Times New Roman"/>
          <w:sz w:val="24"/>
          <w:szCs w:val="24"/>
        </w:rPr>
        <w:t xml:space="preserve"> = 1: 0.730 ± 0.019 frente a 0.698 ± 0.017 por defecto (+0.032). Controlé el optimismo con una prueba reservada del 20 % (0.718 en la búsqueda, 0.750 en la prueba) y con validación cruzada anidada (Varma y Simon, 2006): número honesto 0.740 ± 0.013. Quedó 0.010 por encima de la búsqueda, menos que la variación entre pliegues: aquí no hubo optimismo y la mejora de 3 a 4 puntos se sostiene.</w:t>
      </w:r>
    </w:p>
    <w:p>
      <w:pPr>
        <w:keepNext/>
        <w:spacing w:after="0" w:before="0" w:line="480" w:lineRule="auto"/>
        <w:jc w:val="center"/>
      </w:pPr>
      <w:r>
        <w:rPr>
          <w:rFonts w:ascii="Times New Roman" w:cs="Times New Roman" w:eastAsia="Times New Roman" w:hAnsi="Times New Roman"/>
          <w:b/>
          <w:bCs/>
          <w:sz w:val="24"/>
          <w:szCs w:val="24"/>
        </w:rPr>
        <w:t xml:space="preserve">Comparación con el Mismo Protocolo</w:t>
      </w:r>
    </w:p>
    <w:p>
      <w:pPr>
        <w:spacing w:after="0" w:before="0" w:line="480" w:lineRule="auto"/>
        <w:ind w:firstLine="720"/>
      </w:pPr>
      <w:r>
        <w:rPr>
          <w:rFonts w:ascii="Times New Roman" w:cs="Times New Roman" w:eastAsia="Times New Roman" w:hAnsi="Times New Roman"/>
          <w:sz w:val="24"/>
          <w:szCs w:val="24"/>
        </w:rPr>
        <w:t xml:space="preserve">Ningún modelo gana en todo (Tabla 1): el Random Forest es el más exacto y estable, pero deja pasar 187 de 300 malos; el árbol afinado es el más rápido e interpretable, pero el más caro; el boosting acierta igual y detecta más (0.48). Con el peso 5:1, el boosting baja a 749 y, sin </w:t>
      </w:r>
      <w:r>
        <w:rPr>
          <w:rFonts w:ascii="Times New Roman" w:cs="Times New Roman" w:eastAsia="Times New Roman" w:hAnsi="Times New Roman"/>
          <w:i/>
          <w:iCs/>
          <w:sz w:val="24"/>
          <w:szCs w:val="24"/>
        </w:rPr>
        <w:t xml:space="preserve">age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personal_status</w:t>
      </w:r>
      <w:r>
        <w:rPr>
          <w:rFonts w:ascii="Times New Roman" w:cs="Times New Roman" w:eastAsia="Times New Roman" w:hAnsi="Times New Roman"/>
          <w:sz w:val="24"/>
          <w:szCs w:val="24"/>
        </w:rPr>
        <w:t xml:space="preserve"> ni </w:t>
      </w:r>
      <w:r>
        <w:rPr>
          <w:rFonts w:ascii="Times New Roman" w:cs="Times New Roman" w:eastAsia="Times New Roman" w:hAnsi="Times New Roman"/>
          <w:i/>
          <w:iCs/>
          <w:sz w:val="24"/>
          <w:szCs w:val="24"/>
        </w:rPr>
        <w:t xml:space="preserve">foreign_worker</w:t>
      </w:r>
      <w:r>
        <w:rPr>
          <w:rFonts w:ascii="Times New Roman" w:cs="Times New Roman" w:eastAsia="Times New Roman" w:hAnsi="Times New Roman"/>
          <w:sz w:val="24"/>
          <w:szCs w:val="24"/>
        </w:rPr>
        <w:t xml:space="preserve">, a 706 con la misma exactitud. El Random Forest 5:1 cuesta menos (650), pero su exactitud (0.694) no pasa el piso y la regla lo descarta.</w:t>
      </w:r>
    </w:p>
    <w:p>
      <w:pPr>
        <w:keepNext/>
        <w:spacing w:after="0" w:before="0" w:line="480" w:lineRule="auto"/>
      </w:pPr>
      <w:r>
        <w:rPr>
          <w:rFonts w:ascii="Times New Roman" w:cs="Times New Roman" w:eastAsia="Times New Roman" w:hAnsi="Times New Roman"/>
          <w:b/>
          <w:bCs/>
          <w:sz w:val="24"/>
          <w:szCs w:val="24"/>
        </w:rPr>
        <w:t xml:space="preserve">Tabla 1</w:t>
      </w:r>
    </w:p>
    <w:p>
      <w:pPr>
        <w:keepNext/>
        <w:spacing w:after="0" w:before="0" w:line="480" w:lineRule="auto"/>
      </w:pPr>
      <w:r>
        <w:rPr>
          <w:rFonts w:ascii="Times New Roman" w:cs="Times New Roman" w:eastAsia="Times New Roman" w:hAnsi="Times New Roman"/>
          <w:i/>
          <w:iCs/>
          <w:sz w:val="24"/>
          <w:szCs w:val="24"/>
        </w:rPr>
        <w:t xml:space="preserve">Árbol Afinado, Random Forest y Boosting con la Misma Validación Cruzada de Cinco Pliegues</w:t>
      </w: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2900"/>
        <w:gridCol w:w="1350"/>
        <w:gridCol w:w="1050"/>
        <w:gridCol w:w="1150"/>
        <w:gridCol w:w="1150"/>
        <w:gridCol w:w="750"/>
        <w:gridCol w:w="1000"/>
      </w:tblGrid>
      <w:tr>
        <w:trPr>
          <w:tblHeader/>
        </w:trPr>
        <w:tc>
          <w:tcPr>
            <w:tcW w:type="dxa" w:w="29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sz w:val="20"/>
                <w:szCs w:val="20"/>
              </w:rPr>
              <w:t xml:space="preserve">Modelo</w:t>
            </w:r>
          </w:p>
        </w:tc>
        <w:tc>
          <w:tcPr>
            <w:tcW w:type="dxa" w:w="13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sz w:val="20"/>
                <w:szCs w:val="20"/>
              </w:rPr>
              <w:t xml:space="preserve">Exactitud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DE</w:t>
            </w:r>
            <w:r>
              <w:rPr>
                <w:rFonts w:ascii="Times New Roman" w:cs="Times New Roman" w:eastAsia="Times New Roman" w:hAnsi="Times New Roman"/>
                <w:sz w:val="20"/>
                <w:szCs w:val="20"/>
              </w:rPr>
              <w:t xml:space="preserve">)</w:t>
            </w:r>
          </w:p>
        </w:tc>
        <w:tc>
          <w:tcPr>
            <w:tcW w:type="dxa" w:w="10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sz w:val="20"/>
                <w:szCs w:val="20"/>
              </w:rPr>
              <w:t xml:space="preserve">Malos detectados</w:t>
            </w:r>
          </w:p>
        </w:tc>
        <w:tc>
          <w:tcPr>
            <w:tcW w:type="dxa" w:w="11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sz w:val="20"/>
                <w:szCs w:val="20"/>
              </w:rPr>
              <w:t xml:space="preserve">Malos aprobados (FN)</w:t>
            </w:r>
          </w:p>
        </w:tc>
        <w:tc>
          <w:tcPr>
            <w:tcW w:type="dxa" w:w="11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sz w:val="20"/>
                <w:szCs w:val="20"/>
              </w:rPr>
              <w:t xml:space="preserve">Buenos rechazados (FP)</w:t>
            </w:r>
          </w:p>
        </w:tc>
        <w:tc>
          <w:tcPr>
            <w:tcW w:type="dxa" w:w="75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sz w:val="20"/>
                <w:szCs w:val="20"/>
              </w:rPr>
              <w:t xml:space="preserve">Coste</w:t>
            </w:r>
          </w:p>
        </w:tc>
        <w:tc>
          <w:tcPr>
            <w:tcW w:type="dxa" w:w="10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sz w:val="20"/>
                <w:szCs w:val="20"/>
              </w:rPr>
              <w:t xml:space="preserve">Ajuste (s)</w:t>
            </w:r>
          </w:p>
        </w:tc>
      </w:tr>
      <w:tr>
        <w:trPr>
          <w:tblHeader w:val="false"/>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sz w:val="20"/>
                <w:szCs w:val="20"/>
              </w:rPr>
              <w:t xml:space="preserve">Árbol afinado</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sz w:val="20"/>
                <w:szCs w:val="20"/>
              </w:rPr>
              <w:t xml:space="preserve">0.730 (0.019)</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sz w:val="20"/>
                <w:szCs w:val="20"/>
              </w:rPr>
              <w:t xml:space="preserve">0.36</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sz w:val="20"/>
                <w:szCs w:val="20"/>
              </w:rPr>
              <w:t xml:space="preserve">193</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sz w:val="20"/>
                <w:szCs w:val="20"/>
              </w:rPr>
              <w:t xml:space="preserve">77</w:t>
            </w:r>
          </w:p>
        </w:tc>
        <w:tc>
          <w:tcPr>
            <w:tcW w:type="dxa"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sz w:val="20"/>
                <w:szCs w:val="20"/>
              </w:rPr>
              <w:t xml:space="preserve">1,042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sz w:val="20"/>
                <w:szCs w:val="20"/>
              </w:rPr>
              <w:t xml:space="preserve">0.08</w:t>
            </w:r>
          </w:p>
        </w:tc>
      </w:tr>
      <w:tr>
        <w:trPr>
          <w:tblHeader w:val="false"/>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sz w:val="20"/>
                <w:szCs w:val="20"/>
              </w:rPr>
              <w:t xml:space="preserve">Random Forest</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sz w:val="20"/>
                <w:szCs w:val="20"/>
              </w:rPr>
              <w:t xml:space="preserve">0.759 (0.006)</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sz w:val="20"/>
                <w:szCs w:val="20"/>
              </w:rPr>
              <w:t xml:space="preserve">0.38</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sz w:val="20"/>
                <w:szCs w:val="20"/>
              </w:rPr>
              <w:t xml:space="preserve">187</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sz w:val="20"/>
                <w:szCs w:val="20"/>
              </w:rPr>
              <w:t xml:space="preserve">54</w:t>
            </w:r>
          </w:p>
        </w:tc>
        <w:tc>
          <w:tcPr>
            <w:tcW w:type="dxa"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sz w:val="20"/>
                <w:szCs w:val="20"/>
              </w:rPr>
              <w:t xml:space="preserve">989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sz w:val="20"/>
                <w:szCs w:val="20"/>
              </w:rPr>
              <w:t xml:space="preserve">0.90</w:t>
            </w:r>
          </w:p>
        </w:tc>
      </w:tr>
      <w:tr>
        <w:trPr>
          <w:tblHeader w:val="false"/>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sz w:val="20"/>
                <w:szCs w:val="20"/>
              </w:rPr>
              <w:t xml:space="preserve">Boosting (HistGradientBoosting)</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sz w:val="20"/>
                <w:szCs w:val="20"/>
              </w:rPr>
              <w:t xml:space="preserve">0.758 (0.018)</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sz w:val="20"/>
                <w:szCs w:val="20"/>
              </w:rPr>
              <w:t xml:space="preserve">0.48</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sz w:val="20"/>
                <w:szCs w:val="20"/>
              </w:rPr>
              <w:t xml:space="preserve">155</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sz w:val="20"/>
                <w:szCs w:val="20"/>
              </w:rPr>
              <w:t xml:space="preserve">87</w:t>
            </w:r>
          </w:p>
        </w:tc>
        <w:tc>
          <w:tcPr>
            <w:tcW w:type="dxa"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sz w:val="20"/>
                <w:szCs w:val="20"/>
              </w:rPr>
              <w:t xml:space="preserve">862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sz w:val="20"/>
                <w:szCs w:val="20"/>
              </w:rPr>
              <w:t xml:space="preserve">1.02</w:t>
            </w:r>
          </w:p>
        </w:tc>
      </w:tr>
      <w:tr>
        <w:trPr>
          <w:tblHeader w:val="false"/>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sz w:val="20"/>
                <w:szCs w:val="20"/>
              </w:rPr>
              <w:t xml:space="preserve">Random Forest, peso 5:1</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sz w:val="20"/>
                <w:szCs w:val="20"/>
              </w:rPr>
              <w:t xml:space="preserve">0.694 (0.024)</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sz w:val="20"/>
                <w:szCs w:val="20"/>
              </w:rPr>
              <w:t xml:space="preserve">0.71</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sz w:val="20"/>
                <w:szCs w:val="20"/>
              </w:rPr>
              <w:t xml:space="preserve">86</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sz w:val="20"/>
                <w:szCs w:val="20"/>
              </w:rPr>
              <w:t xml:space="preserve">220</w:t>
            </w:r>
          </w:p>
        </w:tc>
        <w:tc>
          <w:tcPr>
            <w:tcW w:type="dxa"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sz w:val="20"/>
                <w:szCs w:val="20"/>
              </w:rPr>
              <w:t xml:space="preserve">650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sz w:val="20"/>
                <w:szCs w:val="20"/>
              </w:rPr>
              <w:t xml:space="preserve">1.12</w:t>
            </w:r>
          </w:p>
        </w:tc>
      </w:tr>
      <w:tr>
        <w:trPr>
          <w:tblHeader w:val="false"/>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sz w:val="20"/>
                <w:szCs w:val="20"/>
              </w:rPr>
              <w:t xml:space="preserve">Boosting, peso 5:1</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sz w:val="20"/>
                <w:szCs w:val="20"/>
              </w:rPr>
              <w:t xml:space="preserve">0.727 (0.023)</w:t>
            </w:r>
          </w:p>
        </w:tc>
        <w:tc>
          <w:tcPr>
            <w:tcW w:type="dxa" w:w="1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sz w:val="20"/>
                <w:szCs w:val="20"/>
              </w:rPr>
              <w:t xml:space="preserve">0.60</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sz w:val="20"/>
                <w:szCs w:val="20"/>
              </w:rPr>
              <w:t xml:space="preserve">119</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sz w:val="20"/>
                <w:szCs w:val="20"/>
              </w:rPr>
              <w:t xml:space="preserve">154</w:t>
            </w:r>
          </w:p>
        </w:tc>
        <w:tc>
          <w:tcPr>
            <w:tcW w:type="dxa" w:w="7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sz w:val="20"/>
                <w:szCs w:val="20"/>
              </w:rPr>
              <w:t xml:space="preserve">749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sz w:val="20"/>
                <w:szCs w:val="20"/>
              </w:rPr>
              <w:t xml:space="preserve">1.51</w:t>
            </w:r>
          </w:p>
        </w:tc>
      </w:tr>
      <w:tr>
        <w:trPr>
          <w:tblHeader w:val="false"/>
        </w:trPr>
        <w:tc>
          <w:tcPr>
            <w:tcW w:type="dxa" w:w="29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bCs/>
                <w:sz w:val="20"/>
                <w:szCs w:val="20"/>
              </w:rPr>
              <w:t xml:space="preserve">Boosting 5:1 sin variables sensibles</w:t>
            </w:r>
          </w:p>
        </w:tc>
        <w:tc>
          <w:tcPr>
            <w:tcW w:type="dxa" w:w="13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0"/>
                <w:szCs w:val="20"/>
              </w:rPr>
              <w:t xml:space="preserve">0.726 (0.020)</w:t>
            </w:r>
          </w:p>
        </w:tc>
        <w:tc>
          <w:tcPr>
            <w:tcW w:type="dxa" w:w="10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0"/>
                <w:szCs w:val="20"/>
              </w:rPr>
              <w:t xml:space="preserve">0.64</w:t>
            </w:r>
          </w:p>
        </w:tc>
        <w:tc>
          <w:tcPr>
            <w:tcW w:type="dxa" w:w="11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0"/>
                <w:szCs w:val="20"/>
              </w:rPr>
              <w:t xml:space="preserve">108</w:t>
            </w:r>
          </w:p>
        </w:tc>
        <w:tc>
          <w:tcPr>
            <w:tcW w:type="dxa" w:w="11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0"/>
                <w:szCs w:val="20"/>
              </w:rPr>
              <w:t xml:space="preserve">166</w:t>
            </w:r>
          </w:p>
        </w:tc>
        <w:tc>
          <w:tcPr>
            <w:tcW w:type="dxa" w:w="75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0"/>
                <w:szCs w:val="20"/>
              </w:rPr>
              <w:t xml:space="preserve">706</w:t>
            </w:r>
          </w:p>
        </w:tc>
        <w:tc>
          <w:tcPr>
            <w:tcW w:type="dxa" w:w="10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0"/>
                <w:szCs w:val="20"/>
              </w:rPr>
              <w:t xml:space="preserve">1.55</w:t>
            </w:r>
          </w:p>
        </w:tc>
      </w:tr>
    </w:tbl>
    <w:p>
      <w:pPr>
        <w:spacing w:after="240" w:before="60" w:line="24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Coste = 5·FN + 1·FP sobre las 1,000 predicciones fuera de pliegue; decir siempre «good» cuesta 1,500. El peso 5:1 sale de la matriz de coste y se fijó antes de medir. Tiempo: suma de los cinco ajustes en el equipo de prueba.</w:t>
      </w:r>
    </w:p>
    <w:p>
      <w:pPr>
        <w:keepNext/>
        <w:spacing w:after="0" w:before="0" w:line="480" w:lineRule="auto"/>
        <w:jc w:val="center"/>
      </w:pPr>
      <w:r>
        <w:rPr>
          <w:rFonts w:ascii="Times New Roman" w:cs="Times New Roman" w:eastAsia="Times New Roman" w:hAnsi="Times New Roman"/>
          <w:b/>
          <w:bCs/>
          <w:sz w:val="24"/>
          <w:szCs w:val="24"/>
        </w:rPr>
        <w:t xml:space="preserve">Curva de Aprendizaje</w:t>
      </w:r>
    </w:p>
    <w:p>
      <w:pPr>
        <w:spacing w:after="0" w:before="0" w:line="480" w:lineRule="auto"/>
        <w:ind w:firstLine="720"/>
      </w:pPr>
      <w:r>
        <w:rPr>
          <w:rFonts w:ascii="Times New Roman" w:cs="Times New Roman" w:eastAsia="Times New Roman" w:hAnsi="Times New Roman"/>
          <w:sz w:val="24"/>
          <w:szCs w:val="24"/>
        </w:rPr>
        <w:t xml:space="preserve">En la Figura 1, la brecha entre entrenamiento y validación del árbol por defecto (0.30) baja a 0.07 al afinarlo y a 0.26 en el modelo elegido, cuya validación sube de 0.67 a 0.73 sin estabilizarse: más datos ayudarían, y limitar su complejidad es el siguiente paso.</w:t>
      </w:r>
    </w:p>
    <w:p>
      <w:pPr>
        <w:keepNext/>
        <w:spacing w:after="0" w:before="0" w:line="480" w:lineRule="auto"/>
      </w:pPr>
      <w:r>
        <w:rPr>
          <w:rFonts w:ascii="Times New Roman" w:cs="Times New Roman" w:eastAsia="Times New Roman" w:hAnsi="Times New Roman"/>
          <w:b/>
          <w:bCs/>
          <w:sz w:val="24"/>
          <w:szCs w:val="24"/>
        </w:rPr>
        <w:t xml:space="preserve">Figura 1</w:t>
      </w:r>
    </w:p>
    <w:p>
      <w:pPr>
        <w:keepNext/>
        <w:spacing w:after="0" w:before="0" w:line="480" w:lineRule="auto"/>
      </w:pPr>
      <w:r>
        <w:rPr>
          <w:rFonts w:ascii="Times New Roman" w:cs="Times New Roman" w:eastAsia="Times New Roman" w:hAnsi="Times New Roman"/>
          <w:i/>
          <w:iCs/>
          <w:sz w:val="24"/>
          <w:szCs w:val="24"/>
        </w:rPr>
        <w:t xml:space="preserve">Curvas de Aprendizaje del Diagnóstico de la Tarea 6.1, el Árbol Afinado y el Modelo Elegido</w:t>
      </w:r>
    </w:p>
    <w:p>
      <w:pPr>
        <w:keepNext/>
        <w:spacing w:after="0" w:before="0" w:line="240" w:lineRule="auto"/>
        <w:jc w:val="center"/>
      </w:pPr>
      <w:r>
        <w:drawing>
          <wp:inline distT="0" distB="0" distL="0" distR="0">
            <wp:extent cx="5715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790700"/>
                    </a:xfrm>
                    <a:prstGeom prst="rect">
                      <a:avLst/>
                    </a:prstGeom>
                  </pic:spPr>
                </pic:pic>
              </a:graphicData>
            </a:graphic>
          </wp:inline>
        </w:drawing>
      </w:r>
    </w:p>
    <w:p>
      <w:pPr>
        <w:spacing w:after="240" w:before="60" w:line="240"/>
      </w:pPr>
      <w:r>
        <w:rPr>
          <w:rFonts w:ascii="Times New Roman" w:cs="Times New Roman" w:eastAsia="Times New Roman" w:hAnsi="Times New Roman"/>
          <w:i/>
          <w:iCs/>
          <w:sz w:val="20"/>
          <w:szCs w:val="20"/>
        </w:rPr>
        <w:t xml:space="preserve">Nota.</w:t>
      </w:r>
      <w:r>
        <w:rPr>
          <w:rFonts w:ascii="Times New Roman" w:cs="Times New Roman" w:eastAsia="Times New Roman" w:hAnsi="Times New Roman"/>
          <w:sz w:val="20"/>
          <w:szCs w:val="20"/>
        </w:rPr>
        <w:t xml:space="preserve"> Exactitud media en los cinco pliegues de la validación cruzada para cada tamaño de entrenamiento (15 % a 100 %). La línea punteada es la exactitud de decir siempre «good».</w:t>
      </w:r>
    </w:p>
    <w:p>
      <w:pPr>
        <w:keepNext/>
        <w:spacing w:after="0" w:before="0" w:line="480" w:lineRule="auto"/>
        <w:jc w:val="center"/>
      </w:pPr>
      <w:r>
        <w:rPr>
          <w:rFonts w:ascii="Times New Roman" w:cs="Times New Roman" w:eastAsia="Times New Roman" w:hAnsi="Times New Roman"/>
          <w:b/>
          <w:bCs/>
          <w:sz w:val="24"/>
          <w:szCs w:val="24"/>
        </w:rPr>
        <w:t xml:space="preserve">Auditoría y Pruebas</w:t>
      </w:r>
    </w:p>
    <w:p>
      <w:pPr>
        <w:spacing w:after="0" w:before="0" w:line="480" w:lineRule="auto"/>
        <w:ind w:firstLine="720"/>
      </w:pPr>
      <w:r>
        <w:rPr>
          <w:rFonts w:ascii="Times New Roman" w:cs="Times New Roman" w:eastAsia="Times New Roman" w:hAnsi="Times New Roman"/>
          <w:sz w:val="24"/>
          <w:szCs w:val="24"/>
        </w:rPr>
        <w:t xml:space="preserve">Apliqué la Skill </w:t>
      </w:r>
      <w:r>
        <w:rPr>
          <w:rFonts w:ascii="Times New Roman" w:cs="Times New Roman" w:eastAsia="Times New Roman" w:hAnsi="Times New Roman"/>
          <w:i/>
          <w:iCs/>
          <w:sz w:val="24"/>
          <w:szCs w:val="24"/>
        </w:rPr>
        <w:t xml:space="preserve">auditoria-modelos</w:t>
      </w:r>
      <w:r>
        <w:rPr>
          <w:rFonts w:ascii="Times New Roman" w:cs="Times New Roman" w:eastAsia="Times New Roman" w:hAnsi="Times New Roman"/>
          <w:sz w:val="24"/>
          <w:szCs w:val="24"/>
        </w:rPr>
        <w:t xml:space="preserve"> del Módulo 4 en una sesión independiente, por </w:t>
      </w:r>
      <w:r>
        <w:rPr>
          <w:rFonts w:ascii="Times New Roman" w:cs="Times New Roman" w:eastAsia="Times New Roman" w:hAnsi="Times New Roman"/>
          <w:i/>
          <w:iCs/>
          <w:sz w:val="24"/>
          <w:szCs w:val="24"/>
        </w:rPr>
        <w:t xml:space="preserve">housing</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personal_status</w:t>
      </w:r>
      <w:r>
        <w:rPr>
          <w:rFonts w:ascii="Times New Roman" w:cs="Times New Roman" w:eastAsia="Times New Roman" w:hAnsi="Times New Roman"/>
          <w:sz w:val="24"/>
          <w:szCs w:val="24"/>
        </w:rPr>
        <w:t xml:space="preserve"> y edad. La reconstruí desde mi informe de la 4.1 (criterios V0–V6; brecha ≤ 0.05 y cociente ≥ 0.80 con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30), porque su carpeta faltaba en mi copia del repositorio. La primera pasada dio 16 PASA, 1 FALLA y 1 NO SE PUEDE DETERMINAR: faltaban la métrica por subgrupo y la validación de datos. Los corregí y precisé en la Skill dos reglas que el auditor tuvo que decidir solo; la segunda pasada dio 18 PASA. La mayor brecha en malos detectados fue 0.034 y el menor cociente 0.843 (</w:t>
      </w:r>
      <w:r>
        <w:rPr>
          <w:rFonts w:ascii="Times New Roman" w:cs="Times New Roman" w:eastAsia="Times New Roman" w:hAnsi="Times New Roman"/>
          <w:i/>
          <w:iCs/>
          <w:sz w:val="24"/>
          <w:szCs w:val="24"/>
        </w:rPr>
        <w:t xml:space="preserve">own</w:t>
      </w:r>
      <w:r>
        <w:rPr>
          <w:rFonts w:ascii="Times New Roman" w:cs="Times New Roman" w:eastAsia="Times New Roman" w:hAnsi="Times New Roman"/>
          <w:sz w:val="24"/>
          <w:szCs w:val="24"/>
        </w:rPr>
        <w:t xml:space="preserve">), que con las 20 variables habría sido 0.799 y habría fallado. Queda un riesgo que la Skill no mide: se rechazan más buenos entre menores de 25 años (0.32 frente a 0.22) y en </w:t>
      </w:r>
      <w:r>
        <w:rPr>
          <w:rFonts w:ascii="Times New Roman" w:cs="Times New Roman" w:eastAsia="Times New Roman" w:hAnsi="Times New Roman"/>
          <w:i/>
          <w:iCs/>
          <w:sz w:val="24"/>
          <w:szCs w:val="24"/>
        </w:rPr>
        <w:t xml:space="preserve">housing</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for free</w:t>
      </w:r>
      <w:r>
        <w:rPr>
          <w:rFonts w:ascii="Times New Roman" w:cs="Times New Roman" w:eastAsia="Times New Roman" w:hAnsi="Times New Roman"/>
          <w:sz w:val="24"/>
          <w:szCs w:val="24"/>
        </w:rPr>
        <w:t xml:space="preserve"> (0.38 frente a 0.21). Las pruebas de </w:t>
      </w:r>
      <w:r>
        <w:rPr>
          <w:rFonts w:ascii="Times New Roman" w:cs="Times New Roman" w:eastAsia="Times New Roman" w:hAnsi="Times New Roman"/>
          <w:i/>
          <w:iCs/>
          <w:sz w:val="24"/>
          <w:szCs w:val="24"/>
        </w:rPr>
        <w:t xml:space="preserve">pytest</w:t>
      </w:r>
      <w:r>
        <w:rPr>
          <w:rFonts w:ascii="Times New Roman" w:cs="Times New Roman" w:eastAsia="Times New Roman" w:hAnsi="Times New Roman"/>
          <w:sz w:val="24"/>
          <w:szCs w:val="24"/>
        </w:rPr>
        <w:t xml:space="preserve"> exigen superar 0.70, desviación &lt; 0.05 (±2 desviaciones = ±10 puntos), detectar al menos la mitad de los malos, codificación en el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y ninguna variable sensible: 8 PASSED y 1 XFAIL (el árbol por defecto, a propósito); con el Random Forest, la prueba de detección falla, como debe.</w:t>
      </w:r>
    </w:p>
    <w:p>
      <w:pPr>
        <w:keepNext/>
        <w:spacing w:after="0" w:before="0" w:line="480" w:lineRule="auto"/>
        <w:jc w:val="center"/>
      </w:pPr>
      <w:r>
        <w:rPr>
          <w:rFonts w:ascii="Times New Roman" w:cs="Times New Roman" w:eastAsia="Times New Roman" w:hAnsi="Times New Roman"/>
          <w:b/>
          <w:bCs/>
          <w:sz w:val="24"/>
          <w:szCs w:val="24"/>
        </w:rPr>
        <w:t xml:space="preserve">Recomendación</w:t>
      </w:r>
    </w:p>
    <w:p>
      <w:pPr>
        <w:spacing w:after="0" w:before="0" w:line="480" w:lineRule="auto"/>
        <w:ind w:firstLine="720"/>
      </w:pPr>
      <w:r>
        <w:rPr>
          <w:rFonts w:ascii="Times New Roman" w:cs="Times New Roman" w:eastAsia="Times New Roman" w:hAnsi="Times New Roman"/>
          <w:sz w:val="24"/>
          <w:szCs w:val="24"/>
        </w:rPr>
        <w:t xml:space="preserve">Llevaría a producción el </w:t>
      </w:r>
      <w:r>
        <w:rPr>
          <w:rFonts w:ascii="Times New Roman" w:cs="Times New Roman" w:eastAsia="Times New Roman" w:hAnsi="Times New Roman"/>
          <w:b/>
          <w:bCs/>
          <w:sz w:val="24"/>
          <w:szCs w:val="24"/>
        </w:rPr>
        <w:t xml:space="preserve">boosting con peso 5:1 sin variables sensibles</w:t>
      </w:r>
      <w:r>
        <w:rPr>
          <w:rFonts w:ascii="Times New Roman" w:cs="Times New Roman" w:eastAsia="Times New Roman" w:hAnsi="Times New Roman"/>
          <w:sz w:val="24"/>
          <w:szCs w:val="24"/>
        </w:rPr>
        <w:t xml:space="preserve">. El error que más me preocupa es aprobar un crédito malo, que cuesta cinco veces más que rechazar uno bueno; eso se refleja en el peso de la clase y en elegir por coste. Frente al Random Forest, el más exacto, detecta 0.64 de los malos en lugar de 0.38 y baja el coste de 989 a 706 (−29 %), a cambio de 3.3 puntos de exactitud y de rechazar 166 buenos en lugar de 54. Su costo computacional es bajo (1.5 s por cinco ajustes); su desventaja es la interpretabilidad frente al árbol afinado, descartado por ser el más caro. Lo acompañaría con la auditoría por subgrupo en cada reentrenamiento, vigilando los buenos rechazados entre los jóvenes.</w:t>
      </w:r>
    </w:p>
    <w:p>
      <w:pPr>
        <w:pageBreakBefore/>
        <w:spacing w:after="0" w:before="0" w:line="480" w:lineRule="auto"/>
        <w:jc w:val="center"/>
      </w:pPr>
      <w:r>
        <w:rPr>
          <w:rFonts w:ascii="Times New Roman" w:cs="Times New Roman" w:eastAsia="Times New Roman" w:hAnsi="Times New Roman"/>
          <w:b/>
          <w:bCs/>
          <w:sz w:val="24"/>
          <w:szCs w:val="24"/>
        </w:rPr>
        <w:t xml:space="preserve">Referencias</w:t>
      </w:r>
    </w:p>
    <w:p>
      <w:pPr>
        <w:spacing w:after="0" w:before="0" w:line="480" w:lineRule="auto"/>
        <w:ind w:left="720" w:hanging="720"/>
      </w:pPr>
      <w:r>
        <w:rPr>
          <w:rFonts w:ascii="Times New Roman" w:cs="Times New Roman" w:eastAsia="Times New Roman" w:hAnsi="Times New Roman"/>
          <w:sz w:val="24"/>
          <w:szCs w:val="24"/>
        </w:rPr>
        <w:t xml:space="preserve">Hofmann, H. (1994). </w:t>
      </w:r>
      <w:r>
        <w:rPr>
          <w:rFonts w:ascii="Times New Roman" w:cs="Times New Roman" w:eastAsia="Times New Roman" w:hAnsi="Times New Roman"/>
          <w:i/>
          <w:iCs/>
          <w:sz w:val="24"/>
          <w:szCs w:val="24"/>
        </w:rPr>
        <w:t xml:space="preserve">Statlog (German credit data)</w:t>
      </w:r>
      <w:r>
        <w:rPr>
          <w:rFonts w:ascii="Times New Roman" w:cs="Times New Roman" w:eastAsia="Times New Roman" w:hAnsi="Times New Roman"/>
          <w:sz w:val="24"/>
          <w:szCs w:val="24"/>
        </w:rPr>
        <w:t xml:space="preserve"> [Conjunto de datos]. UCI Machine Learning Repository. https://doi.org/10.24432/C5NC77</w:t>
      </w:r>
    </w:p>
    <w:p>
      <w:pPr>
        <w:spacing w:after="0" w:before="0" w:line="480" w:lineRule="auto"/>
        <w:ind w:left="720" w:hanging="720"/>
      </w:pPr>
      <w:r>
        <w:rPr>
          <w:rFonts w:ascii="Times New Roman" w:cs="Times New Roman" w:eastAsia="Times New Roman" w:hAnsi="Times New Roman"/>
          <w:sz w:val="24"/>
          <w:szCs w:val="24"/>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cs="Times New Roman" w:eastAsia="Times New Roman" w:hAnsi="Times New Roman"/>
          <w:i/>
          <w:iCs/>
          <w:sz w:val="24"/>
          <w:szCs w:val="24"/>
        </w:rPr>
        <w:t xml:space="preserve">Journal of Machine Learning Research, 12</w:t>
      </w:r>
      <w:r>
        <w:rPr>
          <w:rFonts w:ascii="Times New Roman" w:cs="Times New Roman" w:eastAsia="Times New Roman" w:hAnsi="Times New Roman"/>
          <w:sz w:val="24"/>
          <w:szCs w:val="24"/>
        </w:rPr>
        <w:t xml:space="preserve">, 2825–2830.</w:t>
      </w:r>
    </w:p>
    <w:p>
      <w:pPr>
        <w:spacing w:after="0" w:before="0" w:line="480" w:lineRule="auto"/>
        <w:ind w:left="720" w:hanging="720"/>
      </w:pPr>
      <w:r>
        <w:rPr>
          <w:rFonts w:ascii="Times New Roman" w:cs="Times New Roman" w:eastAsia="Times New Roman" w:hAnsi="Times New Roman"/>
          <w:sz w:val="24"/>
          <w:szCs w:val="24"/>
        </w:rPr>
        <w:t xml:space="preserve">Varma, S., &amp; Simon, R. (2006). Bias in error estimation when using cross-validation for model selection. </w:t>
      </w:r>
      <w:r>
        <w:rPr>
          <w:rFonts w:ascii="Times New Roman" w:cs="Times New Roman" w:eastAsia="Times New Roman" w:hAnsi="Times New Roman"/>
          <w:i/>
          <w:iCs/>
          <w:sz w:val="24"/>
          <w:szCs w:val="24"/>
        </w:rPr>
        <w:t xml:space="preserve">BMC Bioinformatics, 7</w:t>
      </w:r>
      <w:r>
        <w:rPr>
          <w:rFonts w:ascii="Times New Roman" w:cs="Times New Roman" w:eastAsia="Times New Roman" w:hAnsi="Times New Roman"/>
          <w:sz w:val="24"/>
          <w:szCs w:val="24"/>
        </w:rPr>
        <w:t xml:space="preserve">, Artículo 91. https://doi.org/10.1186/1471-2105-7-91</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d3ebec5a5f3ad9c0f29f494ecbe21a838a00de5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6.2 — Optimización y auditoría del modelo</dc:title>
  <dc:creator>Carlo E. Alicea Medina</dc:creator>
  <cp:lastModifiedBy>Un-named</cp:lastModifiedBy>
  <cp:revision>1</cp:revision>
  <dcterms:created xsi:type="dcterms:W3CDTF">2026-10-13T02:23:40.733Z</dcterms:created>
  <dcterms:modified xsi:type="dcterms:W3CDTF">2026-10-13T02:23:40.733Z</dcterms:modified>
</cp:coreProperties>
</file>

<file path=docProps/custom.xml><?xml version="1.0" encoding="utf-8"?>
<Properties xmlns="http://schemas.openxmlformats.org/officeDocument/2006/custom-properties" xmlns:vt="http://schemas.openxmlformats.org/officeDocument/2006/docPropsVTypes"/>
</file>