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jc w:val="center"/>
        <w:rPr>
          <w:color w:val="2196f3"/>
          <w:sz w:val="18"/>
          <w:szCs w:val="18"/>
        </w:rPr>
      </w:pPr>
      <w:bookmarkStart w:colFirst="0" w:colLast="0" w:name="_koqp1zr190fb" w:id="0"/>
      <w:bookmarkEnd w:id="0"/>
      <w:r w:rsidDel="00000000" w:rsidR="00000000" w:rsidRPr="00000000">
        <w:rPr>
          <w:b w:val="1"/>
          <w:color w:val="4285f4"/>
          <w:sz w:val="50"/>
          <w:szCs w:val="50"/>
        </w:rPr>
        <w:drawing>
          <wp:inline distB="114300" distT="114300" distL="114300" distR="114300">
            <wp:extent cx="1871775" cy="13666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72.0" w:type="pct"/>
        <w:tblLayout w:type="fixed"/>
        <w:tblLook w:val="0600"/>
      </w:tblPr>
      <w:tblGrid>
        <w:gridCol w:w="4860"/>
        <w:gridCol w:w="4485"/>
        <w:gridCol w:w="300"/>
        <w:tblGridChange w:id="0">
          <w:tblGrid>
            <w:gridCol w:w="4860"/>
            <w:gridCol w:w="4485"/>
            <w:gridCol w:w="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 w:rsidDel="00000000" w:rsidR="00000000" w:rsidRPr="00000000">
              <w:rPr>
                <w:color w:val="666666"/>
                <w:sz w:val="40"/>
                <w:szCs w:val="40"/>
                <w:rtl w:val="0"/>
              </w:rPr>
              <w:t xml:space="preserve">Operations &amp; Training Risk Management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ind w:right="-4425.472440944882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Carlo Halnin</w:t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Draft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Created: 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Mar 1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Updated: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Mar 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defb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widowControl w:val="0"/>
        <w:spacing w:after="240" w:before="480" w:lineRule="auto"/>
        <w:rPr>
          <w:color w:val="34a853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rPr>
          <w:color w:val="34a853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objective of this document is to outline the risks to the Plant Pals operations plan, their likelihoods, and potential risk reduction strategies.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color w:val="1976d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color w:val="34a853"/>
          <w:sz w:val="32"/>
          <w:szCs w:val="32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3 month Operations Plan aims to build and maintain a reliable plant delivery pipeline. Key deliverables include creating a delivery plan, installing equipment, and developing training. Potential risks involved are cost overruns and training delays.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ONE: Going over the project budget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Each delivery truck costs $16,000 more than initially quoted.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Avoid: select less risky truck provider.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product vendor charges a higher rate than expected.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 or control: use alternative suppliers as backup options.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product vendor loses a product shipment.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  <w:color w:val="34a853"/>
              </w:rPr>
            </w:pPr>
            <w:r w:rsidDel="00000000" w:rsidR="00000000" w:rsidRPr="00000000">
              <w:rPr>
                <w:b w:val="1"/>
                <w:color w:val="34a853"/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 or control: use multiple suppliers to reduce both impact and probability.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TWO: Falling behind the training schedule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Training Manager gets sick and misses a week of training.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Accept: add one week buffer in training in the chance the Training Manager needs time off.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cannot hire enough employees in time to train them before launch.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 or control: enlist help of staffing agencies to increase hiring capacity.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More than 50% of employees quit after a difficult training process, leaving the company short-staffed.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 or control: monitor employee morale and reduce intensity of training if problems appear.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34a853"/>
          <w:sz w:val="28"/>
          <w:szCs w:val="28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Appendix: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chart: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975"/>
        <w:gridCol w:w="4110"/>
        <w:tblGridChange w:id="0">
          <w:tblGrid>
            <w:gridCol w:w="1500"/>
            <w:gridCol w:w="3975"/>
            <w:gridCol w:w="41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Probability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Qualitative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Quantitative (if measurable)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Very low chance of risk occurring. 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Less than &lt;10%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chance of risk occurring.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10%-49% chance of risk occurring.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chance of risk occurring.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50%-100%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chart: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55"/>
        <w:gridCol w:w="2580"/>
        <w:gridCol w:w="2880"/>
        <w:tblGridChange w:id="0">
          <w:tblGrid>
            <w:gridCol w:w="1500"/>
            <w:gridCol w:w="2655"/>
            <w:gridCol w:w="2580"/>
            <w:gridCol w:w="2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 of Impact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 financial impact, 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$0-$14,000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financial impact,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$15,000-$29,000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financial impact,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$30,000 or more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Low impact to project operations, causing delays of a few days to a few weeks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 impact to project operations, 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delay project by a month or more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 impact to project operations, 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cause project failure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Low impact to employee attrition, with 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Medium impact to employee attrition, with 25%+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High impact to employee attrition, with 50%+ employees quitting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and Impact Matrix: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945"/>
        <w:gridCol w:w="2310"/>
        <w:gridCol w:w="2730"/>
        <w:gridCol w:w="2370"/>
        <w:tblGridChange w:id="0">
          <w:tblGrid>
            <w:gridCol w:w="1245"/>
            <w:gridCol w:w="945"/>
            <w:gridCol w:w="2310"/>
            <w:gridCol w:w="2730"/>
            <w:gridCol w:w="23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Inherent Risk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850.3937007874016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