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La cosa interessante è che ci sono sottoinsiemi con diversi livelli di agreement tra annotatori umani.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Può quindi fare uno studio replicando l'uso dei metodi di machine learning sui diversi sottoinsiemi per verificare l'ipotesi che la qualità dei dati di input determina la qualità delle predizioni.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IMPORTANTE!!!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20/30% da Sentences_Merge.txt test 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 resto da Sentences_66Agree.txt, Sentences_75Agree.txt ( escludere le sentences presenti in AllAgree.txt) per creare vari training_set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 siamo occupati di decidere quali dei vari dataset utilizzare per trainare il modello, validarlo e testarlo. Abbiamo in un primo momento verificato la distribuzione dei vari file, accertandoci che siano bilanciati allo stesso modo e abbiamo poi optato per il file All agree come training set (dato è il file più sicuro da utilizzare) mentre abbiamo usato le sentences rimanenti( all agree- 50 agree) per creare il nostro test set (30%) che dovrebbe essere composto da 1454 sentences.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 il validation abbiamo invece optato per le sentences di 75 agree che non figurano nel file all agree: la scelta di questo dataset è stata fatta in quanto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Training Set: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61% neutral, 13% negative e 25% positive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Validation Set: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63 neutral/ 27 positive/ 10 negative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53% neutral, 34% positive, 13% negative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set: 1393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739 neutrali, 474 positive, 180 negativi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nuovo test set: 1267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739 neutrali, 348 positivo, 180 negativi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togli 126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Finetuning simpletransforming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rimozione di feature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