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DDB" w:rsidRPr="008B2AC8" w:rsidRDefault="00700B92" w:rsidP="008B2AC8">
      <w:pPr>
        <w:pStyle w:val="PlainText"/>
        <w:rPr>
          <w:rFonts w:ascii="Courier New" w:hAnsi="Courier New" w:cs="Courier New"/>
        </w:rPr>
      </w:pPr>
      <w:r w:rsidRPr="008B2AC8">
        <w:rPr>
          <w:rFonts w:ascii="Courier New" w:hAnsi="Courier New" w:cs="Courier New"/>
        </w:rPr>
        <w:t>CCAMP Working Group                                        I. Busi (Ed.)</w:t>
      </w:r>
    </w:p>
    <w:p w:rsidR="00786DDB" w:rsidRPr="008B2AC8" w:rsidRDefault="00700B92" w:rsidP="008B2AC8">
      <w:pPr>
        <w:pStyle w:val="PlainText"/>
        <w:rPr>
          <w:rFonts w:ascii="Courier New" w:hAnsi="Courier New" w:cs="Courier New"/>
        </w:rPr>
      </w:pPr>
      <w:r w:rsidRPr="008B2AC8">
        <w:rPr>
          <w:rFonts w:ascii="Courier New" w:hAnsi="Courier New" w:cs="Courier New"/>
        </w:rPr>
        <w:t>Internet-Draft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Intended status: Informational                             D. King (Ed.)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Expires: </w:t>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Pr="008B2AC8">
        <w:rPr>
          <w:rFonts w:ascii="Courier New" w:hAnsi="Courier New" w:cs="Courier New"/>
        </w:rPr>
        <w:t>Lancaster University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r w:rsidR="003840E8">
        <w:rPr>
          <w:rFonts w:ascii="Courier New" w:hAnsi="Courier New" w:cs="Courier New"/>
        </w:rPr>
        <w:t xml:space="preserve">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Service YANG Model for Connection-oriented Transport Networks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draft-tnbidt-</w:t>
      </w:r>
      <w:r w:rsidR="003840E8">
        <w:rPr>
          <w:rFonts w:ascii="Courier New" w:hAnsi="Courier New" w:cs="Courier New"/>
        </w:rPr>
        <w:t>ccamp-transport-nbi-use-cases-0</w:t>
      </w:r>
      <w:r w:rsidR="00D1107C">
        <w:rPr>
          <w:rFonts w:ascii="Courier New" w:hAnsi="Courier New" w:cs="Courier New"/>
        </w:rPr>
        <w:t>2</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Abstract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 domains, including Optical Transport Network (OTN)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Wavelength Division Multiplexing (WDM) networks, are typically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deployed based on a single vendor or technology platforms. They are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often managed using proprietary interfaces to dedicated Element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Management Systems (EMS), Network Management Systems (NMS)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increasingly Software Defined Network (SDN) controllers.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well-defined open interface to each domain management system 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is required for network operators to facilitate control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automation and orchestrate end-to-end services across multi-domain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networks. These functions may enabled using standardized data models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(e.g. YANG), and appropriate protocol (e.g., RESTCONF).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describes the key use cases and requirements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 control and management. It reviews proposed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existing IETF transport network data models, their applicability,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highlights gaps and requirements.  </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Status of This Memo</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Internet-Draft is submitted in full conformance with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provisions of BCP 78 and BCP 79.</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Internet-Drafts are working documents of the Internet Engineering</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Task Force (IETF).  Note that other groups may also distribute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working documents as Internet-Drafts.  The list of current Internet-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Drafts is at http://datatracker.ietf.org/drafts/current/.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Internet-Drafts are draft documents valid for a maximum of six months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may be updated, replaced, or obsoleted by other documents at any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time.  It is inappropriate to use Internet-Drafts as reference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material or to cite them other than as "work in progress."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Internet-Draft will expire on August 7,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Copyright Notice</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Copyright (c) 2017 IETF Trust and the persons identified as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document authors. All rights reserved. This document is subject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to BCP 78 and the IETF Trust's Legal Provisions Relating to IETF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Documents (http://trustee.ietf.org/license-info) in effect on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date of publication of this document. Please review these documents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carefully, as they describe your rights and restrictions with respect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to this document.</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Table of Contents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1. Introduction.................................................2</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2. Conventions used in this document............................3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 Use Case 1: Single-domain with single-layer..................3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 Reference Network.......................................3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3.1.1. Single Transport Domain - OTN Network..............3</w:t>
      </w:r>
      <w:bookmarkStart w:id="0" w:name="_GoBack"/>
      <w:bookmarkEnd w:id="0"/>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3.1.2. Single Domain - ROADM Network......................3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3.2. Topology Abstractions...................................6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 Service Configuration...................................7</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3.3.1. ODU Transit........................................7</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3.3.2. EPL over ODU.......................................8</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3.3.3. Other OTN Client Services..........................8</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3.3.4. EVPL over ODU......................................9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3.3.5. EVPLAN and </w:t>
      </w:r>
      <w:proofErr w:type="spellStart"/>
      <w:r w:rsidRPr="008B2AC8">
        <w:rPr>
          <w:rFonts w:ascii="Courier New" w:hAnsi="Courier New" w:cs="Courier New"/>
        </w:rPr>
        <w:t>EVPTree</w:t>
      </w:r>
      <w:proofErr w:type="spellEnd"/>
      <w:r w:rsidRPr="008B2AC8">
        <w:rPr>
          <w:rFonts w:ascii="Courier New" w:hAnsi="Courier New" w:cs="Courier New"/>
        </w:rPr>
        <w:t xml:space="preserve"> Services........................9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3.3.6. Virtual Network Services...........................9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3.4. Multi-functional Access Links...........................9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4. Use Case 2: Single-domain with multi-layer...................9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5. Use Case 3: Multi-domain with single-layer...................9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6. Use Case 4: Multi-domain and multi-layer.....................9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7. Security Considerations......................................9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8. IANA Considerations..........................................9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 References...................................................9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9.1. Normative References....................................10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9.2. Informative References..................................10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10. Acknowledgments.............................................10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Authors' Addresses..............................................11</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1.  Introduction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common open interface to each domain controller/management system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is pre-requisite for network operators to control multi-vendor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multi-domain networks and enable also service provisioning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coordination/automation. This can be achieved by using standardized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YANG models, used together with an appropriate protocol (e.g.,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RESTCONF).</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2]</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assumes a reference architecture, including interfaces,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based on the Abstraction and Control of Traffic-Engineered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 defined in [ACTN-Frame].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focus of the current version is on the MPI (interface between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Multi Domain Service Coordinator (MDSC) and a Physical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(PNC), controlling a transport network domain).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relationship between the current IETF YANG models and the type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 interfaces can be found in [ACTN-YANG].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ONF Technical Recommendations for Functional Requirements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the transport API, may be found in [ONF TR-527].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Furthermore, ONF transport API multi-layer examples may be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found in [ONF GitHub].</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describes use cases that could be used for analyzing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applicability of the existing models defined by the IETF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Considerations about the CMI (interface between the Customer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(CNC) and the MDSC) are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2. Conventions used in this document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discussion in future revisions of this document. </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 Use Case 1: Single-domain with single-layer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3.1. Reference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current considerations discussed in this document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based on the following reference networks: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single transport domain: OTN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 is expected that future revisions of the document will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include additional reference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3.1.1. Single Transport Domain - OTN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1 shows the network physical topology composed of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single-domain transport network providing transport services to an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IP network through five access links.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3]</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IP domain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S1 -------- S2 ------ C-R4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C-R1 ------ S3 ----- S4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S5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C-R2 -----+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S6 ---- S7 ---- S8 ------ C-R5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C-R3 -----+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Transport domain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1 Reference network for Use Case 1</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IP and transport (OTN) domains are respectively composed by five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C-R1 to C-R5 and by eight ODU switches S1 to S8.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domain acts as a transit domain providing connectivity to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IP layer.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behavior of the transport domain is the same whether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ingress/egress nodes in the IP domain, supporting an IP service,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directly attached to the transport domain or there are other routers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between the ingress/egress nodes of the IP domain and the routers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directly attached to the transport network.</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4]</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CNC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|CMI I/F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MDSC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|MPI I/F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PNC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OTN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Physical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2 Controlling Hierarchy for Use Case 1</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mapping of the client IP traffic on the physical link between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the transport network is made in the IP routers only and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is not controlled by the transport PNC and is transparent to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nodes.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control plane architecture follows the ACTN architecture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framework document [ACTN-Frame]. The Client Controller act as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client with respect to the Multi-Domain Service Coordinator (MDSC)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via the Controller-MDSC Interface (CMI). The MDSC is connected to 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plurality of Physical Network Controllers (PNCs), one for each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domain, via a MDSC-PNC Interface (MPI). Each PNC is responsible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only for the control of its domain and the MDSC is the only entity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capable of multi-domain functionalities as well as of managing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inter-domain links. The key point of the whole ACTN framework is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detaching the network and service control from the underlying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technology and help the customer express the network as desired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by business needs. Therefore care must be taken to keep minimal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dependency on the CMI (or no dependency at all) with respect to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network domain technologies. The MPI instead requires some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specialization according to the domain technology.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this section, we address the case of an IP and a Transport PNC</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having respectively an IP a Transport MPI. The interface within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scope of this document is the Transport MPI while the IP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5]</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 MPI is out of its scope and considerations about the CMI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are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3.2. Topology Abstractions</w:t>
      </w:r>
    </w:p>
    <w:p w:rsidR="00786DDB" w:rsidRDefault="00786DDB" w:rsidP="008B2AC8">
      <w:pPr>
        <w:pStyle w:val="PlainText"/>
        <w:rPr>
          <w:rFonts w:ascii="Courier New" w:hAnsi="Courier New" w:cs="Courier New"/>
        </w:rPr>
      </w:pP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highlight w:val="yellow"/>
          <w:lang w:val="en-US"/>
        </w:rPr>
      </w:pPr>
      <w:r w:rsidRPr="006B5717">
        <w:rPr>
          <w:rFonts w:ascii="Courier New" w:eastAsia="Batang" w:hAnsi="Courier New" w:cs="Courier New"/>
          <w:sz w:val="21"/>
          <w:szCs w:val="21"/>
          <w:highlight w:val="yellow"/>
          <w:lang w:val="en-US"/>
        </w:rPr>
        <w:t>&lt;</w:t>
      </w:r>
      <w:r w:rsidRPr="006B5717">
        <w:rPr>
          <w:rFonts w:ascii="Courier New" w:eastAsia="Batang" w:hAnsi="Courier New" w:cs="Courier New"/>
          <w:b/>
          <w:sz w:val="21"/>
          <w:szCs w:val="21"/>
          <w:highlight w:val="yellow"/>
          <w:lang w:val="en-US"/>
        </w:rPr>
        <w:t>Young/Victor</w:t>
      </w:r>
      <w:r w:rsidRPr="006B5717">
        <w:rPr>
          <w:rFonts w:ascii="Courier New" w:eastAsia="Batang" w:hAnsi="Courier New" w:cs="Courier New"/>
          <w:sz w:val="21"/>
          <w:szCs w:val="21"/>
          <w:highlight w:val="yellow"/>
          <w:lang w:val="en-US"/>
        </w:rPr>
        <w:t>: Describe the network topology abstraction assumed at the MPI: reference the VN abstraction I-D for the definitions of white, grey and black topologies&gt;</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lang w:val="en-US"/>
        </w:rPr>
        <w:t xml:space="preserve">There could be different ways to abstract a network topology. This document assumes the abstraction defined in [RFC7926]: </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rPr>
          <w:rFonts w:ascii="Courier New" w:eastAsia="Batang" w:hAnsi="Courier New" w:cs="Courier New"/>
          <w:sz w:val="21"/>
          <w:szCs w:val="21"/>
          <w:lang w:val="en-US"/>
        </w:rPr>
      </w:pPr>
      <w:r w:rsidRPr="006B5717">
        <w:rPr>
          <w:rFonts w:ascii="Courier New" w:eastAsia="Batang" w:hAnsi="Courier New" w:cs="Courier New"/>
          <w:sz w:val="21"/>
          <w:szCs w:val="21"/>
          <w:lang w:val="en-US"/>
        </w:rP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rPr>
        <w:t xml:space="preserve">[TE-Topology] describes a YANG base model for TE topology without any </w:t>
      </w:r>
      <w:r w:rsidRPr="006B5717">
        <w:rPr>
          <w:rFonts w:ascii="Courier New" w:eastAsia="Batang" w:hAnsi="Courier New" w:cs="Courier New"/>
          <w:sz w:val="21"/>
          <w:szCs w:val="21"/>
          <w:lang w:val="en-US"/>
        </w:rPr>
        <w:t xml:space="preserve">technology specific parameters. Moreover, it defines how to abstract for TE-network topologies.  </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lang w:val="en-US"/>
        </w:rPr>
        <w:t>[ACTN-Abstraction]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[ACTN-Abstraction], there are three types of topology:</w:t>
      </w:r>
    </w:p>
    <w:p w:rsidR="00553390" w:rsidRPr="00553390" w:rsidRDefault="006B5717" w:rsidP="00553390">
      <w:pPr>
        <w:pStyle w:val="ListParagraph"/>
        <w:numPr>
          <w:ilvl w:val="0"/>
          <w:numId w:val="1"/>
        </w:numPr>
        <w:rPr>
          <w:sz w:val="21"/>
          <w:szCs w:val="21"/>
        </w:rPr>
      </w:pPr>
      <w:bookmarkStart w:id="1" w:name="_Toc463277401"/>
      <w:bookmarkStart w:id="2" w:name="_Toc464474300"/>
      <w:r w:rsidRPr="00553390">
        <w:rPr>
          <w:sz w:val="21"/>
          <w:szCs w:val="21"/>
        </w:rPr>
        <w:t>White topolo</w:t>
      </w:r>
      <w:bookmarkEnd w:id="1"/>
      <w:bookmarkEnd w:id="2"/>
      <w:r w:rsidRPr="00553390">
        <w:rPr>
          <w:sz w:val="21"/>
          <w:szCs w:val="21"/>
        </w:rPr>
        <w:t>gy: This is a case where the Physical Network Controller (PNC)</w:t>
      </w:r>
      <w:r w:rsidRPr="00553390" w:rsidDel="00A979BB">
        <w:rPr>
          <w:sz w:val="21"/>
          <w:szCs w:val="21"/>
        </w:rPr>
        <w:t xml:space="preserve"> </w:t>
      </w:r>
      <w:r w:rsidRPr="00553390">
        <w:rPr>
          <w:sz w:val="21"/>
          <w:szCs w:val="21"/>
        </w:rPr>
        <w:t>provides the actual network topology to the Multi-domain Service Coordinator (MDSC)</w:t>
      </w:r>
      <w:r w:rsidRPr="00553390" w:rsidDel="00A979BB">
        <w:rPr>
          <w:sz w:val="21"/>
          <w:szCs w:val="21"/>
        </w:rPr>
        <w:t xml:space="preserve"> </w:t>
      </w:r>
      <w:r w:rsidRPr="00553390">
        <w:rPr>
          <w:sz w:val="21"/>
          <w:szCs w:val="21"/>
        </w:rPr>
        <w:t>without any hiding or</w:t>
      </w:r>
      <w:r w:rsidR="00553390" w:rsidRPr="00553390">
        <w:rPr>
          <w:sz w:val="21"/>
          <w:szCs w:val="21"/>
        </w:rPr>
        <w:t xml:space="preserve"> filtering. In this case, the MDSC has the full knowledge of the underlying network topology. </w:t>
      </w:r>
      <w:bookmarkStart w:id="3" w:name="_Toc463277402"/>
      <w:bookmarkStart w:id="4" w:name="_Toc464474301"/>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152"/>
        <w:contextualSpacing/>
        <w:rPr>
          <w:rFonts w:ascii="Courier New" w:eastAsia="Batang" w:hAnsi="Courier New" w:cs="Courier New"/>
          <w:sz w:val="21"/>
          <w:szCs w:val="21"/>
          <w:lang w:val="en-US"/>
        </w:rPr>
      </w:pPr>
    </w:p>
    <w:p w:rsidR="00553390" w:rsidRPr="00553390" w:rsidRDefault="00553390" w:rsidP="00553390">
      <w:pPr>
        <w:numPr>
          <w:ilvl w:val="0"/>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Black topology</w:t>
      </w:r>
      <w:bookmarkEnd w:id="3"/>
      <w:bookmarkEnd w:id="4"/>
      <w:r w:rsidRPr="00553390">
        <w:rPr>
          <w:rFonts w:ascii="Courier New" w:eastAsia="Batang" w:hAnsi="Courier New" w:cs="Courier New"/>
          <w:sz w:val="21"/>
          <w:szCs w:val="21"/>
          <w:lang w:val="en-US"/>
        </w:rPr>
        <w:t>: The entire domain network is abstracted as a single virtual node with the access/egress links without disclosing any node internal connectivity information</w:t>
      </w:r>
      <w:bookmarkStart w:id="5" w:name="_Toc463277403"/>
      <w:bookmarkStart w:id="6" w:name="_Toc464474302"/>
      <w:r w:rsidRPr="00553390">
        <w:rPr>
          <w:rFonts w:ascii="Courier New" w:eastAsia="Batang" w:hAnsi="Courier New" w:cs="Courier New"/>
          <w:sz w:val="21"/>
          <w:szCs w:val="21"/>
          <w:lang w:val="en-US"/>
        </w:rPr>
        <w:t>.</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rPr>
          <w:rFonts w:ascii="Courier New" w:eastAsia="Batang" w:hAnsi="Courier New" w:cs="Courier New"/>
          <w:sz w:val="21"/>
          <w:szCs w:val="21"/>
          <w:lang w:val="en-US"/>
        </w:rPr>
      </w:pPr>
    </w:p>
    <w:p w:rsidR="00553390" w:rsidRPr="00553390" w:rsidRDefault="00553390" w:rsidP="00553390">
      <w:pPr>
        <w:numPr>
          <w:ilvl w:val="0"/>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Grey topology: </w:t>
      </w:r>
      <w:bookmarkEnd w:id="5"/>
      <w:bookmarkEnd w:id="6"/>
      <w:r w:rsidRPr="00553390">
        <w:rPr>
          <w:rFonts w:ascii="Courier New" w:eastAsia="Batang" w:hAnsi="Courier New" w:cs="Courier New"/>
          <w:sz w:val="21"/>
          <w:szCs w:val="21"/>
          <w:lang w:val="en-US"/>
        </w:rPr>
        <w:t xml:space="preserve">This abstraction level is between black topology and white topology from a granularity point of view. This is basically abstraction of TE tunnels for all pairs of border nodes. We may further differentiate from a perspective of how to abstract internal TE resources between the pairs of border nodes: </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rPr>
          <w:rFonts w:ascii="Courier New" w:eastAsia="Batang" w:hAnsi="Courier New" w:cs="Courier New"/>
          <w:sz w:val="21"/>
          <w:szCs w:val="21"/>
          <w:lang w:val="en-US"/>
        </w:rPr>
      </w:pPr>
    </w:p>
    <w:p w:rsidR="00553390" w:rsidRPr="00553390" w:rsidRDefault="00553390" w:rsidP="00553390">
      <w:pPr>
        <w:numPr>
          <w:ilvl w:val="1"/>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Grey topology type A: </w:t>
      </w:r>
      <w:r w:rsidRPr="00553390">
        <w:rPr>
          <w:rFonts w:ascii="Courier New" w:eastAsia="Batang" w:hAnsi="Courier New" w:cs="Courier New" w:hint="eastAsia"/>
          <w:sz w:val="21"/>
          <w:szCs w:val="21"/>
          <w:lang w:val="en-US"/>
        </w:rPr>
        <w:t>border nodes with a TE links between them</w:t>
      </w:r>
      <w:r w:rsidRPr="00553390">
        <w:rPr>
          <w:rFonts w:ascii="Courier New" w:eastAsia="Batang" w:hAnsi="Courier New" w:cs="Courier New"/>
          <w:sz w:val="21"/>
          <w:szCs w:val="21"/>
          <w:lang w:val="en-US"/>
        </w:rPr>
        <w:t xml:space="preserve"> in a full mesh fashion.</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872"/>
        <w:contextualSpacing/>
        <w:rPr>
          <w:rFonts w:ascii="Courier New" w:eastAsia="Batang" w:hAnsi="Courier New" w:cs="Courier New"/>
          <w:sz w:val="21"/>
          <w:szCs w:val="21"/>
          <w:lang w:val="en-US"/>
        </w:rPr>
      </w:pPr>
    </w:p>
    <w:p w:rsidR="00553390" w:rsidRDefault="00553390" w:rsidP="00553390">
      <w:pPr>
        <w:numPr>
          <w:ilvl w:val="1"/>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lastRenderedPageBreak/>
        <w:t xml:space="preserve">Grey topology type B: </w:t>
      </w:r>
      <w:r w:rsidRPr="00553390">
        <w:rPr>
          <w:rFonts w:ascii="Courier New" w:eastAsia="Batang" w:hAnsi="Courier New" w:cs="Courier New" w:hint="eastAsia"/>
          <w:sz w:val="21"/>
          <w:szCs w:val="21"/>
          <w:lang w:val="en-US"/>
        </w:rPr>
        <w:t xml:space="preserve">border nodes </w:t>
      </w:r>
      <w:r w:rsidRPr="00553390">
        <w:rPr>
          <w:rFonts w:ascii="Courier New" w:eastAsia="Batang" w:hAnsi="Courier New" w:cs="Courier New"/>
          <w:sz w:val="21"/>
          <w:szCs w:val="21"/>
          <w:lang w:val="en-US"/>
        </w:rPr>
        <w:t xml:space="preserve">with some internal abstracted nodes and abstracted links. </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in order to verify the feasibility of the estimated path before making the final provisioning request to the PNC.  </w:t>
      </w:r>
    </w:p>
    <w:p w:rsidR="006B5717" w:rsidRPr="00553390" w:rsidRDefault="00553390" w:rsidP="00553390">
      <w:pPr>
        <w:pStyle w:val="PlainText"/>
        <w:rPr>
          <w:rFonts w:ascii="Courier New" w:hAnsi="Courier New" w:cs="Courier New"/>
        </w:rPr>
      </w:pPr>
      <w:r w:rsidRPr="00553390">
        <w:rPr>
          <w:rFonts w:ascii="Courier New" w:eastAsia="Batang" w:hAnsi="Courier New" w:cs="Courier New"/>
          <w:highlight w:val="yellow"/>
          <w:lang w:val="en-US"/>
        </w:rPr>
        <w:t>Topology abstraction for the CMI is for further study (to be addressed in future revisions of this document).</w:t>
      </w:r>
    </w:p>
    <w:p w:rsidR="006B5717" w:rsidRDefault="006B5717" w:rsidP="008B2AC8">
      <w:pPr>
        <w:pStyle w:val="PlainText"/>
        <w:rPr>
          <w:rFonts w:ascii="Courier New" w:hAnsi="Courier New" w:cs="Courier New"/>
        </w:rPr>
      </w:pPr>
    </w:p>
    <w:p w:rsidR="006B5717" w:rsidRPr="008B2AC8" w:rsidRDefault="006B5717"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 Service Configuration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the following use cases, the Multi Domain Service Coordinator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(MDSC) needs to be capable to request service connectivity from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Physical Network Controller (PNC) to support IP routers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connectivity. The type of services could depend of the type of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physical links (e.g. OTN link, ETH link or SDH link) between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As described in section 3.1.1, the control of different adaptations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inside IP routers, C-Ri (PKT -&gt; foo) and C-</w:t>
      </w:r>
      <w:proofErr w:type="spellStart"/>
      <w:r w:rsidRPr="008B2AC8">
        <w:rPr>
          <w:rFonts w:ascii="Courier New" w:hAnsi="Courier New" w:cs="Courier New"/>
        </w:rPr>
        <w:t>Rj</w:t>
      </w:r>
      <w:proofErr w:type="spellEnd"/>
      <w:r w:rsidRPr="008B2AC8">
        <w:rPr>
          <w:rFonts w:ascii="Courier New" w:hAnsi="Courier New" w:cs="Courier New"/>
        </w:rPr>
        <w:t xml:space="preserve"> (foo -&gt; PKT), are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assumed to be performed by means that are not under the control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not visible to, transport PNC. Therefore, these mechanisms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outside the scope of this document.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3.3.1. ODU Transit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is an OTN link.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physical/optical interconnection is supposed to be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pre-configured and not exposed via MPI to MDSC.</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we need to instantiate an ODU2 end-to-end connection between C-R1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C-R3, crossing transport nodes S3, S5, and S6.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ODU2), S3 (ODU2), S5 (ODU2), S6 (ODU2),</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C-R3 (ODU2 -&gt;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7]</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transit service with enough information that can permit transport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PNC to instantiate and control the ODU2 segment through nodes S3,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S5, S6.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3.3.2. EPL over ODU</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is an Ethernet link.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 we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need to instantiate an EPL service between C-R1 and C-R3 supported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by an ODU2 end-to-end connection between S3 and S6, crossing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node S5.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ETH), S3 (ETH -&gt; ODU2), S5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S6 (ODU2 -&gt; ETH), C-R3 (ETH-&gt; PKT)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EPL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service with enough information that can permit transport PNC to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instantiate and control the ODU2 end-to-end connection through nodes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S3, S5, S6, as well as the adaptation functions inside S3 and S6: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S3&amp;S6 (ETH -&gt; ODU2) and S9&amp;S6 (ODU2 -&gt; ETH).</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3.3.3. Other OTN Client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[ITU-T G.709-2016] defines mappings of different client layers into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ODU. Most of them are used to provide Private Line services over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 OTN transport network supporting a variety of types of physical</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access links (e.g., Ethernet, SDH STM-N, Fibre Channel,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InfiniBand,).</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links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are any one of these possible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options.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using SDH physical links, we need to instantiate an STM-64 Private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Line service between C-R1 and C-R3 supported by an ODU2 end-to-end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connection between S3 and S6, crossing transport node S5.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STM-64), S3 (STM-64 -&gt; ODU2), S5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S6 (ODU2 -&gt; STM-64), C-R3 (STM-64 -&gt;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an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8]</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STM-64 Private Line service with enough information that can permit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PNC to instantiate and control the ODU2 end-to-end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connection through nodes S3, S5, S6, as well as the adaptation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functions inside S3 and S6: S3&amp;S6 (STM-64 -&gt; ODU2) and S9&amp;S3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(STM-64 -&gt;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3.3.4. EVPL over ODU</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3.3.5. EVPLAN and </w:t>
      </w:r>
      <w:proofErr w:type="spellStart"/>
      <w:r w:rsidRPr="008B2AC8">
        <w:rPr>
          <w:rFonts w:ascii="Courier New" w:hAnsi="Courier New" w:cs="Courier New"/>
        </w:rPr>
        <w:t>EVPTree</w:t>
      </w:r>
      <w:proofErr w:type="spellEnd"/>
      <w:r w:rsidRPr="008B2AC8">
        <w:rPr>
          <w:rFonts w:ascii="Courier New" w:hAnsi="Courier New" w:cs="Courier New"/>
        </w:rPr>
        <w:t xml:space="preserve">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3.3.6. Virtual Network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3.4. Multi-functional Access Links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4. Use Case 2: Single-domain with multi-layer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5. Use Case 3: Multi-domain with single-layer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6. Use Case 4: Multi-domain and multi-layer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7. Security Considerations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8. IANA Considerations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requires no IANA actions.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9. References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9]</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9.1. Normative References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[RFC7926] Farrel, A. et al., "Problem Statement and Architecture for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Information Exchange between Interconnected Traffic-Engineered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Networks", BCP 206, RFC 7926, July 2016.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[ITU-T G.709-2016] ITU-T Recommendation G.709 (06/16), "Interfaces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the optical transport network", June 2016.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[ACTN-Frame] Ceccarelli, D., Lee, Y. et al., "Framework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Abstraction and Control of Transport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draft-ietf-teas-actn-framework,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[ACTN-Abstraction] Lee, Y. et al., " Abstraction and Control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 Networks (ACTN) Abstraction Methods",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draft-lee-teas-actn-abstraction, work in progress.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9.2. Informative References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w:t>
      </w:r>
      <w:proofErr w:type="spellStart"/>
      <w:r w:rsidRPr="008B2AC8">
        <w:rPr>
          <w:rFonts w:ascii="Courier New" w:hAnsi="Courier New" w:cs="Courier New"/>
        </w:rPr>
        <w:t>Topo</w:t>
      </w:r>
      <w:proofErr w:type="spellEnd"/>
      <w:r w:rsidRPr="008B2AC8">
        <w:rPr>
          <w:rFonts w:ascii="Courier New" w:hAnsi="Courier New" w:cs="Courier New"/>
        </w:rPr>
        <w:t>] Liu, X. et al., "YANG Data Model for TE Topologies",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draft-ietf-teas-yang-te-</w:t>
      </w:r>
      <w:proofErr w:type="spellStart"/>
      <w:r w:rsidRPr="008B2AC8">
        <w:rPr>
          <w:rFonts w:ascii="Courier New" w:hAnsi="Courier New" w:cs="Courier New"/>
        </w:rPr>
        <w:t>topo</w:t>
      </w:r>
      <w:proofErr w:type="spellEnd"/>
      <w:r w:rsidRPr="008B2AC8">
        <w:rPr>
          <w:rFonts w:ascii="Courier New" w:hAnsi="Courier New" w:cs="Courier New"/>
        </w:rPr>
        <w:t>,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[ACTN-YANG] Zhang, X. et al., "Applicability of YANG models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Abstraction and Control of Traffic Engineered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draft-zhang-teas-actn-yang,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[Path-Compute] Busi, I., Belotti, S. et al., " Yang model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requesting Path Computation", draft-</w:t>
      </w:r>
      <w:proofErr w:type="spellStart"/>
      <w:r w:rsidRPr="008B2AC8">
        <w:rPr>
          <w:rFonts w:ascii="Courier New" w:hAnsi="Courier New" w:cs="Courier New"/>
        </w:rPr>
        <w:t>busibel</w:t>
      </w:r>
      <w:proofErr w:type="spellEnd"/>
      <w:r w:rsidRPr="008B2AC8">
        <w:rPr>
          <w:rFonts w:ascii="Courier New" w:hAnsi="Courier New" w:cs="Courier New"/>
        </w:rPr>
        <w:t>-teas-yang-path-</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computation,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[ONF TR-527] ONF Technical Recommendation TR-527, "Functional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Requirements for Transport API", June 2016</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[ONF GitHub] ONF Open Transport (SNOWMASS)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https://github.com/OpenNetworkingFoundation/Snowmass-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roofErr w:type="spellStart"/>
      <w:r w:rsidRPr="008B2AC8">
        <w:rPr>
          <w:rFonts w:ascii="Courier New" w:hAnsi="Courier New" w:cs="Courier New"/>
        </w:rPr>
        <w:t>ONFOpenTransport</w:t>
      </w:r>
      <w:proofErr w:type="spellEnd"/>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10. Acknowledgments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authors would like to thank all members of the Transport NBI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Design Team involved in the definition of use cases, gap analysis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guidelines for using the IETF YANG models at the Northbound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Interface (NBI) of a Transport SDN Controller.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authors would like to thank Xian Zhang, Anurag Sharma, Michael</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Scharf, Karthik Sethuraman, Oscar Gonzalez de Dios, Tara Cummings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Hans </w:t>
      </w:r>
      <w:proofErr w:type="spellStart"/>
      <w:r w:rsidRPr="008B2AC8">
        <w:rPr>
          <w:rFonts w:ascii="Courier New" w:hAnsi="Courier New" w:cs="Courier New"/>
        </w:rPr>
        <w:t>Bjursrom</w:t>
      </w:r>
      <w:proofErr w:type="spellEnd"/>
      <w:r w:rsidRPr="008B2AC8">
        <w:rPr>
          <w:rFonts w:ascii="Courier New" w:hAnsi="Courier New" w:cs="Courier New"/>
        </w:rPr>
        <w:t xml:space="preserve">, for having initiated work on gap analysis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NBI and having provided foundations work for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development of this document.</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10]</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Authors' Addresses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Italo Busi (Editor)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italo.busi@huawei.com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Daniel King (Editor)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Lancaster University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d.king@lancaster.ac.uk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Sergio Belotti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Nokia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sergio.belotti@nokia.com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Gianmarco Bruno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Ericsson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gianmarco.bruno@ericsson.com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Young Lee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leeyoung@huawei.com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Victor Lopez</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Telefonica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victor.lopezalvarez@telefonica.com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Carlo Perocchio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Ericsson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carlo.perocchio@ericsson.com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Haomian Zheng</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zhenghaomian@huawei.com</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11]</w:t>
      </w:r>
    </w:p>
    <w:p w:rsidR="00700B92"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sectPr w:rsidR="00700B92" w:rsidRPr="008B2AC8" w:rsidSect="008B2AC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F3"/>
    <w:rsid w:val="0007736D"/>
    <w:rsid w:val="003840E8"/>
    <w:rsid w:val="00553390"/>
    <w:rsid w:val="006B5717"/>
    <w:rsid w:val="00700B92"/>
    <w:rsid w:val="00786DDB"/>
    <w:rsid w:val="008B2AC8"/>
    <w:rsid w:val="00D1107C"/>
    <w:rsid w:val="00F43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268"/>
  <w15:chartTrackingRefBased/>
  <w15:docId w15:val="{ED94A1F6-9CD3-4DDD-9B1A-809C1AEF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2A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2AC8"/>
    <w:rPr>
      <w:rFonts w:ascii="Consolas" w:hAnsi="Consolas"/>
      <w:sz w:val="21"/>
      <w:szCs w:val="21"/>
    </w:rPr>
  </w:style>
  <w:style w:type="paragraph" w:styleId="ListParagraph">
    <w:name w:val="List Paragraph"/>
    <w:basedOn w:val="Normal"/>
    <w:uiPriority w:val="34"/>
    <w:qFormat/>
    <w:rsid w:val="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pPr>
    <w:rPr>
      <w:rFonts w:ascii="Courier New" w:eastAsia="Batang" w:hAnsi="Courier New" w:cs="Courier New"/>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King</dc:creator>
  <cp:keywords/>
  <dc:description/>
  <cp:lastModifiedBy>King, Daniel</cp:lastModifiedBy>
  <cp:revision>6</cp:revision>
  <dcterms:created xsi:type="dcterms:W3CDTF">2017-02-21T15:29:00Z</dcterms:created>
  <dcterms:modified xsi:type="dcterms:W3CDTF">2017-05-29T15:17:00Z</dcterms:modified>
</cp:coreProperties>
</file>