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CE" w:rsidRPr="00DD49FF" w:rsidRDefault="00DD49FF" w:rsidP="00DD49FF">
      <w:pPr>
        <w:pStyle w:val="Heading1"/>
      </w:pPr>
      <w:r w:rsidRPr="00DD49FF">
        <w:t>T</w:t>
      </w:r>
      <w:r w:rsidR="004F66CE" w:rsidRPr="00DD49FF">
        <w:t>ransport NBI DT</w:t>
      </w:r>
      <w:r w:rsidRPr="00DD49FF">
        <w:t xml:space="preserve"> Meeting</w:t>
      </w:r>
      <w:r w:rsidR="004F66CE" w:rsidRPr="00DD49FF">
        <w:t xml:space="preserve"> - 26 April 2017</w:t>
      </w:r>
    </w:p>
    <w:p w:rsidR="004F66CE" w:rsidRPr="00DD49FF" w:rsidRDefault="004F66CE" w:rsidP="00DD49FF">
      <w:pPr>
        <w:pStyle w:val="Heading2"/>
      </w:pPr>
      <w:r w:rsidRPr="00DD49FF">
        <w:t>Participants</w:t>
      </w:r>
    </w:p>
    <w:p w:rsidR="00DD49FF" w:rsidRDefault="004F66CE" w:rsidP="00DD49FF">
      <w:pPr>
        <w:widowControl/>
        <w:numPr>
          <w:ilvl w:val="0"/>
          <w:numId w:val="6"/>
        </w:numPr>
        <w:rPr>
          <w:lang w:val="it-IT"/>
        </w:rPr>
      </w:pPr>
      <w:r w:rsidRPr="00DD49FF">
        <w:rPr>
          <w:lang w:val="it-IT"/>
        </w:rPr>
        <w:t>Italo Busi</w:t>
      </w:r>
    </w:p>
    <w:p w:rsidR="00DD49FF" w:rsidRDefault="004F66CE" w:rsidP="00DD49FF">
      <w:pPr>
        <w:widowControl/>
        <w:numPr>
          <w:ilvl w:val="0"/>
          <w:numId w:val="6"/>
        </w:numPr>
        <w:rPr>
          <w:lang w:val="it-IT"/>
        </w:rPr>
      </w:pPr>
      <w:r w:rsidRPr="00DD49FF">
        <w:rPr>
          <w:lang w:val="it-IT"/>
        </w:rPr>
        <w:t>Ser</w:t>
      </w:r>
      <w:r w:rsidR="00DD49FF">
        <w:rPr>
          <w:lang w:val="it-IT"/>
        </w:rPr>
        <w:t>gio Belotti</w:t>
      </w:r>
    </w:p>
    <w:p w:rsidR="00DD49FF" w:rsidRDefault="00DD49FF" w:rsidP="00DD49FF">
      <w:pPr>
        <w:widowControl/>
        <w:numPr>
          <w:ilvl w:val="0"/>
          <w:numId w:val="6"/>
        </w:numPr>
        <w:rPr>
          <w:lang w:val="it-IT"/>
        </w:rPr>
      </w:pPr>
      <w:r>
        <w:rPr>
          <w:lang w:val="it-IT"/>
        </w:rPr>
        <w:t>Carlo Perrocchio</w:t>
      </w:r>
    </w:p>
    <w:p w:rsidR="00DD49FF" w:rsidRDefault="004F66CE" w:rsidP="00DD49FF">
      <w:pPr>
        <w:widowControl/>
        <w:numPr>
          <w:ilvl w:val="0"/>
          <w:numId w:val="6"/>
        </w:numPr>
        <w:rPr>
          <w:lang w:val="it-IT"/>
        </w:rPr>
      </w:pPr>
      <w:r w:rsidRPr="00DD49FF">
        <w:rPr>
          <w:lang w:val="it-IT"/>
        </w:rPr>
        <w:t>Gianmarco Bruno</w:t>
      </w:r>
    </w:p>
    <w:p w:rsidR="00DD49FF" w:rsidRDefault="004F66CE" w:rsidP="00DD49FF">
      <w:pPr>
        <w:widowControl/>
        <w:numPr>
          <w:ilvl w:val="0"/>
          <w:numId w:val="6"/>
        </w:numPr>
        <w:rPr>
          <w:lang w:val="it-IT"/>
        </w:rPr>
      </w:pPr>
      <w:r w:rsidRPr="00DD49FF">
        <w:rPr>
          <w:lang w:val="it-IT"/>
        </w:rPr>
        <w:t>Luis Miguel</w:t>
      </w:r>
    </w:p>
    <w:p w:rsidR="004F66CE" w:rsidRPr="00DD49FF" w:rsidRDefault="004F66CE" w:rsidP="00DD49FF">
      <w:pPr>
        <w:widowControl/>
        <w:numPr>
          <w:ilvl w:val="0"/>
          <w:numId w:val="6"/>
        </w:numPr>
        <w:rPr>
          <w:lang w:val="it-IT"/>
        </w:rPr>
      </w:pPr>
      <w:r w:rsidRPr="00DD49FF">
        <w:rPr>
          <w:lang w:val="it-IT"/>
        </w:rPr>
        <w:t>Yuji Tochio</w:t>
      </w:r>
    </w:p>
    <w:p w:rsidR="004F66CE" w:rsidRPr="004F66CE" w:rsidRDefault="004F66CE" w:rsidP="004F66CE">
      <w:pPr>
        <w:pStyle w:val="Heading2"/>
        <w:rPr>
          <w:lang w:val="en-US"/>
        </w:rPr>
      </w:pPr>
      <w:r w:rsidRPr="004F66CE">
        <w:rPr>
          <w:lang w:val="en-US"/>
        </w:rPr>
        <w:t>Agenda</w:t>
      </w:r>
    </w:p>
    <w:p w:rsidR="004F66CE" w:rsidRDefault="004F66CE" w:rsidP="004F66CE">
      <w:pPr>
        <w:numPr>
          <w:ilvl w:val="0"/>
          <w:numId w:val="11"/>
        </w:numPr>
      </w:pPr>
      <w:r w:rsidRPr="004F66CE">
        <w:t>Tool for analysis description (JSON editor)</w:t>
      </w:r>
    </w:p>
    <w:p w:rsidR="004F66CE" w:rsidRDefault="004F66CE" w:rsidP="004F66CE">
      <w:pPr>
        <w:numPr>
          <w:ilvl w:val="0"/>
          <w:numId w:val="11"/>
        </w:numPr>
      </w:pPr>
      <w:r w:rsidRPr="004F66CE">
        <w:t>Analysis of use case 1</w:t>
      </w:r>
    </w:p>
    <w:p w:rsidR="004F66CE" w:rsidRDefault="004F66CE" w:rsidP="004F66CE">
      <w:pPr>
        <w:numPr>
          <w:ilvl w:val="0"/>
          <w:numId w:val="11"/>
        </w:numPr>
        <w:rPr>
          <w:i/>
        </w:rPr>
      </w:pPr>
      <w:r w:rsidRPr="004F66CE">
        <w:rPr>
          <w:i/>
        </w:rPr>
        <w:t>Current status of inter-SDO discussions</w:t>
      </w:r>
    </w:p>
    <w:p w:rsidR="004F66CE" w:rsidRDefault="004F66CE" w:rsidP="004F66CE">
      <w:pPr>
        <w:numPr>
          <w:ilvl w:val="0"/>
          <w:numId w:val="11"/>
        </w:numPr>
        <w:rPr>
          <w:i/>
        </w:rPr>
      </w:pPr>
      <w:r w:rsidRPr="004F66CE">
        <w:rPr>
          <w:i/>
        </w:rPr>
        <w:t>Plan for the next steps</w:t>
      </w:r>
    </w:p>
    <w:p w:rsidR="004F66CE" w:rsidRPr="004F66CE" w:rsidRDefault="004F66CE" w:rsidP="004F66CE">
      <w:pPr>
        <w:numPr>
          <w:ilvl w:val="0"/>
          <w:numId w:val="11"/>
        </w:numPr>
        <w:rPr>
          <w:i/>
        </w:rPr>
      </w:pPr>
      <w:r>
        <w:rPr>
          <w:i/>
        </w:rPr>
        <w:t>AOB</w:t>
      </w:r>
    </w:p>
    <w:p w:rsidR="004F66CE" w:rsidRPr="004F66CE" w:rsidRDefault="004F66CE" w:rsidP="004F66CE"/>
    <w:p w:rsidR="004F66CE" w:rsidRPr="004F66CE" w:rsidRDefault="004F66CE" w:rsidP="004F66CE">
      <w:pPr>
        <w:pStyle w:val="Heading3"/>
      </w:pPr>
      <w:r w:rsidRPr="004F66CE">
        <w:t>1) Tool for analysis description (JSON editor)</w:t>
      </w:r>
    </w:p>
    <w:p w:rsidR="00DD49FF" w:rsidRDefault="004F66CE" w:rsidP="004F66CE">
      <w:r>
        <w:t>Proposed tool to write example using JSON on-line editor:</w:t>
      </w:r>
    </w:p>
    <w:p w:rsidR="00DD49FF" w:rsidRDefault="00DD49FF">
      <w:pPr>
        <w:widowControl/>
      </w:pPr>
      <w:hyperlink r:id="rId7" w:history="1">
        <w:r w:rsidRPr="00005199">
          <w:rPr>
            <w:rStyle w:val="Hyperlink"/>
            <w:rFonts w:cs="Liberation Serif"/>
          </w:rPr>
          <w:t>http://www.jsoneditoronline.org/</w:t>
        </w:r>
      </w:hyperlink>
    </w:p>
    <w:p w:rsidR="004F66CE" w:rsidRDefault="004F66CE">
      <w:pPr>
        <w:widowControl/>
      </w:pPr>
    </w:p>
    <w:p w:rsidR="004F66CE" w:rsidRDefault="004F66CE">
      <w:pPr>
        <w:widowControl/>
      </w:pPr>
      <w:r>
        <w:t>Thanks to Ricard for the suggestion</w:t>
      </w:r>
    </w:p>
    <w:p w:rsidR="004F66CE" w:rsidRDefault="004F66CE">
      <w:pPr>
        <w:widowControl/>
      </w:pPr>
    </w:p>
    <w:p w:rsidR="004F66CE" w:rsidRDefault="004F66CE">
      <w:pPr>
        <w:widowControl/>
      </w:pPr>
      <w:r>
        <w:t>There was general support among call participants to the proposal to use this tool for developing analysis/examples.</w:t>
      </w:r>
    </w:p>
    <w:p w:rsidR="004F66CE" w:rsidRDefault="004F66CE">
      <w:pPr>
        <w:widowControl/>
        <w:rPr>
          <w:b/>
          <w:bCs/>
        </w:rPr>
      </w:pPr>
    </w:p>
    <w:p w:rsidR="004F66CE" w:rsidRDefault="004F66CE">
      <w:pPr>
        <w:widowControl/>
        <w:rPr>
          <w:b/>
          <w:bCs/>
        </w:rPr>
      </w:pPr>
      <w:r>
        <w:rPr>
          <w:b/>
          <w:bCs/>
        </w:rPr>
        <w:t>Action (Italo) - Check with the DT mailing list that there is support among all DT members</w:t>
      </w:r>
    </w:p>
    <w:p w:rsidR="004F66CE" w:rsidRDefault="004F66CE">
      <w:pPr>
        <w:widowControl/>
      </w:pPr>
    </w:p>
    <w:p w:rsidR="004F66CE" w:rsidRDefault="004F66CE">
      <w:pPr>
        <w:widowControl/>
      </w:pPr>
      <w:r>
        <w:t>Carlo/Gianmarco put question about the possibility to uese XML (what is used in Restconf) instead of Json as proposed in the tool.</w:t>
      </w:r>
    </w:p>
    <w:p w:rsidR="004F66CE" w:rsidRDefault="004F66CE">
      <w:pPr>
        <w:widowControl/>
      </w:pPr>
    </w:p>
    <w:p w:rsidR="004F66CE" w:rsidRDefault="004F66CE">
      <w:pPr>
        <w:widowControl/>
      </w:pPr>
      <w:r>
        <w:t>Need to verify the compliance of the JSON code with the Yang tree idefinition. We may need to look for another toool for validator.</w:t>
      </w:r>
    </w:p>
    <w:p w:rsidR="004F66CE" w:rsidRDefault="004F66CE">
      <w:pPr>
        <w:widowControl/>
        <w:rPr>
          <w:b/>
          <w:bCs/>
        </w:rPr>
      </w:pPr>
    </w:p>
    <w:p w:rsidR="004F66CE" w:rsidRDefault="004F66CE">
      <w:pPr>
        <w:widowControl/>
        <w:rPr>
          <w:b/>
          <w:bCs/>
        </w:rPr>
      </w:pPr>
      <w:r>
        <w:rPr>
          <w:b/>
          <w:bCs/>
        </w:rPr>
        <w:t>Action (Carlo/Gianmarco) - Check if there are tools for validation of the JSON code</w:t>
      </w:r>
    </w:p>
    <w:p w:rsidR="004F66CE" w:rsidRDefault="004F66CE">
      <w:pPr>
        <w:widowControl/>
      </w:pPr>
    </w:p>
    <w:p w:rsidR="004F66CE" w:rsidRDefault="004F66CE">
      <w:pPr>
        <w:widowControl/>
      </w:pPr>
      <w:r>
        <w:t>Question about whether the examples should be completed or just providing a snapshot of whole code.</w:t>
      </w:r>
    </w:p>
    <w:p w:rsidR="004F66CE" w:rsidRDefault="004F66CE">
      <w:pPr>
        <w:widowControl/>
      </w:pPr>
    </w:p>
    <w:p w:rsidR="004F66CE" w:rsidRDefault="004F66CE">
      <w:pPr>
        <w:widowControl/>
      </w:pPr>
      <w:r>
        <w:t>We can develop a complete JSON example with the editor but may insert only a snapshot in the Internet-Draft.</w:t>
      </w:r>
    </w:p>
    <w:p w:rsidR="004F66CE" w:rsidRDefault="004F66CE">
      <w:pPr>
        <w:widowControl/>
      </w:pPr>
    </w:p>
    <w:p w:rsidR="004F66CE" w:rsidRDefault="004F66CE">
      <w:pPr>
        <w:widowControl/>
      </w:pPr>
      <w:r>
        <w:t>The important point is to have an example that is self-explining the part of use case we want to show . So, the example could be "partial" prodided that is exhaustive in the context of use cases.</w:t>
      </w:r>
    </w:p>
    <w:p w:rsidR="004F66CE" w:rsidRDefault="004F66CE">
      <w:pPr>
        <w:widowControl/>
      </w:pPr>
    </w:p>
    <w:p w:rsidR="004F66CE" w:rsidRDefault="004F66CE">
      <w:pPr>
        <w:widowControl/>
      </w:pPr>
      <w:r>
        <w:t>In any case, it would be worthwhile proceeding in parallel steps, not waiting for a complete example to be ready before starting to work on other examples.</w:t>
      </w:r>
    </w:p>
    <w:p w:rsidR="004F66CE" w:rsidRDefault="004F66CE">
      <w:pPr>
        <w:widowControl/>
        <w:rPr>
          <w:b/>
          <w:bCs/>
        </w:rPr>
      </w:pPr>
      <w:r>
        <w:rPr>
          <w:b/>
          <w:bCs/>
        </w:rPr>
        <w:t>Action (Italo) - Check with Ricard the possible use of the whole JSON code</w:t>
      </w:r>
    </w:p>
    <w:p w:rsidR="004F66CE" w:rsidRDefault="004F66CE" w:rsidP="004F66CE">
      <w:pPr>
        <w:pStyle w:val="Heading3"/>
      </w:pPr>
      <w:r>
        <w:t>2) Analysis of use case 1</w:t>
      </w:r>
    </w:p>
    <w:p w:rsidR="00DD49FF" w:rsidRDefault="004F66CE">
      <w:pPr>
        <w:widowControl/>
      </w:pPr>
      <w:r>
        <w:t>Updated contribution available on Github:</w:t>
      </w:r>
    </w:p>
    <w:p w:rsidR="00DD49FF" w:rsidRDefault="00DD49FF">
      <w:pPr>
        <w:widowControl/>
      </w:pPr>
      <w:hyperlink r:id="rId8" w:history="1">
        <w:r w:rsidRPr="00005199">
          <w:rPr>
            <w:rStyle w:val="Hyperlink"/>
            <w:rFonts w:cs="Liberation Serif"/>
          </w:rPr>
          <w:t>https://github.com/danielkinguk/transport-nbi/blob/master/Meetings/2017-04-26/tnbi-analysis-uc%231-190417.pptx</w:t>
        </w:r>
      </w:hyperlink>
    </w:p>
    <w:p w:rsidR="004F66CE" w:rsidRDefault="004F66CE" w:rsidP="00DD49FF">
      <w:pPr>
        <w:widowControl/>
        <w:rPr>
          <w:u w:val="single"/>
        </w:rPr>
      </w:pPr>
    </w:p>
    <w:p w:rsidR="004F66CE" w:rsidRDefault="004F66CE" w:rsidP="00DD49FF">
      <w:pPr>
        <w:widowControl/>
        <w:rPr>
          <w:u w:val="single"/>
        </w:rPr>
      </w:pPr>
      <w:r>
        <w:rPr>
          <w:u w:val="single"/>
        </w:rPr>
        <w:t>Slide 7: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For some people, the Tunnel model can be used to request Connectivity Services (at the CMI).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Question received offline about how to know if a Tunnel end-point is available or not available.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Normally in the context of service management, there is some information about whether the service point is available or not available.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Italo: not clear when and why a service point is considered "not available". One or few examples may be useful.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Carlo: if it is related with physical issues/constraints, they should be represented in an abstract manner at the MPI. </w:t>
      </w:r>
      <w:r>
        <w:br/>
        <w:t>Otherwise they should be dealt with not at the MPI but above.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The question is more related to the CMI rather than the MPI since we have to provide proper information to the customer.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The question is whether the MDSC needs, or not, information from the PNC to provide proper information at the CMI.</w:t>
      </w:r>
    </w:p>
    <w:p w:rsidR="004F66CE" w:rsidRDefault="004F66CE" w:rsidP="00DD49FF">
      <w:pPr>
        <w:widowControl/>
        <w:rPr>
          <w:b/>
          <w:bCs/>
        </w:rPr>
      </w:pPr>
    </w:p>
    <w:p w:rsidR="004F66CE" w:rsidRDefault="004F66CE" w:rsidP="00DD49FF">
      <w:pPr>
        <w:widowControl/>
        <w:rPr>
          <w:b/>
          <w:bCs/>
        </w:rPr>
      </w:pPr>
      <w:r>
        <w:rPr>
          <w:b/>
          <w:bCs/>
        </w:rPr>
        <w:t>Action (Sergio) - provide more detailed information about this question. For example, when the service point is not considered available?</w:t>
      </w:r>
    </w:p>
    <w:p w:rsidR="004F66CE" w:rsidRDefault="004F66CE" w:rsidP="00DD49FF">
      <w:pPr>
        <w:widowControl/>
        <w:rPr>
          <w:u w:val="single"/>
        </w:rPr>
      </w:pPr>
    </w:p>
    <w:p w:rsidR="004F66CE" w:rsidRDefault="00DD49FF" w:rsidP="00DD49FF">
      <w:pPr>
        <w:widowControl/>
        <w:rPr>
          <w:u w:val="single"/>
        </w:rPr>
      </w:pPr>
      <w:r>
        <w:rPr>
          <w:u w:val="single"/>
        </w:rPr>
        <w:t>Sli</w:t>
      </w:r>
      <w:r w:rsidR="004F66CE">
        <w:rPr>
          <w:u w:val="single"/>
        </w:rPr>
        <w:t>de 7: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From offline discussions, it seems that the assumption described in this slide on how to setup Tunnel segment is still under discussion among the authors of the TE Tunnel model.</w:t>
      </w:r>
    </w:p>
    <w:p w:rsidR="004F66CE" w:rsidRDefault="004F66CE" w:rsidP="00DD49FF">
      <w:pPr>
        <w:widowControl/>
        <w:rPr>
          <w:u w:val="single"/>
        </w:rPr>
      </w:pPr>
    </w:p>
    <w:p w:rsidR="004F66CE" w:rsidRDefault="004F66CE" w:rsidP="00DD49FF">
      <w:pPr>
        <w:widowControl/>
        <w:rPr>
          <w:u w:val="single"/>
        </w:rPr>
      </w:pPr>
      <w:r>
        <w:rPr>
          <w:u w:val="single"/>
        </w:rPr>
        <w:t>Slide 14: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From offline discussion, TE Tunnel and TE Topology models authors confirm our understanding that:</w:t>
      </w:r>
    </w:p>
    <w:p w:rsidR="004F66CE" w:rsidRDefault="004F66CE" w:rsidP="004F66CE">
      <w:pPr>
        <w:widowControl/>
        <w:numPr>
          <w:ilvl w:val="0"/>
          <w:numId w:val="12"/>
        </w:numPr>
      </w:pPr>
      <w:r>
        <w:t>The router id can be the te-node-id in the teas-topology</w:t>
      </w:r>
    </w:p>
    <w:p w:rsidR="004F66CE" w:rsidRDefault="004F66CE" w:rsidP="004F66CE">
      <w:pPr>
        <w:widowControl/>
        <w:numPr>
          <w:ilvl w:val="0"/>
          <w:numId w:val="12"/>
        </w:numPr>
      </w:pPr>
      <w:r>
        <w:t>The interface-id can be the te-tp-id in the teas-topology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Some clarification text will be added in the description of these attributes in the next version of the models.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  <w:rPr>
          <w:b/>
          <w:bCs/>
        </w:rPr>
      </w:pPr>
      <w:r>
        <w:rPr>
          <w:b/>
          <w:bCs/>
        </w:rPr>
        <w:t>Open Issue can be considered closed.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The slide has been updated based on the current working assumptions.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The slide has been updated with the attributes needed to qualify the ODU2 Tunnel as bidirectional co-routed.</w:t>
      </w:r>
    </w:p>
    <w:p w:rsidR="004F66CE" w:rsidRDefault="004F66CE" w:rsidP="00DD49FF">
      <w:pPr>
        <w:widowControl/>
        <w:rPr>
          <w:b/>
          <w:bCs/>
        </w:rPr>
      </w:pPr>
    </w:p>
    <w:p w:rsidR="004F66CE" w:rsidRDefault="004F66CE" w:rsidP="00DD49FF">
      <w:pPr>
        <w:widowControl/>
        <w:rPr>
          <w:b/>
          <w:bCs/>
        </w:rPr>
      </w:pPr>
      <w:r>
        <w:rPr>
          <w:b/>
          <w:bCs/>
        </w:rPr>
        <w:t>Action (Italo) - Prepare a mail for the TEAS WG requesting feedbacks for our assumption on how bidirectional co-routed Tunnels are configured.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It is not clear how the state of named-explicit-paths and the lsp-record-route-subobjects are used to report the path of the ODU2 Tunnel.</w:t>
      </w:r>
    </w:p>
    <w:p w:rsidR="004F66CE" w:rsidRDefault="004F66CE" w:rsidP="00DD49FF">
      <w:pPr>
        <w:widowControl/>
        <w:rPr>
          <w:b/>
          <w:bCs/>
        </w:rPr>
      </w:pPr>
    </w:p>
    <w:p w:rsidR="004F66CE" w:rsidRDefault="004F66CE" w:rsidP="00DD49FF">
      <w:pPr>
        <w:widowControl/>
        <w:rPr>
          <w:b/>
          <w:bCs/>
        </w:rPr>
      </w:pPr>
      <w:r>
        <w:rPr>
          <w:b/>
          <w:bCs/>
        </w:rPr>
        <w:t>Action (Italo) - Prepare a mail for the TEAS WG requestion further clarification about the use of the state of named-explicit-paths and the lsp-record-route-subobjects.</w:t>
      </w:r>
    </w:p>
    <w:p w:rsidR="004F66CE" w:rsidRDefault="004F66CE" w:rsidP="00DD49FF">
      <w:pPr>
        <w:widowControl/>
        <w:rPr>
          <w:u w:val="single"/>
        </w:rPr>
      </w:pPr>
    </w:p>
    <w:p w:rsidR="004F66CE" w:rsidRDefault="004F66CE" w:rsidP="00DD49FF">
      <w:pPr>
        <w:widowControl/>
        <w:rPr>
          <w:u w:val="single"/>
        </w:rPr>
      </w:pPr>
      <w:r>
        <w:rPr>
          <w:u w:val="single"/>
        </w:rPr>
        <w:t>Slide 15: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There is no need to disinguish incoming-ero and outgoing-ero elements from route-include-ero elements. This slide has been removed.</w:t>
      </w:r>
    </w:p>
    <w:p w:rsidR="004F66CE" w:rsidRDefault="004F66CE" w:rsidP="00DD49FF">
      <w:pPr>
        <w:widowControl/>
        <w:rPr>
          <w:u w:val="single"/>
        </w:rPr>
      </w:pPr>
    </w:p>
    <w:p w:rsidR="004F66CE" w:rsidRDefault="004F66CE" w:rsidP="00DD49FF">
      <w:pPr>
        <w:widowControl/>
        <w:rPr>
          <w:u w:val="single"/>
        </w:rPr>
      </w:pPr>
      <w:r>
        <w:rPr>
          <w:u w:val="single"/>
        </w:rPr>
        <w:t>Slide 17:</w:t>
      </w:r>
    </w:p>
    <w:p w:rsidR="004F66CE" w:rsidRDefault="004F66CE" w:rsidP="00DD49FF">
      <w:pPr>
        <w:widowControl/>
        <w:rPr>
          <w:u w:val="single"/>
        </w:rPr>
      </w:pPr>
    </w:p>
    <w:p w:rsidR="004F66CE" w:rsidRDefault="004F66CE" w:rsidP="00DD49FF">
      <w:pPr>
        <w:widowControl/>
      </w:pPr>
      <w:r>
        <w:t>The best solution to resolve the current open issue is to raise a question to the TEAS WG to check how the labels on the access/inter-domain links are configured and/or if it is possible to have suggested labels between controllers.</w:t>
      </w:r>
    </w:p>
    <w:p w:rsidR="004F66CE" w:rsidRDefault="004F66CE" w:rsidP="00DD49FF">
      <w:pPr>
        <w:widowControl/>
        <w:rPr>
          <w:b/>
          <w:bCs/>
        </w:rPr>
      </w:pPr>
    </w:p>
    <w:p w:rsidR="004F66CE" w:rsidRDefault="004F66CE" w:rsidP="00DD49FF">
      <w:pPr>
        <w:widowControl/>
        <w:rPr>
          <w:b/>
          <w:bCs/>
        </w:rPr>
      </w:pPr>
      <w:r>
        <w:rPr>
          <w:b/>
          <w:bCs/>
        </w:rPr>
        <w:t>Action (Sergio) - Prepare an initial proposed text for the mail to TEAS WG and circulated on the DT mailing list for review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Carlo: this may have impact also on path computation in case the labels available on the inter-domain links depend on the path within the network (e.g., WSON domain).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This would be true for both stateful and stateless path computation methods.</w:t>
      </w:r>
    </w:p>
    <w:p w:rsidR="004F66CE" w:rsidRDefault="004F66CE" w:rsidP="00DD49FF">
      <w:pPr>
        <w:widowControl/>
      </w:pPr>
    </w:p>
    <w:p w:rsidR="004F66CE" w:rsidRDefault="004F66CE" w:rsidP="00DD49FF">
      <w:pPr>
        <w:widowControl/>
      </w:pPr>
      <w:r>
        <w:t>We can inquiry TEAS WG mailing list after the previous point has been discussed.</w:t>
      </w:r>
    </w:p>
    <w:p w:rsidR="004F66CE" w:rsidRDefault="004F66CE" w:rsidP="00DD49FF">
      <w:pPr>
        <w:widowControl/>
        <w:rPr>
          <w:b/>
          <w:bCs/>
        </w:rPr>
      </w:pPr>
    </w:p>
    <w:p w:rsidR="004F66CE" w:rsidRDefault="004F66CE" w:rsidP="00DD49FF">
      <w:pPr>
        <w:widowControl/>
        <w:rPr>
          <w:b/>
          <w:bCs/>
        </w:rPr>
      </w:pPr>
      <w:r>
        <w:rPr>
          <w:b/>
          <w:bCs/>
        </w:rPr>
        <w:t>Action (Carlo) - Prepare an initial proposed text for the mail to TEAS WG and circulated on the DT mailing list for review</w:t>
      </w:r>
    </w:p>
    <w:p w:rsidR="004F66CE" w:rsidRPr="004F66CE" w:rsidRDefault="004F66CE" w:rsidP="004F66CE">
      <w:pPr>
        <w:pStyle w:val="Heading3"/>
      </w:pPr>
      <w:r w:rsidRPr="004F66CE">
        <w:t>3) Current status of inter-SDO discussions</w:t>
      </w:r>
    </w:p>
    <w:p w:rsidR="00DD49FF" w:rsidRDefault="00DD49FF">
      <w:pPr>
        <w:widowControl/>
      </w:pPr>
      <w:r>
        <w:t>Postponed to the next calls</w:t>
      </w:r>
    </w:p>
    <w:p w:rsidR="004F66CE" w:rsidRDefault="004F66CE" w:rsidP="004F66CE">
      <w:pPr>
        <w:pStyle w:val="Heading3"/>
      </w:pPr>
      <w:r>
        <w:t>4) Plan for the next steps</w:t>
      </w:r>
    </w:p>
    <w:p w:rsidR="00DD49FF" w:rsidRDefault="004F66CE">
      <w:pPr>
        <w:widowControl/>
      </w:pPr>
      <w:r>
        <w:t>During the face-to-face meeting in Chicago (IETF 98) we have identified the following priority for future work:</w:t>
      </w:r>
    </w:p>
    <w:p w:rsidR="00DD49FF" w:rsidRDefault="004F66CE" w:rsidP="00DD49FF">
      <w:pPr>
        <w:widowControl/>
        <w:numPr>
          <w:ilvl w:val="0"/>
          <w:numId w:val="10"/>
        </w:numPr>
      </w:pPr>
      <w:r>
        <w:t>EPL service for Use Case 1 (UC#1)</w:t>
      </w:r>
    </w:p>
    <w:p w:rsidR="00DD49FF" w:rsidRDefault="004F66CE" w:rsidP="00DD49FF">
      <w:pPr>
        <w:widowControl/>
        <w:numPr>
          <w:ilvl w:val="0"/>
          <w:numId w:val="10"/>
        </w:numPr>
      </w:pPr>
      <w:r>
        <w:t>Other OTN client services for UC#1</w:t>
      </w:r>
    </w:p>
    <w:p w:rsidR="00DD49FF" w:rsidRDefault="004F66CE" w:rsidP="00DD49FF">
      <w:pPr>
        <w:widowControl/>
        <w:numPr>
          <w:ilvl w:val="0"/>
          <w:numId w:val="10"/>
        </w:numPr>
      </w:pPr>
      <w:r>
        <w:t>Protection scenarios for UC#1</w:t>
      </w:r>
    </w:p>
    <w:p w:rsidR="00DD49FF" w:rsidRDefault="004F66CE" w:rsidP="00DD49FF">
      <w:pPr>
        <w:widowControl/>
        <w:ind w:left="720"/>
      </w:pPr>
      <w:r>
        <w:t>Note - Since UC#1 is a single-layer scenario, protection applies only at the ODU layer</w:t>
      </w:r>
    </w:p>
    <w:p w:rsidR="00DD49FF" w:rsidRDefault="00DD49FF" w:rsidP="00DD49FF">
      <w:pPr>
        <w:widowControl/>
        <w:numPr>
          <w:ilvl w:val="0"/>
          <w:numId w:val="10"/>
        </w:numPr>
      </w:pPr>
      <w:r>
        <w:t>U</w:t>
      </w:r>
      <w:r w:rsidR="004F66CE">
        <w:t>C</w:t>
      </w:r>
      <w:r>
        <w:t>#3 (single-layer, multi-domain)</w:t>
      </w:r>
    </w:p>
    <w:p w:rsidR="00DD49FF" w:rsidRDefault="00DD49FF" w:rsidP="00DD49FF">
      <w:pPr>
        <w:widowControl/>
      </w:pPr>
    </w:p>
    <w:p w:rsidR="004F66CE" w:rsidRDefault="004F66CE" w:rsidP="00DD49FF">
      <w:pPr>
        <w:widowControl/>
      </w:pPr>
      <w:r>
        <w:t>Planning postponed to the next call</w:t>
      </w:r>
      <w:r>
        <w:br/>
      </w:r>
    </w:p>
    <w:p w:rsidR="004F66CE" w:rsidRPr="004F66CE" w:rsidRDefault="004F66CE" w:rsidP="004F66CE">
      <w:pPr>
        <w:pStyle w:val="Heading3"/>
      </w:pPr>
      <w:r>
        <w:t xml:space="preserve">5) </w:t>
      </w:r>
      <w:r w:rsidRPr="004F66CE">
        <w:t>AOB</w:t>
      </w:r>
    </w:p>
    <w:p w:rsidR="004F66CE" w:rsidRPr="004F66CE" w:rsidRDefault="004F66CE" w:rsidP="00DD49FF">
      <w:pPr>
        <w:pStyle w:val="Heading2"/>
        <w:rPr>
          <w:lang w:val="en-US"/>
        </w:rPr>
      </w:pPr>
      <w:r w:rsidRPr="004F66CE">
        <w:rPr>
          <w:lang w:val="en-US"/>
        </w:rPr>
        <w:t>Note takers (feel free to add your name here):</w:t>
      </w:r>
    </w:p>
    <w:p w:rsidR="004F66CE" w:rsidRDefault="004F66CE" w:rsidP="004F66CE">
      <w:pPr>
        <w:widowControl/>
        <w:numPr>
          <w:ilvl w:val="0"/>
          <w:numId w:val="10"/>
        </w:numPr>
      </w:pPr>
      <w:r>
        <w:t>Italo Busi</w:t>
      </w:r>
    </w:p>
    <w:p w:rsidR="004F66CE" w:rsidRDefault="004F66CE" w:rsidP="004F66CE">
      <w:pPr>
        <w:widowControl/>
        <w:numPr>
          <w:ilvl w:val="0"/>
          <w:numId w:val="10"/>
        </w:numPr>
      </w:pPr>
      <w:r>
        <w:t>Sergio Belotti</w:t>
      </w:r>
      <w:r>
        <w:br/>
      </w:r>
      <w:r>
        <w:br/>
      </w:r>
      <w:r>
        <w:br/>
        <w:t xml:space="preserve"> </w:t>
      </w:r>
    </w:p>
    <w:p w:rsidR="004F66CE" w:rsidRDefault="004F66CE">
      <w:pPr>
        <w:widowControl/>
      </w:pPr>
      <w:hyperlink r:id="rId9" w:history="1">
        <w:r>
          <w:rPr>
            <w:vanish/>
          </w:rPr>
          <w:t>JavaScript license information</w:t>
        </w:r>
      </w:hyperlink>
    </w:p>
    <w:p w:rsidR="004F66CE" w:rsidRDefault="004F66CE">
      <w:pPr>
        <w:widowControl/>
        <w:rPr>
          <w:vanish/>
        </w:rPr>
      </w:pPr>
    </w:p>
    <w:p w:rsidR="004F66CE" w:rsidRDefault="004F66CE">
      <w:pPr>
        <w:widowControl/>
        <w:rPr>
          <w:rFonts w:cstheme="minorBidi"/>
        </w:rPr>
        <w:sectPr w:rsidR="004F66CE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</w:p>
    <w:p w:rsidR="004F66CE" w:rsidRDefault="004F66CE">
      <w:pPr>
        <w:widowControl/>
      </w:pPr>
    </w:p>
    <w:sectPr w:rsidR="004F66CE">
      <w:type w:val="continuous"/>
      <w:pgSz w:w="11905" w:h="16837"/>
      <w:pgMar w:top="1440" w:right="1440" w:bottom="1440" w:left="1440" w:header="0" w:footer="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9FF" w:rsidRDefault="00DD49FF" w:rsidP="00DD49FF">
      <w:r>
        <w:separator/>
      </w:r>
    </w:p>
  </w:endnote>
  <w:endnote w:type="continuationSeparator" w:id="0">
    <w:p w:rsidR="00DD49FF" w:rsidRDefault="00DD49FF" w:rsidP="00DD4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9FF" w:rsidRDefault="00DD49FF" w:rsidP="00DD49FF">
      <w:r>
        <w:separator/>
      </w:r>
    </w:p>
  </w:footnote>
  <w:footnote w:type="continuationSeparator" w:id="0">
    <w:p w:rsidR="00DD49FF" w:rsidRDefault="00DD49FF" w:rsidP="00DD49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3E8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1">
    <w:nsid w:val="00000002"/>
    <w:multiLevelType w:val="singleLevel"/>
    <w:tmpl w:val="000003E9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2">
    <w:nsid w:val="00000003"/>
    <w:multiLevelType w:val="singleLevel"/>
    <w:tmpl w:val="000003EA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3">
    <w:nsid w:val="00000004"/>
    <w:multiLevelType w:val="singleLevel"/>
    <w:tmpl w:val="000003EB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4">
    <w:nsid w:val="00000005"/>
    <w:multiLevelType w:val="singleLevel"/>
    <w:tmpl w:val="000003EC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5">
    <w:nsid w:val="0949660B"/>
    <w:multiLevelType w:val="hybridMultilevel"/>
    <w:tmpl w:val="EE60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552F1"/>
    <w:multiLevelType w:val="hybridMultilevel"/>
    <w:tmpl w:val="66A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273CF"/>
    <w:multiLevelType w:val="hybridMultilevel"/>
    <w:tmpl w:val="B84E1F4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2A029A4"/>
    <w:multiLevelType w:val="hybridMultilevel"/>
    <w:tmpl w:val="62CA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B7F43"/>
    <w:multiLevelType w:val="hybridMultilevel"/>
    <w:tmpl w:val="EF507FE8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0">
    <w:nsid w:val="71494D6A"/>
    <w:multiLevelType w:val="hybridMultilevel"/>
    <w:tmpl w:val="2336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03DB7"/>
    <w:multiLevelType w:val="hybridMultilevel"/>
    <w:tmpl w:val="C5E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9FF"/>
    <w:rsid w:val="00005199"/>
    <w:rsid w:val="00133D2C"/>
    <w:rsid w:val="004F66CE"/>
    <w:rsid w:val="00DD49FF"/>
    <w:rsid w:val="00F2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49FF"/>
    <w:pPr>
      <w:widowControl/>
      <w:spacing w:before="120" w:after="120"/>
      <w:outlineLvl w:val="1"/>
    </w:pPr>
    <w:rPr>
      <w:rFonts w:ascii="Liberation Sans" w:hAnsi="Liberation Sans" w:cs="Liberation Sans"/>
      <w:b/>
      <w:bCs/>
      <w:sz w:val="28"/>
      <w:szCs w:val="28"/>
      <w:lang w:val="it-IT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F66CE"/>
    <w:pPr>
      <w:spacing w:before="120" w:after="12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D49FF"/>
    <w:rPr>
      <w:rFonts w:ascii="Liberation Sans" w:hAnsi="Liberation Sans" w:cs="Liberation Sans"/>
      <w:b/>
      <w:bCs/>
      <w:sz w:val="28"/>
      <w:szCs w:val="28"/>
      <w:lang w:val="it-IT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F66CE"/>
    <w:rPr>
      <w:rFonts w:ascii="Liberation Sans" w:hAnsi="Liberation Sans" w:cs="Liberation San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customStyle="1" w:styleId="Contents1">
    <w:name w:val="Contents 1"/>
    <w:basedOn w:val="Normal"/>
    <w:next w:val="Normal"/>
    <w:pPr>
      <w:ind w:left="720" w:hanging="431"/>
    </w:pPr>
    <w:rPr>
      <w:rFonts w:cstheme="minorBidi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cstheme="minorBidi"/>
    </w:r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cstheme="minorBidi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cstheme="minorBidi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cstheme="minorBidi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rFonts w:cs="Times New Roman"/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rFonts w:cstheme="minorBidi"/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cstheme="minorBidi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DD49FF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4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D49FF"/>
    <w:rPr>
      <w:rFonts w:ascii="Liberation Serif" w:hAnsi="Liberation Serif" w:cs="Liberation Serif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4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D49FF"/>
    <w:rPr>
      <w:rFonts w:ascii="Liberation Serif" w:hAnsi="Liberation Serif" w:cs="Liberation Seri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kinguk/transport-nbi/blob/master/Meetings/2017-04-26/tnbi-analysis-uc%231-190417.ppt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oneditoronl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865</Words>
  <Characters>4937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transport-nbi-dt-2017-04-26</dc:title>
  <dc:creator>Etherpad</dc:creator>
  <cp:lastModifiedBy>Italo Busi</cp:lastModifiedBy>
  <cp:revision>2</cp:revision>
  <dcterms:created xsi:type="dcterms:W3CDTF">2017-05-07T14:57:00Z</dcterms:created>
  <dcterms:modified xsi:type="dcterms:W3CDTF">2017-05-07T14:57:00Z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1494169001</vt:lpwstr>
  </property>
</Properties>
</file>