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76E6C" w14:textId="456C7A40" w:rsidR="009118E8" w:rsidRPr="001D115E" w:rsidRDefault="009118E8" w:rsidP="00FC381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D9AC542" wp14:editId="18A3A555">
            <wp:extent cx="6138545" cy="2455418"/>
            <wp:effectExtent l="0" t="0" r="0" b="2540"/>
            <wp:docPr id="13097959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95991" name="Imagem 13097959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67" cy="24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124B" w14:textId="5AF6EC16" w:rsidR="00F13717" w:rsidRPr="001D115E" w:rsidRDefault="00F13717" w:rsidP="001C32B5">
      <w:pPr>
        <w:pStyle w:val="CorpoA"/>
        <w:jc w:val="center"/>
        <w:rPr>
          <w:rFonts w:ascii="Arial" w:eastAsia="Arial" w:hAnsi="Arial" w:cs="Arial"/>
          <w:b/>
          <w:bCs/>
          <w:color w:val="auto"/>
          <w:sz w:val="24"/>
          <w:szCs w:val="24"/>
          <w:lang w:val="en-US"/>
        </w:rPr>
      </w:pPr>
      <w:r w:rsidRPr="001D115E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ANÁLISE DE DINÂMICA MOLECULAR DAS CUTINASES DE </w:t>
      </w:r>
      <w:r w:rsidRPr="001D115E">
        <w:rPr>
          <w:rFonts w:ascii="Arial" w:eastAsia="Arial" w:hAnsi="Arial" w:cs="Arial"/>
          <w:b/>
          <w:bCs/>
          <w:i/>
          <w:iCs/>
          <w:color w:val="auto"/>
          <w:sz w:val="24"/>
          <w:szCs w:val="24"/>
        </w:rPr>
        <w:t>FUSARIUM OXYSPORUM</w:t>
      </w:r>
      <w:r w:rsidRPr="001D115E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E </w:t>
      </w:r>
      <w:r w:rsidRPr="001D115E">
        <w:rPr>
          <w:rFonts w:ascii="Arial" w:eastAsia="Arial" w:hAnsi="Arial" w:cs="Arial"/>
          <w:b/>
          <w:bCs/>
          <w:i/>
          <w:iCs/>
          <w:color w:val="auto"/>
          <w:sz w:val="24"/>
          <w:szCs w:val="24"/>
        </w:rPr>
        <w:t>F. SOLANI</w:t>
      </w:r>
    </w:p>
    <w:p w14:paraId="50F0B162" w14:textId="77777777" w:rsidR="00DE0755" w:rsidRPr="001D115E" w:rsidRDefault="00DE0755" w:rsidP="00DE0755">
      <w:pPr>
        <w:pStyle w:val="CorpoA"/>
        <w:jc w:val="center"/>
        <w:rPr>
          <w:rFonts w:ascii="Arial" w:eastAsia="Arial" w:hAnsi="Arial" w:cs="Arial"/>
          <w:b/>
          <w:bCs/>
          <w:color w:val="auto"/>
          <w:sz w:val="24"/>
          <w:szCs w:val="24"/>
          <w:lang w:val="en-US"/>
        </w:rPr>
      </w:pPr>
    </w:p>
    <w:p w14:paraId="502F3C3A" w14:textId="12B8311C" w:rsidR="004F3048" w:rsidRPr="001D115E" w:rsidRDefault="004F3048" w:rsidP="004F3048">
      <w:pPr>
        <w:spacing w:before="240" w:after="24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1D115E">
        <w:rPr>
          <w:rFonts w:ascii="Arial" w:eastAsia="Times New Roman" w:hAnsi="Arial" w:cs="Arial"/>
          <w:sz w:val="24"/>
          <w:szCs w:val="24"/>
          <w:u w:val="single"/>
        </w:rPr>
        <w:t>CARLOS GABRIEL DA SILVA DE SOUZA</w:t>
      </w:r>
      <w:r w:rsidRPr="001D115E">
        <w:rPr>
          <w:rFonts w:ascii="Arial" w:eastAsia="Times New Roman" w:hAnsi="Arial" w:cs="Arial"/>
          <w:sz w:val="24"/>
          <w:szCs w:val="24"/>
        </w:rPr>
        <w:t> </w:t>
      </w:r>
      <w:r w:rsidRPr="001D115E">
        <w:rPr>
          <w:rFonts w:ascii="Arial" w:eastAsia="Times New Roman" w:hAnsi="Arial" w:cs="Arial"/>
          <w:sz w:val="24"/>
          <w:szCs w:val="24"/>
          <w:vertAlign w:val="superscript"/>
        </w:rPr>
        <w:t>1</w:t>
      </w:r>
      <w:r w:rsidRPr="001D115E">
        <w:rPr>
          <w:rFonts w:ascii="Arial" w:eastAsia="Times New Roman" w:hAnsi="Arial" w:cs="Arial"/>
          <w:sz w:val="24"/>
          <w:szCs w:val="24"/>
        </w:rPr>
        <w:t>, CLAUBER HENRIQUE SOUZA DA COSTA</w:t>
      </w:r>
      <w:r w:rsidRPr="001D115E">
        <w:rPr>
          <w:rFonts w:ascii="Arial" w:eastAsia="Times New Roman" w:hAnsi="Arial" w:cs="Arial"/>
          <w:sz w:val="24"/>
          <w:szCs w:val="24"/>
          <w:vertAlign w:val="superscript"/>
        </w:rPr>
        <w:t> 2</w:t>
      </w:r>
      <w:r w:rsidRPr="001D115E">
        <w:rPr>
          <w:rFonts w:ascii="Arial" w:hAnsi="Arial" w:cs="Arial"/>
          <w:sz w:val="24"/>
          <w:szCs w:val="24"/>
        </w:rPr>
        <w:t xml:space="preserve">, </w:t>
      </w:r>
      <w:r w:rsidRPr="001D115E">
        <w:rPr>
          <w:rFonts w:ascii="Arial" w:eastAsia="Times New Roman" w:hAnsi="Arial" w:cs="Arial"/>
          <w:sz w:val="24"/>
          <w:szCs w:val="24"/>
        </w:rPr>
        <w:t>MAYCON VINICIUS DAMASCENO DE OLIVEIRA</w:t>
      </w:r>
      <w:r w:rsidRPr="001D115E">
        <w:rPr>
          <w:rFonts w:ascii="Arial" w:eastAsia="Times New Roman" w:hAnsi="Arial" w:cs="Arial"/>
          <w:sz w:val="24"/>
          <w:szCs w:val="24"/>
          <w:vertAlign w:val="superscript"/>
        </w:rPr>
        <w:t>1</w:t>
      </w:r>
      <w:r w:rsidR="00634C0B">
        <w:rPr>
          <w:rFonts w:ascii="Arial" w:eastAsia="Times New Roman" w:hAnsi="Arial" w:cs="Arial"/>
          <w:sz w:val="24"/>
          <w:szCs w:val="24"/>
        </w:rPr>
        <w:t xml:space="preserve">, </w:t>
      </w:r>
      <w:r w:rsidR="00B0353E">
        <w:rPr>
          <w:rFonts w:ascii="Arial" w:eastAsia="Times New Roman" w:hAnsi="Arial" w:cs="Arial"/>
          <w:sz w:val="24"/>
          <w:szCs w:val="24"/>
        </w:rPr>
        <w:t>BRUNA LETICIA PORTILHO FURTADO</w:t>
      </w:r>
      <w:r w:rsidR="00B0353E" w:rsidRPr="001D115E">
        <w:rPr>
          <w:rFonts w:ascii="Arial" w:eastAsia="Times New Roman" w:hAnsi="Arial" w:cs="Arial"/>
          <w:sz w:val="24"/>
          <w:szCs w:val="24"/>
          <w:vertAlign w:val="superscript"/>
        </w:rPr>
        <w:t>1</w:t>
      </w:r>
      <w:r w:rsidR="00B0353E">
        <w:rPr>
          <w:rFonts w:ascii="Arial" w:eastAsia="Times New Roman" w:hAnsi="Arial" w:cs="Arial"/>
          <w:sz w:val="24"/>
          <w:szCs w:val="24"/>
        </w:rPr>
        <w:t>, HEMILLIN BRENDA TEIXEIRA SANTOS</w:t>
      </w:r>
      <w:r w:rsidR="00B0353E" w:rsidRPr="001D115E">
        <w:rPr>
          <w:rFonts w:ascii="Arial" w:eastAsia="Times New Roman" w:hAnsi="Arial" w:cs="Arial"/>
          <w:sz w:val="24"/>
          <w:szCs w:val="24"/>
          <w:vertAlign w:val="superscript"/>
        </w:rPr>
        <w:t>1</w:t>
      </w:r>
      <w:r w:rsidR="00B0353E">
        <w:rPr>
          <w:rFonts w:ascii="Arial" w:eastAsia="Times New Roman" w:hAnsi="Arial" w:cs="Arial"/>
          <w:sz w:val="24"/>
          <w:szCs w:val="24"/>
        </w:rPr>
        <w:t>, YAN CARVALHO MAGNO</w:t>
      </w:r>
      <w:r w:rsidR="00B0353E" w:rsidRPr="001D115E">
        <w:rPr>
          <w:rFonts w:ascii="Arial" w:eastAsia="Times New Roman" w:hAnsi="Arial" w:cs="Arial"/>
          <w:sz w:val="24"/>
          <w:szCs w:val="24"/>
          <w:vertAlign w:val="superscript"/>
        </w:rPr>
        <w:t>1</w:t>
      </w:r>
      <w:r w:rsidR="00B0353E">
        <w:rPr>
          <w:rFonts w:ascii="Arial" w:eastAsia="Times New Roman" w:hAnsi="Arial" w:cs="Arial"/>
          <w:sz w:val="24"/>
          <w:szCs w:val="24"/>
        </w:rPr>
        <w:t>, LUCAS AUGUSTO SARMENTO BARROS</w:t>
      </w:r>
      <w:r w:rsidR="00B0353E" w:rsidRPr="001D115E">
        <w:rPr>
          <w:rFonts w:ascii="Arial" w:eastAsia="Times New Roman" w:hAnsi="Arial" w:cs="Arial"/>
          <w:sz w:val="24"/>
          <w:szCs w:val="24"/>
          <w:vertAlign w:val="superscript"/>
        </w:rPr>
        <w:t>1</w:t>
      </w:r>
      <w:r w:rsidR="00B0353E">
        <w:rPr>
          <w:rFonts w:ascii="Arial" w:eastAsia="Times New Roman" w:hAnsi="Arial" w:cs="Arial"/>
          <w:sz w:val="24"/>
          <w:szCs w:val="24"/>
        </w:rPr>
        <w:t>,</w:t>
      </w:r>
      <w:r w:rsidRPr="001D115E">
        <w:rPr>
          <w:rFonts w:ascii="Arial" w:eastAsia="Times New Roman" w:hAnsi="Arial" w:cs="Arial"/>
          <w:sz w:val="24"/>
          <w:szCs w:val="24"/>
        </w:rPr>
        <w:t> JERÔNIMO LAMEIRA </w:t>
      </w:r>
      <w:r w:rsidRPr="001D115E">
        <w:rPr>
          <w:rFonts w:ascii="Arial" w:eastAsia="Times New Roman" w:hAnsi="Arial" w:cs="Arial"/>
          <w:sz w:val="24"/>
          <w:szCs w:val="24"/>
          <w:vertAlign w:val="superscript"/>
        </w:rPr>
        <w:t>1*</w:t>
      </w:r>
    </w:p>
    <w:p w14:paraId="2F9315E4" w14:textId="77777777" w:rsidR="00DE0755" w:rsidRPr="001D115E" w:rsidRDefault="00DE0755" w:rsidP="004F3048">
      <w:pPr>
        <w:pStyle w:val="CorpoA"/>
        <w:rPr>
          <w:rFonts w:ascii="Arial" w:eastAsia="Arial" w:hAnsi="Arial" w:cs="Arial"/>
          <w:color w:val="auto"/>
          <w:sz w:val="24"/>
          <w:szCs w:val="24"/>
        </w:rPr>
      </w:pPr>
    </w:p>
    <w:p w14:paraId="11930583" w14:textId="744535D9" w:rsidR="00DE0755" w:rsidRPr="001D115E" w:rsidRDefault="00D26899" w:rsidP="001C2DBF">
      <w:pPr>
        <w:pStyle w:val="CorpoA"/>
        <w:jc w:val="center"/>
        <w:rPr>
          <w:rStyle w:val="apple-converted-space"/>
          <w:rFonts w:ascii="Arial" w:hAnsi="Arial" w:cs="Arial"/>
          <w:i/>
          <w:iCs/>
          <w:color w:val="auto"/>
          <w:sz w:val="20"/>
          <w:szCs w:val="20"/>
        </w:rPr>
      </w:pPr>
      <w:r w:rsidRPr="001D115E">
        <w:rPr>
          <w:rStyle w:val="apple-converted-space"/>
          <w:rFonts w:ascii="Arial" w:hAnsi="Arial" w:cs="Arial"/>
          <w:i/>
          <w:iCs/>
          <w:color w:val="auto"/>
          <w:sz w:val="20"/>
          <w:szCs w:val="20"/>
          <w:vertAlign w:val="superscript"/>
        </w:rPr>
        <w:t>1</w:t>
      </w:r>
      <w:r w:rsidR="004F3048" w:rsidRPr="001D115E">
        <w:rPr>
          <w:rStyle w:val="apple-converted-space"/>
          <w:rFonts w:ascii="Arial" w:hAnsi="Arial" w:cs="Arial"/>
          <w:i/>
          <w:iCs/>
          <w:color w:val="auto"/>
          <w:sz w:val="20"/>
          <w:szCs w:val="20"/>
        </w:rPr>
        <w:t>Instituto de ciências biológica</w:t>
      </w:r>
      <w:r w:rsidR="005113A0" w:rsidRPr="001D115E">
        <w:rPr>
          <w:rStyle w:val="apple-converted-space"/>
          <w:rFonts w:ascii="Arial" w:hAnsi="Arial" w:cs="Arial"/>
          <w:i/>
          <w:iCs/>
          <w:color w:val="auto"/>
          <w:sz w:val="20"/>
          <w:szCs w:val="20"/>
        </w:rPr>
        <w:t>s, Universidade Federal do Pará</w:t>
      </w:r>
    </w:p>
    <w:p w14:paraId="2FDB8286" w14:textId="1E2FC211" w:rsidR="00DB3BC6" w:rsidRPr="001D115E" w:rsidRDefault="00D26899" w:rsidP="001C2DBF">
      <w:pPr>
        <w:pStyle w:val="CorpoA"/>
        <w:jc w:val="center"/>
        <w:rPr>
          <w:rStyle w:val="apple-converted-space"/>
          <w:rFonts w:ascii="Arial" w:hAnsi="Arial" w:cs="Arial"/>
          <w:i/>
          <w:iCs/>
          <w:color w:val="auto"/>
          <w:sz w:val="20"/>
          <w:szCs w:val="20"/>
        </w:rPr>
      </w:pPr>
      <w:r w:rsidRPr="001D115E">
        <w:rPr>
          <w:rStyle w:val="apple-converted-space"/>
          <w:rFonts w:ascii="Arial" w:hAnsi="Arial" w:cs="Arial"/>
          <w:i/>
          <w:iCs/>
          <w:color w:val="auto"/>
          <w:sz w:val="20"/>
          <w:szCs w:val="20"/>
          <w:vertAlign w:val="superscript"/>
        </w:rPr>
        <w:t>2</w:t>
      </w:r>
      <w:r w:rsidR="00DB3BC6" w:rsidRPr="001D115E">
        <w:rPr>
          <w:rStyle w:val="apple-converted-space"/>
          <w:rFonts w:ascii="Arial" w:hAnsi="Arial" w:cs="Arial"/>
          <w:i/>
          <w:iCs/>
          <w:color w:val="auto"/>
          <w:sz w:val="20"/>
          <w:szCs w:val="20"/>
        </w:rPr>
        <w:t>Instituto de química e centro para computação em engenharia e ciências</w:t>
      </w:r>
      <w:r w:rsidRPr="001D115E">
        <w:rPr>
          <w:rStyle w:val="apple-converted-space"/>
          <w:rFonts w:ascii="Arial" w:hAnsi="Arial" w:cs="Arial"/>
          <w:i/>
          <w:iCs/>
          <w:color w:val="auto"/>
          <w:sz w:val="20"/>
          <w:szCs w:val="20"/>
        </w:rPr>
        <w:t>, Universidade de campinas</w:t>
      </w:r>
    </w:p>
    <w:p w14:paraId="46E25197" w14:textId="16E50E0B" w:rsidR="005B494D" w:rsidRPr="001D115E" w:rsidRDefault="007A6DDA" w:rsidP="007A6DDA">
      <w:pPr>
        <w:pStyle w:val="CorpoA"/>
        <w:jc w:val="center"/>
        <w:rPr>
          <w:rFonts w:ascii="Arial" w:hAnsi="Arial" w:cs="Arial"/>
          <w:i/>
          <w:iCs/>
          <w:color w:val="auto"/>
          <w:sz w:val="20"/>
          <w:szCs w:val="20"/>
        </w:rPr>
      </w:pPr>
      <w:r w:rsidRPr="001D115E">
        <w:rPr>
          <w:rStyle w:val="apple-converted-space"/>
          <w:rFonts w:ascii="Arial" w:hAnsi="Arial" w:cs="Arial"/>
          <w:i/>
          <w:iCs/>
          <w:color w:val="auto"/>
          <w:sz w:val="20"/>
          <w:szCs w:val="20"/>
          <w:vertAlign w:val="superscript"/>
        </w:rPr>
        <w:t>3</w:t>
      </w:r>
      <w:r w:rsidRPr="001D115E">
        <w:rPr>
          <w:rStyle w:val="apple-converted-space"/>
          <w:rFonts w:ascii="Arial" w:hAnsi="Arial" w:cs="Arial"/>
          <w:i/>
          <w:iCs/>
          <w:color w:val="auto"/>
          <w:sz w:val="20"/>
          <w:szCs w:val="20"/>
        </w:rPr>
        <w:t>Instituto de ciências biológicas, Universidade Federal do Pará – lameira@ufpa.br</w:t>
      </w:r>
    </w:p>
    <w:p w14:paraId="674F2D37" w14:textId="77777777" w:rsidR="005B494D" w:rsidRPr="001D115E" w:rsidRDefault="005B494D" w:rsidP="005B444E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AEF7036" w14:textId="7360E572" w:rsidR="000F27CE" w:rsidRPr="001D115E" w:rsidRDefault="000F27CE" w:rsidP="005B444E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RESUMO</w:t>
      </w:r>
    </w:p>
    <w:p w14:paraId="1AB5DD10" w14:textId="0A096C9F" w:rsidR="008B2403" w:rsidRPr="001D115E" w:rsidRDefault="00937DDA" w:rsidP="008B2403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1D115E">
        <w:rPr>
          <w:rFonts w:ascii="Arial" w:hAnsi="Arial" w:cs="Arial"/>
          <w:bCs/>
          <w:sz w:val="24"/>
          <w:szCs w:val="24"/>
        </w:rPr>
        <w:t xml:space="preserve">As cutinases de </w:t>
      </w:r>
      <w:r w:rsidRPr="001D115E">
        <w:rPr>
          <w:rFonts w:ascii="Arial" w:hAnsi="Arial" w:cs="Arial"/>
          <w:bCs/>
          <w:i/>
          <w:iCs/>
          <w:sz w:val="24"/>
          <w:szCs w:val="24"/>
        </w:rPr>
        <w:t>Fusarium solani</w:t>
      </w:r>
      <w:r w:rsidRPr="001D115E">
        <w:rPr>
          <w:rFonts w:ascii="Arial" w:hAnsi="Arial" w:cs="Arial"/>
          <w:bCs/>
          <w:sz w:val="24"/>
          <w:szCs w:val="24"/>
        </w:rPr>
        <w:t xml:space="preserve"> e </w:t>
      </w:r>
      <w:r w:rsidRPr="001D115E">
        <w:rPr>
          <w:rFonts w:ascii="Arial" w:hAnsi="Arial" w:cs="Arial"/>
          <w:bCs/>
          <w:i/>
          <w:iCs/>
          <w:sz w:val="24"/>
          <w:szCs w:val="24"/>
        </w:rPr>
        <w:t>Fusarium oxysporum</w:t>
      </w:r>
      <w:r w:rsidRPr="001D115E">
        <w:rPr>
          <w:rFonts w:ascii="Arial" w:hAnsi="Arial" w:cs="Arial"/>
          <w:bCs/>
          <w:sz w:val="24"/>
          <w:szCs w:val="24"/>
        </w:rPr>
        <w:t xml:space="preserve"> apresentam potencial para biotransformação de fibras sintéticas, incluindo a hidrólise do </w:t>
      </w:r>
      <w:r w:rsidRPr="001D115E">
        <w:rPr>
          <w:rFonts w:ascii="Arial" w:hAnsi="Arial" w:cs="Arial"/>
          <w:bCs/>
          <w:i/>
          <w:iCs/>
          <w:sz w:val="24"/>
          <w:szCs w:val="24"/>
        </w:rPr>
        <w:t>polietileno</w:t>
      </w:r>
      <w:r w:rsidRPr="001D115E">
        <w:rPr>
          <w:rFonts w:ascii="Arial" w:hAnsi="Arial" w:cs="Arial"/>
          <w:bCs/>
          <w:sz w:val="24"/>
          <w:szCs w:val="24"/>
        </w:rPr>
        <w:t xml:space="preserve"> tereftalato (PET). Neste trabalho, simulações de dinâmica molecular foram usadas para investigar 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cutinases de </w:t>
      </w:r>
      <w:r w:rsidR="008B2403" w:rsidRPr="001D115E">
        <w:rPr>
          <w:rFonts w:ascii="Arial" w:hAnsi="Arial" w:cs="Arial"/>
          <w:bCs/>
          <w:i/>
          <w:iCs/>
          <w:sz w:val="24"/>
          <w:szCs w:val="24"/>
        </w:rPr>
        <w:t>Fusarium oxysporum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(</w:t>
      </w:r>
      <w:r w:rsidR="008B2403" w:rsidRPr="001D115E">
        <w:rPr>
          <w:rFonts w:ascii="Arial" w:hAnsi="Arial" w:cs="Arial"/>
          <w:bCs/>
          <w:i/>
          <w:sz w:val="24"/>
          <w:szCs w:val="24"/>
        </w:rPr>
        <w:t>Fo</w:t>
      </w:r>
      <w:r w:rsidR="008B2403" w:rsidRPr="001D115E">
        <w:rPr>
          <w:rFonts w:ascii="Arial" w:hAnsi="Arial" w:cs="Arial"/>
          <w:bCs/>
          <w:sz w:val="24"/>
          <w:szCs w:val="24"/>
        </w:rPr>
        <w:t>Cut5a) e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 de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</w:t>
      </w:r>
      <w:r w:rsidR="008B2403" w:rsidRPr="001D115E">
        <w:rPr>
          <w:rFonts w:ascii="Arial" w:hAnsi="Arial" w:cs="Arial"/>
          <w:bCs/>
          <w:i/>
          <w:iCs/>
          <w:sz w:val="24"/>
          <w:szCs w:val="24"/>
        </w:rPr>
        <w:t>Fusarium solani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(</w:t>
      </w:r>
      <w:r w:rsidR="008B2403" w:rsidRPr="001D115E">
        <w:rPr>
          <w:rFonts w:ascii="Arial" w:hAnsi="Arial" w:cs="Arial"/>
          <w:bCs/>
          <w:i/>
          <w:sz w:val="24"/>
          <w:szCs w:val="24"/>
        </w:rPr>
        <w:t>Fs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Cut1) </w:t>
      </w:r>
      <w:r w:rsidR="00C341DC" w:rsidRPr="001D115E">
        <w:rPr>
          <w:rFonts w:ascii="Arial" w:hAnsi="Arial" w:cs="Arial"/>
          <w:bCs/>
          <w:sz w:val="24"/>
          <w:szCs w:val="24"/>
        </w:rPr>
        <w:t>para a degradação de polímeros</w:t>
      </w:r>
      <w:r w:rsidR="008B2403" w:rsidRPr="001D115E">
        <w:rPr>
          <w:rFonts w:ascii="Arial" w:hAnsi="Arial" w:cs="Arial"/>
          <w:bCs/>
          <w:sz w:val="24"/>
          <w:szCs w:val="24"/>
        </w:rPr>
        <w:t>.</w:t>
      </w:r>
      <w:r w:rsidRPr="001D115E">
        <w:rPr>
          <w:rFonts w:ascii="Arial" w:hAnsi="Arial" w:cs="Arial"/>
          <w:bCs/>
          <w:sz w:val="24"/>
          <w:szCs w:val="24"/>
        </w:rPr>
        <w:t xml:space="preserve"> Os resultados de 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dinâmica molecular, </w:t>
      </w:r>
      <w:r w:rsidRPr="001D115E">
        <w:rPr>
          <w:rFonts w:ascii="Arial" w:hAnsi="Arial" w:cs="Arial"/>
          <w:bCs/>
          <w:sz w:val="24"/>
          <w:szCs w:val="24"/>
        </w:rPr>
        <w:t>mostram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que </w:t>
      </w:r>
      <w:r w:rsidRPr="001D115E">
        <w:rPr>
          <w:rFonts w:ascii="Arial" w:hAnsi="Arial" w:cs="Arial"/>
          <w:bCs/>
          <w:sz w:val="24"/>
          <w:szCs w:val="24"/>
        </w:rPr>
        <w:t xml:space="preserve">a </w:t>
      </w:r>
      <w:r w:rsidR="008B2403" w:rsidRPr="001D115E">
        <w:rPr>
          <w:rFonts w:ascii="Arial" w:hAnsi="Arial" w:cs="Arial"/>
          <w:bCs/>
          <w:i/>
          <w:sz w:val="24"/>
          <w:szCs w:val="24"/>
        </w:rPr>
        <w:t>Fo</w:t>
      </w:r>
      <w:r w:rsidR="008B2403" w:rsidRPr="001D115E">
        <w:rPr>
          <w:rFonts w:ascii="Arial" w:hAnsi="Arial" w:cs="Arial"/>
          <w:bCs/>
          <w:sz w:val="24"/>
          <w:szCs w:val="24"/>
        </w:rPr>
        <w:t>Cut5a apresenta maior flexibilidade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 na região do sítio catalítico</w:t>
      </w:r>
      <w:r w:rsidRPr="001D115E">
        <w:rPr>
          <w:rFonts w:ascii="Arial" w:hAnsi="Arial" w:cs="Arial"/>
          <w:bCs/>
          <w:sz w:val="24"/>
          <w:szCs w:val="24"/>
        </w:rPr>
        <w:t xml:space="preserve"> do que </w:t>
      </w:r>
      <w:r w:rsidRPr="001D115E">
        <w:rPr>
          <w:rFonts w:ascii="Arial" w:hAnsi="Arial" w:cs="Arial"/>
          <w:bCs/>
          <w:i/>
          <w:sz w:val="24"/>
          <w:szCs w:val="24"/>
        </w:rPr>
        <w:t>Fs</w:t>
      </w:r>
      <w:r w:rsidRPr="001D115E">
        <w:rPr>
          <w:rFonts w:ascii="Arial" w:hAnsi="Arial" w:cs="Arial"/>
          <w:bCs/>
          <w:sz w:val="24"/>
          <w:szCs w:val="24"/>
        </w:rPr>
        <w:t>Cut1</w:t>
      </w:r>
      <w:r w:rsidR="008B2403" w:rsidRPr="001D115E">
        <w:rPr>
          <w:rFonts w:ascii="Arial" w:hAnsi="Arial" w:cs="Arial"/>
          <w:bCs/>
          <w:sz w:val="24"/>
          <w:szCs w:val="24"/>
        </w:rPr>
        <w:t>, permitindo melhor acesso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 do substrato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à tríade catalítica em relação à </w:t>
      </w:r>
      <w:r w:rsidR="0050188D" w:rsidRPr="001D115E">
        <w:rPr>
          <w:rFonts w:ascii="Arial" w:hAnsi="Arial" w:cs="Arial"/>
          <w:bCs/>
          <w:i/>
          <w:sz w:val="24"/>
          <w:szCs w:val="24"/>
        </w:rPr>
        <w:t>Fs</w:t>
      </w:r>
      <w:r w:rsidR="0050188D" w:rsidRPr="001D115E">
        <w:rPr>
          <w:rFonts w:ascii="Arial" w:hAnsi="Arial" w:cs="Arial"/>
          <w:bCs/>
          <w:sz w:val="24"/>
          <w:szCs w:val="24"/>
        </w:rPr>
        <w:t>Cut1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. Os resultados indicam que </w:t>
      </w:r>
      <w:r w:rsidR="007E1A45" w:rsidRPr="001D115E">
        <w:rPr>
          <w:rFonts w:ascii="Arial" w:hAnsi="Arial" w:cs="Arial"/>
          <w:bCs/>
          <w:iCs/>
          <w:sz w:val="24"/>
          <w:szCs w:val="24"/>
        </w:rPr>
        <w:t>as cutinases são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adaptáve</w:t>
      </w:r>
      <w:r w:rsidR="007E1A45" w:rsidRPr="001D115E">
        <w:rPr>
          <w:rFonts w:ascii="Arial" w:hAnsi="Arial" w:cs="Arial"/>
          <w:bCs/>
          <w:sz w:val="24"/>
          <w:szCs w:val="24"/>
        </w:rPr>
        <w:t>is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, 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favorecendo os estudos em bioengenharia de cutinases </w:t>
      </w:r>
      <w:r w:rsidR="00673FEC" w:rsidRPr="001D115E">
        <w:rPr>
          <w:rFonts w:ascii="Arial" w:hAnsi="Arial" w:cs="Arial"/>
          <w:bCs/>
          <w:sz w:val="24"/>
          <w:szCs w:val="24"/>
        </w:rPr>
        <w:t>para aplicações sustentáveis</w:t>
      </w:r>
      <w:r w:rsidR="0050188D" w:rsidRPr="001D115E">
        <w:rPr>
          <w:rFonts w:ascii="Arial" w:hAnsi="Arial" w:cs="Arial"/>
          <w:bCs/>
          <w:sz w:val="24"/>
          <w:szCs w:val="24"/>
        </w:rPr>
        <w:t xml:space="preserve"> na redução</w:t>
      </w:r>
      <w:r w:rsidR="008B2403" w:rsidRPr="001D115E">
        <w:rPr>
          <w:rFonts w:ascii="Arial" w:hAnsi="Arial" w:cs="Arial"/>
          <w:bCs/>
          <w:sz w:val="24"/>
          <w:szCs w:val="24"/>
        </w:rPr>
        <w:t xml:space="preserve"> de resíduos plásticos.</w:t>
      </w:r>
    </w:p>
    <w:p w14:paraId="4DEE6AFB" w14:textId="77777777" w:rsidR="008B2403" w:rsidRPr="001D115E" w:rsidRDefault="008B2403" w:rsidP="008B2403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Palavras-chave:</w:t>
      </w:r>
      <w:r w:rsidRPr="001D115E">
        <w:rPr>
          <w:rFonts w:ascii="Arial" w:hAnsi="Arial" w:cs="Arial"/>
          <w:bCs/>
          <w:sz w:val="24"/>
          <w:szCs w:val="24"/>
        </w:rPr>
        <w:t xml:space="preserve"> Cutinase; PET; degradação; </w:t>
      </w:r>
      <w:r w:rsidRPr="001D115E">
        <w:rPr>
          <w:rFonts w:ascii="Arial" w:hAnsi="Arial" w:cs="Arial"/>
          <w:bCs/>
          <w:i/>
          <w:iCs/>
          <w:sz w:val="24"/>
          <w:szCs w:val="24"/>
        </w:rPr>
        <w:t>Fusarium</w:t>
      </w:r>
      <w:r w:rsidRPr="001D115E">
        <w:rPr>
          <w:rFonts w:ascii="Arial" w:hAnsi="Arial" w:cs="Arial"/>
          <w:bCs/>
          <w:sz w:val="24"/>
          <w:szCs w:val="24"/>
        </w:rPr>
        <w:t>; biocatalisadores</w:t>
      </w:r>
    </w:p>
    <w:p w14:paraId="36017B7A" w14:textId="77777777" w:rsidR="0029450F" w:rsidRPr="001D115E" w:rsidRDefault="0029450F" w:rsidP="00BC6AB4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56F02BA5" w14:textId="16AA1A53" w:rsidR="00BC6AB4" w:rsidRPr="001D115E" w:rsidRDefault="00BC6AB4" w:rsidP="00414C7D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INTRODUÇÃO/JUSTIFICATIVA</w:t>
      </w:r>
    </w:p>
    <w:p w14:paraId="12B59895" w14:textId="737D9415" w:rsidR="00DB32B5" w:rsidRPr="001D115E" w:rsidRDefault="00A56E21" w:rsidP="00A56E21">
      <w:pPr>
        <w:spacing w:after="0" w:line="360" w:lineRule="auto"/>
        <w:ind w:firstLine="708"/>
        <w:jc w:val="both"/>
        <w:rPr>
          <w:rFonts w:ascii="Arial" w:hAnsi="Arial" w:cs="Arial"/>
          <w:szCs w:val="20"/>
        </w:rPr>
      </w:pPr>
      <w:r w:rsidRPr="001D115E">
        <w:rPr>
          <w:rFonts w:ascii="Arial" w:hAnsi="Arial" w:cs="Arial"/>
          <w:sz w:val="24"/>
        </w:rPr>
        <w:t>Dado o aumento e a importância da degradação do</w:t>
      </w:r>
      <w:r w:rsidR="00937DDA" w:rsidRPr="001D115E">
        <w:rPr>
          <w:rFonts w:ascii="Arial" w:hAnsi="Arial" w:cs="Arial"/>
          <w:sz w:val="24"/>
        </w:rPr>
        <w:t xml:space="preserve"> </w:t>
      </w:r>
      <w:r w:rsidR="00937DDA" w:rsidRPr="001D115E">
        <w:rPr>
          <w:rFonts w:ascii="Arial" w:hAnsi="Arial" w:cs="Arial"/>
          <w:i/>
          <w:iCs/>
          <w:sz w:val="24"/>
        </w:rPr>
        <w:t>polietileno</w:t>
      </w:r>
      <w:r w:rsidR="00937DDA" w:rsidRPr="001D115E">
        <w:rPr>
          <w:rFonts w:ascii="Arial" w:hAnsi="Arial" w:cs="Arial"/>
          <w:sz w:val="24"/>
        </w:rPr>
        <w:t xml:space="preserve"> tereftalato </w:t>
      </w:r>
      <w:r w:rsidRPr="001D115E">
        <w:rPr>
          <w:rFonts w:ascii="Arial" w:hAnsi="Arial" w:cs="Arial"/>
          <w:sz w:val="24"/>
        </w:rPr>
        <w:t xml:space="preserve"> </w:t>
      </w:r>
      <w:r w:rsidR="00937DDA" w:rsidRPr="001D115E">
        <w:rPr>
          <w:rFonts w:ascii="Arial" w:hAnsi="Arial" w:cs="Arial"/>
          <w:sz w:val="24"/>
        </w:rPr>
        <w:t>(</w:t>
      </w:r>
      <w:r w:rsidRPr="001D115E">
        <w:rPr>
          <w:rFonts w:ascii="Arial" w:hAnsi="Arial" w:cs="Arial"/>
          <w:sz w:val="24"/>
        </w:rPr>
        <w:t>PET</w:t>
      </w:r>
      <w:r w:rsidR="00937DDA" w:rsidRPr="001D115E">
        <w:rPr>
          <w:rFonts w:ascii="Arial" w:hAnsi="Arial" w:cs="Arial"/>
          <w:sz w:val="24"/>
        </w:rPr>
        <w:t>)</w:t>
      </w:r>
      <w:r w:rsidRPr="001D115E">
        <w:rPr>
          <w:rFonts w:ascii="Arial" w:hAnsi="Arial" w:cs="Arial"/>
          <w:sz w:val="24"/>
        </w:rPr>
        <w:t xml:space="preserve"> por enzimas, as enzimas Cutinases têm sido estudadas como alternativa para a decomposição do PET em </w:t>
      </w:r>
      <w:r w:rsidR="00163EB6" w:rsidRPr="001D115E">
        <w:rPr>
          <w:rFonts w:ascii="Arial" w:hAnsi="Arial" w:cs="Arial"/>
          <w:sz w:val="24"/>
        </w:rPr>
        <w:t xml:space="preserve">seus precursores – etileno glicol (EG) e ácido tereftálico (TPA), e em unidades menores de PET – bis(2-hidroximetil) tereftalato (BHET) e </w:t>
      </w:r>
      <w:r w:rsidR="00163EB6" w:rsidRPr="001D115E">
        <w:rPr>
          <w:rFonts w:ascii="Arial" w:hAnsi="Arial" w:cs="Arial"/>
          <w:sz w:val="24"/>
        </w:rPr>
        <w:lastRenderedPageBreak/>
        <w:t>mono(2-hidroximetil) tereftalato (MHET)</w:t>
      </w:r>
      <w:r w:rsidR="0050188D" w:rsidRPr="001D115E">
        <w:rPr>
          <w:rFonts w:ascii="Arial" w:hAnsi="Arial" w:cs="Arial"/>
          <w:sz w:val="24"/>
        </w:rPr>
        <w:t>. As enzimas cutinase</w:t>
      </w:r>
      <w:r w:rsidR="00937DDA" w:rsidRPr="001D115E">
        <w:rPr>
          <w:rFonts w:ascii="Arial" w:hAnsi="Arial" w:cs="Arial"/>
          <w:sz w:val="24"/>
        </w:rPr>
        <w:t>s</w:t>
      </w:r>
      <w:r w:rsidR="0050188D" w:rsidRPr="001D115E">
        <w:rPr>
          <w:rFonts w:ascii="Arial" w:hAnsi="Arial" w:cs="Arial"/>
          <w:sz w:val="24"/>
        </w:rPr>
        <w:t xml:space="preserve"> </w:t>
      </w:r>
      <w:r w:rsidRPr="001D115E">
        <w:rPr>
          <w:rFonts w:ascii="Arial" w:hAnsi="Arial" w:cs="Arial"/>
          <w:sz w:val="24"/>
        </w:rPr>
        <w:t xml:space="preserve">são responsáveis por decompor a Cutina vegetal </w:t>
      </w:r>
      <w:r w:rsidR="00163EB6" w:rsidRPr="001D115E">
        <w:rPr>
          <w:rFonts w:ascii="Arial" w:hAnsi="Arial" w:cs="Arial"/>
          <w:sz w:val="24"/>
        </w:rPr>
        <w:t>–</w:t>
      </w:r>
      <w:r w:rsidRPr="001D115E">
        <w:rPr>
          <w:rFonts w:ascii="Arial" w:hAnsi="Arial" w:cs="Arial"/>
          <w:sz w:val="24"/>
        </w:rPr>
        <w:t xml:space="preserve"> um polímero </w:t>
      </w:r>
      <w:r w:rsidR="0009263D" w:rsidRPr="001D115E">
        <w:rPr>
          <w:rFonts w:ascii="Arial" w:hAnsi="Arial" w:cs="Arial"/>
          <w:sz w:val="24"/>
        </w:rPr>
        <w:t xml:space="preserve">natural </w:t>
      </w:r>
      <w:r w:rsidRPr="001D115E">
        <w:rPr>
          <w:rFonts w:ascii="Arial" w:hAnsi="Arial" w:cs="Arial"/>
          <w:sz w:val="24"/>
        </w:rPr>
        <w:t>composto por ácidos graxos de cadeia longa unidos por ligações éster</w:t>
      </w:r>
      <w:r w:rsidR="00163EB6" w:rsidRPr="001D115E">
        <w:rPr>
          <w:rFonts w:ascii="Arial" w:hAnsi="Arial" w:cs="Arial"/>
          <w:sz w:val="24"/>
        </w:rPr>
        <w:t xml:space="preserve"> que protegem a planta.</w:t>
      </w:r>
      <w:r w:rsidRPr="001D115E">
        <w:rPr>
          <w:rFonts w:ascii="Arial" w:hAnsi="Arial" w:cs="Arial"/>
          <w:sz w:val="24"/>
        </w:rPr>
        <w:t xml:space="preserve"> </w:t>
      </w:r>
      <w:r w:rsidR="00163EB6" w:rsidRPr="001D115E">
        <w:rPr>
          <w:rFonts w:ascii="Arial" w:hAnsi="Arial" w:cs="Arial"/>
          <w:sz w:val="24"/>
        </w:rPr>
        <w:t xml:space="preserve">Dessa forma, as cutinases permitem a invasão dos micro-organismos na célula da planta, sendo uma enzima chave para a sobrevivência deles. </w:t>
      </w:r>
      <w:r w:rsidRPr="001D115E">
        <w:rPr>
          <w:rFonts w:ascii="Arial" w:hAnsi="Arial" w:cs="Arial"/>
          <w:sz w:val="24"/>
        </w:rPr>
        <w:t xml:space="preserve">Devido às ligações éster, o polietileno tereftalato </w:t>
      </w:r>
      <w:r w:rsidR="00163EB6" w:rsidRPr="001D115E">
        <w:rPr>
          <w:rFonts w:ascii="Arial" w:hAnsi="Arial" w:cs="Arial"/>
          <w:sz w:val="24"/>
        </w:rPr>
        <w:t xml:space="preserve">e outros polímeros podem ser clivados de forma análoga à cutina </w:t>
      </w:r>
      <w:r w:rsidR="007E1A45" w:rsidRPr="001D115E">
        <w:rPr>
          <w:rFonts w:ascii="Arial" w:hAnsi="Arial" w:cs="Arial"/>
          <w:sz w:val="24"/>
        </w:rPr>
        <w:t>vegetal</w:t>
      </w:r>
      <w:r w:rsidRPr="001D115E">
        <w:rPr>
          <w:rFonts w:ascii="Arial" w:hAnsi="Arial" w:cs="Arial"/>
          <w:sz w:val="24"/>
        </w:rPr>
        <w:t>. Assim, o PET é um alvo possível para essas enzimas</w:t>
      </w:r>
      <w:r w:rsidR="00664AE1" w:rsidRPr="001D115E">
        <w:rPr>
          <w:rFonts w:ascii="Arial" w:hAnsi="Arial" w:cs="Arial"/>
          <w:sz w:val="24"/>
        </w:rPr>
        <w:t xml:space="preserve"> </w:t>
      </w:r>
      <w:sdt>
        <w:sdtPr>
          <w:rPr>
            <w:rFonts w:ascii="Arial" w:hAnsi="Arial" w:cs="Arial"/>
            <w:sz w:val="24"/>
          </w:rPr>
          <w:tag w:val="MENDELEY_CITATION_v3_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"/>
          <w:id w:val="-847240987"/>
          <w:placeholder>
            <w:docPart w:val="DefaultPlaceholder_-1854013440"/>
          </w:placeholder>
        </w:sdtPr>
        <w:sdtEndPr/>
        <w:sdtContent>
          <w:r w:rsidR="000B67CB" w:rsidRPr="001D115E">
            <w:rPr>
              <w:rFonts w:ascii="Arial" w:hAnsi="Arial" w:cs="Arial"/>
              <w:sz w:val="24"/>
            </w:rPr>
            <w:t>(QIU et al., 2024)</w:t>
          </w:r>
        </w:sdtContent>
      </w:sdt>
      <w:r w:rsidRPr="001D115E">
        <w:rPr>
          <w:rFonts w:ascii="Arial" w:hAnsi="Arial" w:cs="Arial"/>
          <w:sz w:val="24"/>
        </w:rPr>
        <w:t xml:space="preserve">. A cutinase de </w:t>
      </w:r>
      <w:r w:rsidRPr="001D115E">
        <w:rPr>
          <w:rFonts w:ascii="Arial" w:hAnsi="Arial" w:cs="Arial"/>
          <w:i/>
          <w:sz w:val="24"/>
        </w:rPr>
        <w:t xml:space="preserve">Fusarium </w:t>
      </w:r>
      <w:r w:rsidRPr="001D115E">
        <w:rPr>
          <w:rFonts w:ascii="Arial" w:hAnsi="Arial" w:cs="Arial"/>
          <w:iCs/>
          <w:sz w:val="24"/>
        </w:rPr>
        <w:t>sp.</w:t>
      </w:r>
      <w:r w:rsidRPr="001D115E">
        <w:rPr>
          <w:rFonts w:ascii="Arial" w:hAnsi="Arial" w:cs="Arial"/>
          <w:sz w:val="24"/>
        </w:rPr>
        <w:t xml:space="preserve">, particularmente </w:t>
      </w:r>
      <w:r w:rsidRPr="001D115E">
        <w:rPr>
          <w:rFonts w:ascii="Arial" w:hAnsi="Arial" w:cs="Arial"/>
          <w:i/>
          <w:sz w:val="24"/>
        </w:rPr>
        <w:t>Fusarium solani</w:t>
      </w:r>
      <w:r w:rsidR="000B67CB" w:rsidRPr="001D115E">
        <w:rPr>
          <w:rFonts w:ascii="Arial" w:hAnsi="Arial" w:cs="Arial"/>
          <w:i/>
          <w:sz w:val="24"/>
        </w:rPr>
        <w:t xml:space="preserve"> </w:t>
      </w:r>
      <w:sdt>
        <w:sdtPr>
          <w:rPr>
            <w:rFonts w:ascii="Arial" w:hAnsi="Arial" w:cs="Arial"/>
            <w:i/>
            <w:sz w:val="24"/>
          </w:rPr>
          <w:tag w:val="MENDELEY_CITATION_v3_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"/>
          <w:id w:val="652032366"/>
          <w:placeholder>
            <w:docPart w:val="DefaultPlaceholder_-1854013440"/>
          </w:placeholder>
        </w:sdtPr>
        <w:sdtEndPr/>
        <w:sdtContent>
          <w:r w:rsidR="000B67CB" w:rsidRPr="001D115E">
            <w:rPr>
              <w:rFonts w:ascii="Arial" w:hAnsi="Arial" w:cs="Arial"/>
              <w:i/>
              <w:sz w:val="24"/>
            </w:rPr>
            <w:t>(LONGHI et al., 1997)</w:t>
          </w:r>
        </w:sdtContent>
      </w:sdt>
      <w:r w:rsidRPr="001D115E">
        <w:rPr>
          <w:rFonts w:ascii="Arial" w:hAnsi="Arial" w:cs="Arial"/>
          <w:sz w:val="24"/>
        </w:rPr>
        <w:t>, tem sido investigada para a biotransformação de fibras sintéticas</w:t>
      </w:r>
      <w:r w:rsidR="000B67CB" w:rsidRPr="001D115E">
        <w:rPr>
          <w:rFonts w:ascii="Arial" w:hAnsi="Arial" w:cs="Arial"/>
          <w:sz w:val="24"/>
        </w:rPr>
        <w:t xml:space="preserve"> </w:t>
      </w:r>
      <w:sdt>
        <w:sdtPr>
          <w:rPr>
            <w:rFonts w:ascii="Arial" w:hAnsi="Arial" w:cs="Arial"/>
            <w:sz w:val="24"/>
          </w:rPr>
          <w:tag w:val="MENDELEY_CITATION_v3_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"/>
          <w:id w:val="1305437139"/>
          <w:placeholder>
            <w:docPart w:val="DefaultPlaceholder_-1854013440"/>
          </w:placeholder>
        </w:sdtPr>
        <w:sdtEndPr/>
        <w:sdtContent>
          <w:r w:rsidR="000B67CB" w:rsidRPr="001D115E">
            <w:rPr>
              <w:rFonts w:ascii="Arial" w:hAnsi="Arial" w:cs="Arial"/>
              <w:sz w:val="24"/>
            </w:rPr>
            <w:t>(ALISCH-MARK; HERRMANN; ZIMMERMANN, 2006)</w:t>
          </w:r>
        </w:sdtContent>
      </w:sdt>
      <w:r w:rsidRPr="001D115E">
        <w:rPr>
          <w:rFonts w:ascii="Arial" w:hAnsi="Arial" w:cs="Arial"/>
          <w:sz w:val="24"/>
        </w:rPr>
        <w:t xml:space="preserve">, incluindo sua aplicação na hidrólise de PET, demonstrando potencial significativo para esse propósito. Pesquisas adicionais mostraram que a Cutinase de Fusarium oxysporum tem um potencial maior para aplicações industriais e degradação de PET </w:t>
      </w:r>
      <w:sdt>
        <w:sdtPr>
          <w:rPr>
            <w:rFonts w:ascii="Arial" w:hAnsi="Arial" w:cs="Arial"/>
            <w:sz w:val="24"/>
          </w:rPr>
          <w:tag w:val="MENDELEY_CITATION_v3_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"/>
          <w:id w:val="-391278361"/>
          <w:placeholder>
            <w:docPart w:val="DefaultPlaceholder_-1854013440"/>
          </w:placeholder>
        </w:sdtPr>
        <w:sdtEndPr/>
        <w:sdtContent>
          <w:r w:rsidR="000B67CB" w:rsidRPr="001D115E">
            <w:rPr>
              <w:rFonts w:ascii="Arial" w:hAnsi="Arial" w:cs="Arial"/>
              <w:sz w:val="24"/>
            </w:rPr>
            <w:t>(DIMAROGONA et al., 2015)</w:t>
          </w:r>
        </w:sdtContent>
      </w:sdt>
      <w:r w:rsidRPr="001D115E">
        <w:rPr>
          <w:rFonts w:ascii="Arial" w:hAnsi="Arial" w:cs="Arial"/>
          <w:sz w:val="24"/>
        </w:rPr>
        <w:t>. Esta cutinase é uma enzima tolerante a solventes, o que a torna uma candidata promissora para aplicações biotecnológicas n</w:t>
      </w:r>
      <w:r w:rsidR="001C32B5" w:rsidRPr="001D115E">
        <w:rPr>
          <w:rFonts w:ascii="Arial" w:hAnsi="Arial" w:cs="Arial"/>
          <w:sz w:val="24"/>
        </w:rPr>
        <w:t>o campo da catálise enzimática.</w:t>
      </w:r>
    </w:p>
    <w:p w14:paraId="02EAB6FA" w14:textId="77777777" w:rsidR="00DB32B5" w:rsidRPr="001D115E" w:rsidRDefault="00DB32B5" w:rsidP="00FC3814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D5AB7C6" w14:textId="038574D2" w:rsidR="005B1112" w:rsidRPr="001D115E" w:rsidRDefault="005B1112" w:rsidP="00414C7D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b/>
          <w:sz w:val="24"/>
          <w:szCs w:val="24"/>
        </w:rPr>
        <w:t>METODOLOGIA</w:t>
      </w:r>
    </w:p>
    <w:p w14:paraId="36350042" w14:textId="555EA8DB" w:rsidR="00477D6E" w:rsidRPr="001D115E" w:rsidRDefault="00937DDA" w:rsidP="00477D6E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sz w:val="24"/>
          <w:szCs w:val="24"/>
        </w:rPr>
        <w:t>A</w:t>
      </w:r>
      <w:r w:rsidR="00A56E21" w:rsidRPr="001D115E">
        <w:rPr>
          <w:rFonts w:ascii="Arial" w:hAnsi="Arial" w:cs="Arial"/>
          <w:sz w:val="24"/>
          <w:szCs w:val="24"/>
        </w:rPr>
        <w:t xml:space="preserve">s estruturas iniciais para simulações de dinâmica molecular </w:t>
      </w:r>
      <w:r w:rsidRPr="001D115E">
        <w:rPr>
          <w:rFonts w:ascii="Arial" w:hAnsi="Arial" w:cs="Arial"/>
          <w:sz w:val="24"/>
          <w:szCs w:val="24"/>
        </w:rPr>
        <w:t xml:space="preserve">foram preparadas </w:t>
      </w:r>
      <w:r w:rsidR="00A56E21" w:rsidRPr="001D115E">
        <w:rPr>
          <w:rFonts w:ascii="Arial" w:hAnsi="Arial" w:cs="Arial"/>
          <w:sz w:val="24"/>
          <w:szCs w:val="24"/>
        </w:rPr>
        <w:t xml:space="preserve">seguindo </w:t>
      </w:r>
      <w:r w:rsidRPr="001D115E">
        <w:rPr>
          <w:rFonts w:ascii="Arial" w:hAnsi="Arial" w:cs="Arial"/>
          <w:sz w:val="24"/>
          <w:szCs w:val="24"/>
        </w:rPr>
        <w:t>as</w:t>
      </w:r>
      <w:r w:rsidR="00A56E21" w:rsidRPr="001D115E">
        <w:rPr>
          <w:rFonts w:ascii="Arial" w:hAnsi="Arial" w:cs="Arial"/>
          <w:sz w:val="24"/>
          <w:szCs w:val="24"/>
        </w:rPr>
        <w:t xml:space="preserve"> etapas: </w:t>
      </w:r>
      <w:r w:rsidRPr="001D115E">
        <w:rPr>
          <w:rFonts w:ascii="Arial" w:hAnsi="Arial" w:cs="Arial"/>
          <w:sz w:val="24"/>
          <w:szCs w:val="24"/>
        </w:rPr>
        <w:t xml:space="preserve">a) </w:t>
      </w:r>
      <w:r w:rsidR="00A56E21" w:rsidRPr="001D115E">
        <w:rPr>
          <w:rFonts w:ascii="Arial" w:hAnsi="Arial" w:cs="Arial"/>
          <w:sz w:val="24"/>
          <w:szCs w:val="24"/>
        </w:rPr>
        <w:t xml:space="preserve">cálculo dos valores de pKa para resíduos de aminoácidos das enzimas do </w:t>
      </w:r>
      <w:r w:rsidR="00A56E21" w:rsidRPr="001D115E">
        <w:rPr>
          <w:rFonts w:ascii="Arial" w:hAnsi="Arial" w:cs="Arial"/>
          <w:i/>
          <w:sz w:val="24"/>
          <w:szCs w:val="24"/>
        </w:rPr>
        <w:t xml:space="preserve">Fusarium oxysporum </w:t>
      </w:r>
      <w:r w:rsidR="00A56E21" w:rsidRPr="001D115E">
        <w:rPr>
          <w:rFonts w:ascii="Arial" w:hAnsi="Arial" w:cs="Arial"/>
          <w:sz w:val="24"/>
          <w:szCs w:val="24"/>
        </w:rPr>
        <w:t>(</w:t>
      </w:r>
      <w:r w:rsidR="00A56E21" w:rsidRPr="001D115E">
        <w:rPr>
          <w:rFonts w:ascii="Arial" w:hAnsi="Arial" w:cs="Arial"/>
          <w:i/>
          <w:sz w:val="24"/>
          <w:szCs w:val="24"/>
        </w:rPr>
        <w:t>Fo</w:t>
      </w:r>
      <w:r w:rsidR="00A56E21" w:rsidRPr="001D115E">
        <w:rPr>
          <w:rFonts w:ascii="Arial" w:hAnsi="Arial" w:cs="Arial"/>
          <w:sz w:val="24"/>
          <w:szCs w:val="24"/>
        </w:rPr>
        <w:t>Cut5a)</w:t>
      </w:r>
      <w:r w:rsidR="00A56E21" w:rsidRPr="001D115E">
        <w:rPr>
          <w:rFonts w:ascii="Arial" w:hAnsi="Arial" w:cs="Arial"/>
          <w:i/>
          <w:sz w:val="24"/>
          <w:szCs w:val="24"/>
        </w:rPr>
        <w:t xml:space="preserve"> e Fusarium solani</w:t>
      </w:r>
      <w:r w:rsidR="00A56E21" w:rsidRPr="001D115E">
        <w:rPr>
          <w:rFonts w:ascii="Arial" w:hAnsi="Arial" w:cs="Arial"/>
          <w:sz w:val="24"/>
          <w:szCs w:val="24"/>
        </w:rPr>
        <w:t xml:space="preserve"> (</w:t>
      </w:r>
      <w:r w:rsidR="00A56E21" w:rsidRPr="001D115E">
        <w:rPr>
          <w:rFonts w:ascii="Arial" w:hAnsi="Arial" w:cs="Arial"/>
          <w:i/>
          <w:sz w:val="24"/>
          <w:szCs w:val="24"/>
        </w:rPr>
        <w:t>Fs</w:t>
      </w:r>
      <w:r w:rsidR="00A56E21" w:rsidRPr="001D115E">
        <w:rPr>
          <w:rFonts w:ascii="Arial" w:hAnsi="Arial" w:cs="Arial"/>
          <w:sz w:val="24"/>
          <w:szCs w:val="24"/>
        </w:rPr>
        <w:t>Cut1) sob os códigos PDB 5AJH e 1CUS respectivamente, em pH 8,0 utilizando o servidor web pdb2pqr (https://server.poissonboltzmann.org/), com referência aos dados experimentais de pH ótimo da enzima</w:t>
      </w:r>
      <w:r w:rsidR="00762D64" w:rsidRPr="001D115E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tag w:val="MENDELEY_CITATION_v3_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"/>
          <w:id w:val="190886402"/>
          <w:placeholder>
            <w:docPart w:val="DefaultPlaceholder_-1854013440"/>
          </w:placeholder>
        </w:sdtPr>
        <w:sdtEndPr/>
        <w:sdtContent>
          <w:r w:rsidR="000B67CB" w:rsidRPr="001D115E">
            <w:rPr>
              <w:rFonts w:ascii="Arial" w:hAnsi="Arial" w:cs="Arial"/>
              <w:sz w:val="24"/>
              <w:szCs w:val="24"/>
            </w:rPr>
            <w:t>(DIMAROGONA et al., 2015)</w:t>
          </w:r>
        </w:sdtContent>
      </w:sdt>
      <w:r w:rsidR="00A56E21" w:rsidRPr="001D115E">
        <w:rPr>
          <w:rFonts w:ascii="Arial" w:hAnsi="Arial" w:cs="Arial"/>
          <w:sz w:val="24"/>
          <w:szCs w:val="24"/>
        </w:rPr>
        <w:t xml:space="preserve">. </w:t>
      </w:r>
      <w:r w:rsidR="00673F10" w:rsidRPr="001D115E">
        <w:rPr>
          <w:rFonts w:ascii="Arial" w:hAnsi="Arial" w:cs="Arial"/>
          <w:sz w:val="24"/>
          <w:szCs w:val="24"/>
        </w:rPr>
        <w:t xml:space="preserve">b) </w:t>
      </w:r>
      <w:r w:rsidR="00A56E21" w:rsidRPr="001D115E">
        <w:rPr>
          <w:rFonts w:ascii="Arial" w:hAnsi="Arial" w:cs="Arial"/>
          <w:sz w:val="24"/>
          <w:szCs w:val="24"/>
        </w:rPr>
        <w:t>etapa de solvatação, onde água TIP3P e íons Cl- foram adicionados para neutralização do sistema em uma caixa periódica octaédrica com um tamanho de 10 Å, garantindo que</w:t>
      </w:r>
      <w:r w:rsidR="000D2AB4" w:rsidRPr="001D115E">
        <w:rPr>
          <w:rFonts w:ascii="Arial" w:hAnsi="Arial" w:cs="Arial"/>
          <w:sz w:val="24"/>
          <w:szCs w:val="24"/>
        </w:rPr>
        <w:t xml:space="preserve"> os</w:t>
      </w:r>
      <w:r w:rsidR="00A56E21" w:rsidRPr="001D115E">
        <w:rPr>
          <w:rFonts w:ascii="Arial" w:hAnsi="Arial" w:cs="Arial"/>
          <w:sz w:val="24"/>
          <w:szCs w:val="24"/>
        </w:rPr>
        <w:t xml:space="preserve"> resíduo</w:t>
      </w:r>
      <w:r w:rsidR="000D2AB4" w:rsidRPr="001D115E">
        <w:rPr>
          <w:rFonts w:ascii="Arial" w:hAnsi="Arial" w:cs="Arial"/>
          <w:sz w:val="24"/>
          <w:szCs w:val="24"/>
        </w:rPr>
        <w:t>s</w:t>
      </w:r>
      <w:r w:rsidR="00A56E21" w:rsidRPr="001D115E">
        <w:rPr>
          <w:rFonts w:ascii="Arial" w:hAnsi="Arial" w:cs="Arial"/>
          <w:sz w:val="24"/>
          <w:szCs w:val="24"/>
        </w:rPr>
        <w:t xml:space="preserve"> da proteína </w:t>
      </w:r>
      <w:r w:rsidR="000D2AB4" w:rsidRPr="001D115E">
        <w:rPr>
          <w:rFonts w:ascii="Arial" w:hAnsi="Arial" w:cs="Arial"/>
          <w:sz w:val="24"/>
          <w:szCs w:val="24"/>
        </w:rPr>
        <w:t>ficassem distantes d</w:t>
      </w:r>
      <w:r w:rsidR="00A56E21" w:rsidRPr="001D115E">
        <w:rPr>
          <w:rFonts w:ascii="Arial" w:hAnsi="Arial" w:cs="Arial"/>
          <w:sz w:val="24"/>
          <w:szCs w:val="24"/>
        </w:rPr>
        <w:t xml:space="preserve">a borda da caixa. </w:t>
      </w:r>
      <w:r w:rsidR="00673F10" w:rsidRPr="001D115E">
        <w:rPr>
          <w:rFonts w:ascii="Arial" w:hAnsi="Arial" w:cs="Arial"/>
          <w:sz w:val="24"/>
          <w:szCs w:val="24"/>
        </w:rPr>
        <w:t xml:space="preserve">c) </w:t>
      </w:r>
      <w:r w:rsidR="00A56E21" w:rsidRPr="001D115E">
        <w:rPr>
          <w:rFonts w:ascii="Arial" w:hAnsi="Arial" w:cs="Arial"/>
          <w:sz w:val="24"/>
          <w:szCs w:val="24"/>
        </w:rPr>
        <w:t xml:space="preserve">Em sequência, foi calculado o potencial de força média, do inglês </w:t>
      </w:r>
      <w:r w:rsidR="00A56E21" w:rsidRPr="001D115E">
        <w:rPr>
          <w:rFonts w:ascii="Arial" w:hAnsi="Arial" w:cs="Arial"/>
          <w:i/>
          <w:sz w:val="24"/>
          <w:szCs w:val="24"/>
        </w:rPr>
        <w:t>potential mean force (</w:t>
      </w:r>
      <w:r w:rsidR="00A56E21" w:rsidRPr="001D115E">
        <w:rPr>
          <w:rFonts w:ascii="Arial" w:hAnsi="Arial" w:cs="Arial"/>
          <w:sz w:val="24"/>
          <w:szCs w:val="24"/>
        </w:rPr>
        <w:t xml:space="preserve">PMF) com base </w:t>
      </w:r>
      <w:r w:rsidR="001C32B5" w:rsidRPr="001D115E">
        <w:rPr>
          <w:rFonts w:ascii="Arial" w:hAnsi="Arial" w:cs="Arial"/>
          <w:sz w:val="24"/>
          <w:szCs w:val="24"/>
        </w:rPr>
        <w:t xml:space="preserve">na perturbação de energia livre </w:t>
      </w:r>
      <w:r w:rsidR="00131941" w:rsidRPr="001D115E">
        <w:rPr>
          <w:rFonts w:ascii="Arial" w:hAnsi="Arial" w:cs="Arial"/>
          <w:sz w:val="24"/>
          <w:szCs w:val="24"/>
        </w:rPr>
        <w:t>de duas distâncias</w:t>
      </w:r>
      <w:r w:rsidR="001C32B5" w:rsidRPr="001D115E">
        <w:rPr>
          <w:rFonts w:ascii="Arial" w:hAnsi="Arial" w:cs="Arial"/>
          <w:sz w:val="24"/>
          <w:szCs w:val="24"/>
        </w:rPr>
        <w:t xml:space="preserve"> gatilho</w:t>
      </w:r>
      <w:r w:rsidR="00673FEC" w:rsidRPr="001D115E">
        <w:rPr>
          <w:rFonts w:ascii="Arial" w:hAnsi="Arial" w:cs="Arial"/>
          <w:sz w:val="24"/>
          <w:szCs w:val="24"/>
        </w:rPr>
        <w:t xml:space="preserve">, distância </w:t>
      </w:r>
      <w:r w:rsidR="001C32B5" w:rsidRPr="001D115E">
        <w:rPr>
          <w:rFonts w:ascii="Arial" w:hAnsi="Arial" w:cs="Arial"/>
          <w:sz w:val="24"/>
          <w:szCs w:val="24"/>
        </w:rPr>
        <w:t xml:space="preserve">D1 (Ala 86 CB – Leu 183 CB) e D2 (Leu 82 CB – Leu 183 CB), responsáveis por definir a estrutura aberta e fechada das </w:t>
      </w:r>
      <w:r w:rsidR="00C60CD7" w:rsidRPr="001D115E">
        <w:rPr>
          <w:rFonts w:ascii="Arial" w:hAnsi="Arial" w:cs="Arial"/>
          <w:sz w:val="24"/>
          <w:szCs w:val="24"/>
        </w:rPr>
        <w:t>Cutinases. Além disso, através do programa Fpocket o volume da cavidade do sítio catalítico foi computado.</w:t>
      </w:r>
      <w:r w:rsidR="00673F10" w:rsidRPr="001D115E">
        <w:rPr>
          <w:rFonts w:ascii="Arial" w:hAnsi="Arial" w:cs="Arial"/>
          <w:sz w:val="24"/>
          <w:szCs w:val="24"/>
        </w:rPr>
        <w:t xml:space="preserve"> O protocolo de dinâmica molecular foi executado conforme a Figura 1. O campo de força Charmm36m foi usado para descrever todos os sistemas estudados.</w:t>
      </w:r>
    </w:p>
    <w:p w14:paraId="7D797CEE" w14:textId="433A7F5E" w:rsidR="00AF760F" w:rsidRPr="001D115E" w:rsidRDefault="00AF760F" w:rsidP="00477D6E">
      <w:pPr>
        <w:spacing w:after="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sz w:val="20"/>
          <w:szCs w:val="20"/>
        </w:rPr>
        <w:t>Figura 1</w:t>
      </w:r>
      <w:r w:rsidR="00163EB6" w:rsidRPr="001D115E">
        <w:rPr>
          <w:rFonts w:ascii="Arial" w:hAnsi="Arial" w:cs="Arial"/>
          <w:sz w:val="20"/>
          <w:szCs w:val="20"/>
        </w:rPr>
        <w:t xml:space="preserve"> –</w:t>
      </w:r>
      <w:r w:rsidRPr="001D115E">
        <w:rPr>
          <w:rFonts w:ascii="Arial" w:hAnsi="Arial" w:cs="Arial"/>
          <w:sz w:val="20"/>
          <w:szCs w:val="20"/>
        </w:rPr>
        <w:t xml:space="preserve"> Metodologia de réplicas para descrever os sistemas</w:t>
      </w:r>
    </w:p>
    <w:p w14:paraId="4ED43AA1" w14:textId="76598706" w:rsidR="00A56E21" w:rsidRPr="001D115E" w:rsidRDefault="00AF760F" w:rsidP="000D2AB4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046302F1" wp14:editId="6B099E66">
            <wp:extent cx="5492750" cy="29381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1"/>
                    <a:stretch/>
                  </pic:blipFill>
                  <pic:spPr bwMode="auto">
                    <a:xfrm>
                      <a:off x="0" y="0"/>
                      <a:ext cx="5492750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91CA4" w14:textId="6548C7EB" w:rsidR="00163EB6" w:rsidRPr="001D115E" w:rsidRDefault="000D2AB4" w:rsidP="000D2AB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sz w:val="20"/>
          <w:szCs w:val="20"/>
        </w:rPr>
        <w:t>Fonte: Elaboração do autor (2024)</w:t>
      </w:r>
    </w:p>
    <w:p w14:paraId="0AB80E46" w14:textId="2E3FBF63" w:rsidR="005B1112" w:rsidRPr="001D115E" w:rsidRDefault="005B1112" w:rsidP="000B7C35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RESULTADOS E DISCUSSÃO</w:t>
      </w:r>
      <w:r w:rsidR="0084258A" w:rsidRPr="001D115E">
        <w:rPr>
          <w:rFonts w:ascii="Arial" w:hAnsi="Arial" w:cs="Arial"/>
          <w:b/>
          <w:sz w:val="24"/>
          <w:szCs w:val="24"/>
        </w:rPr>
        <w:t>/RELATO DE EXPERIÊNCIA</w:t>
      </w:r>
    </w:p>
    <w:p w14:paraId="3CAEBE10" w14:textId="2B80CB3A" w:rsidR="001C32B5" w:rsidRPr="001D115E" w:rsidRDefault="001C32B5" w:rsidP="001C32B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sz w:val="24"/>
          <w:szCs w:val="24"/>
        </w:rPr>
        <w:t>A cutinase tem estados</w:t>
      </w:r>
      <w:r w:rsidR="00A00B9B" w:rsidRPr="001D115E">
        <w:rPr>
          <w:rFonts w:ascii="Arial" w:hAnsi="Arial" w:cs="Arial"/>
          <w:sz w:val="24"/>
          <w:szCs w:val="24"/>
        </w:rPr>
        <w:t xml:space="preserve"> aberto e fechado</w:t>
      </w:r>
      <w:r w:rsidRPr="001D115E">
        <w:rPr>
          <w:rFonts w:ascii="Arial" w:hAnsi="Arial" w:cs="Arial"/>
          <w:sz w:val="24"/>
          <w:szCs w:val="24"/>
        </w:rPr>
        <w:t xml:space="preserve">, dependendo da conformação que ela assume na região do sítio ativo, e essas conformações determinam o acesso ou não à ligação com o substrato, considerando essas representações conformacionais. A análise do desvio quadrático médio (RMSD) em Å foi realizada usando as estruturas cristalográficas de ambas as cutinases como referência. A Figura 2A demonstra estabilidade estrutural ao longo do tempo de simulação nas réplicas para o </w:t>
      </w:r>
      <w:r w:rsidRPr="001D115E">
        <w:rPr>
          <w:rFonts w:ascii="Arial" w:hAnsi="Arial" w:cs="Arial"/>
          <w:i/>
          <w:sz w:val="24"/>
          <w:szCs w:val="24"/>
        </w:rPr>
        <w:t>Fo</w:t>
      </w:r>
      <w:r w:rsidRPr="001D115E">
        <w:rPr>
          <w:rFonts w:ascii="Arial" w:hAnsi="Arial" w:cs="Arial"/>
          <w:sz w:val="24"/>
          <w:szCs w:val="24"/>
        </w:rPr>
        <w:t xml:space="preserve">Cut5a, com apenas uma leve evolução na quarta e </w:t>
      </w:r>
      <w:r w:rsidR="00BF4359" w:rsidRPr="001D115E">
        <w:rPr>
          <w:rFonts w:ascii="Arial" w:hAnsi="Arial" w:cs="Arial"/>
          <w:sz w:val="24"/>
          <w:szCs w:val="24"/>
        </w:rPr>
        <w:t>décima réplica</w:t>
      </w:r>
      <w:r w:rsidRPr="001D115E">
        <w:rPr>
          <w:rFonts w:ascii="Arial" w:hAnsi="Arial" w:cs="Arial"/>
          <w:sz w:val="24"/>
          <w:szCs w:val="24"/>
        </w:rPr>
        <w:t xml:space="preserve">, validando assim a escolha de réplicas curtas em vez de simulações longas, enquanto todas as réplicas iniciais de </w:t>
      </w:r>
      <w:r w:rsidRPr="001D115E">
        <w:rPr>
          <w:rFonts w:ascii="Arial" w:hAnsi="Arial" w:cs="Arial"/>
          <w:i/>
          <w:sz w:val="24"/>
          <w:szCs w:val="24"/>
        </w:rPr>
        <w:t>Fs</w:t>
      </w:r>
      <w:r w:rsidRPr="001D115E">
        <w:rPr>
          <w:rFonts w:ascii="Arial" w:hAnsi="Arial" w:cs="Arial"/>
          <w:sz w:val="24"/>
          <w:szCs w:val="24"/>
        </w:rPr>
        <w:t xml:space="preserve">Cut1 mostraram quase nenhum desvio, exceto por uma pequena variação no final da segunda réplica. Esses resultados sugerem que o </w:t>
      </w:r>
      <w:r w:rsidRPr="001D115E">
        <w:rPr>
          <w:rFonts w:ascii="Arial" w:hAnsi="Arial" w:cs="Arial"/>
          <w:i/>
          <w:sz w:val="24"/>
          <w:szCs w:val="24"/>
        </w:rPr>
        <w:t>Fo</w:t>
      </w:r>
      <w:r w:rsidRPr="001D115E">
        <w:rPr>
          <w:rFonts w:ascii="Arial" w:hAnsi="Arial" w:cs="Arial"/>
          <w:sz w:val="24"/>
          <w:szCs w:val="24"/>
        </w:rPr>
        <w:t xml:space="preserve">Cut5a tem a capacidade de ser mais flexível que o </w:t>
      </w:r>
      <w:r w:rsidRPr="001D115E">
        <w:rPr>
          <w:rFonts w:ascii="Arial" w:hAnsi="Arial" w:cs="Arial"/>
          <w:i/>
          <w:sz w:val="24"/>
          <w:szCs w:val="24"/>
        </w:rPr>
        <w:t>Fs</w:t>
      </w:r>
      <w:r w:rsidRPr="001D115E">
        <w:rPr>
          <w:rFonts w:ascii="Arial" w:hAnsi="Arial" w:cs="Arial"/>
          <w:sz w:val="24"/>
          <w:szCs w:val="24"/>
        </w:rPr>
        <w:t xml:space="preserve">Cut1 e explorar diferentes estados com mais facilidade. É possível observar que o RMSD para o </w:t>
      </w:r>
      <w:r w:rsidRPr="001D115E">
        <w:rPr>
          <w:rFonts w:ascii="Arial" w:hAnsi="Arial" w:cs="Arial"/>
          <w:i/>
          <w:sz w:val="24"/>
          <w:szCs w:val="24"/>
        </w:rPr>
        <w:t>Fs</w:t>
      </w:r>
      <w:r w:rsidRPr="001D115E">
        <w:rPr>
          <w:rFonts w:ascii="Arial" w:hAnsi="Arial" w:cs="Arial"/>
          <w:sz w:val="24"/>
          <w:szCs w:val="24"/>
        </w:rPr>
        <w:t>Cut1 (linha azul) varia durante as réplicas 4, 9 e 10, demonstrando que houve alguma mudança conformacional, confirmando a validade da metodologia de réplica.</w:t>
      </w:r>
    </w:p>
    <w:p w14:paraId="37ACA1FA" w14:textId="0701389B" w:rsidR="001C32B5" w:rsidRPr="001D115E" w:rsidRDefault="001C32B5" w:rsidP="000D2AB4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sz w:val="24"/>
          <w:szCs w:val="24"/>
        </w:rPr>
        <w:t xml:space="preserve">Calculamos o </w:t>
      </w:r>
      <w:r w:rsidR="00A00B9B" w:rsidRPr="001D115E">
        <w:rPr>
          <w:rFonts w:ascii="Arial" w:hAnsi="Arial" w:cs="Arial"/>
          <w:sz w:val="24"/>
          <w:szCs w:val="24"/>
        </w:rPr>
        <w:t xml:space="preserve">PMF </w:t>
      </w:r>
      <w:r w:rsidRPr="001D115E">
        <w:rPr>
          <w:rFonts w:ascii="Arial" w:hAnsi="Arial" w:cs="Arial"/>
          <w:sz w:val="24"/>
          <w:szCs w:val="24"/>
        </w:rPr>
        <w:t xml:space="preserve">para demonstrar a viabilidade energética em torno </w:t>
      </w:r>
      <w:r w:rsidR="000D2AB4" w:rsidRPr="001D115E">
        <w:rPr>
          <w:rFonts w:ascii="Arial" w:hAnsi="Arial" w:cs="Arial"/>
          <w:sz w:val="24"/>
          <w:szCs w:val="24"/>
        </w:rPr>
        <w:t xml:space="preserve">do </w:t>
      </w:r>
      <w:r w:rsidR="000D2AB4" w:rsidRPr="001D115E">
        <w:rPr>
          <w:rFonts w:ascii="Arial" w:hAnsi="Arial" w:cs="Arial"/>
          <w:i/>
          <w:sz w:val="24"/>
          <w:szCs w:val="24"/>
        </w:rPr>
        <w:t>flap</w:t>
      </w:r>
      <w:r w:rsidR="000D2AB4" w:rsidRPr="001D115E">
        <w:rPr>
          <w:rFonts w:ascii="Arial" w:hAnsi="Arial" w:cs="Arial"/>
          <w:sz w:val="24"/>
          <w:szCs w:val="24"/>
        </w:rPr>
        <w:t xml:space="preserve"> </w:t>
      </w:r>
      <w:r w:rsidRPr="001D115E">
        <w:rPr>
          <w:rFonts w:ascii="Arial" w:hAnsi="Arial" w:cs="Arial"/>
          <w:sz w:val="24"/>
          <w:szCs w:val="24"/>
        </w:rPr>
        <w:t xml:space="preserve">e do </w:t>
      </w:r>
      <w:r w:rsidRPr="001D115E">
        <w:rPr>
          <w:rFonts w:ascii="Arial" w:hAnsi="Arial" w:cs="Arial"/>
          <w:i/>
          <w:sz w:val="24"/>
          <w:szCs w:val="24"/>
        </w:rPr>
        <w:t>loop</w:t>
      </w:r>
      <w:r w:rsidRPr="001D115E">
        <w:rPr>
          <w:rFonts w:ascii="Arial" w:hAnsi="Arial" w:cs="Arial"/>
          <w:sz w:val="24"/>
          <w:szCs w:val="24"/>
        </w:rPr>
        <w:t xml:space="preserve"> catalítico que modula o acesso ao sítio ativo. Como as distâncias D1 e D2 são capazes de definir os estados fechado</w:t>
      </w:r>
      <w:r w:rsidR="000D2AB4" w:rsidRPr="001D115E">
        <w:rPr>
          <w:rFonts w:ascii="Arial" w:hAnsi="Arial" w:cs="Arial"/>
          <w:sz w:val="24"/>
          <w:szCs w:val="24"/>
        </w:rPr>
        <w:t xml:space="preserve"> e aberto</w:t>
      </w:r>
      <w:r w:rsidRPr="001D115E">
        <w:rPr>
          <w:rFonts w:ascii="Arial" w:hAnsi="Arial" w:cs="Arial"/>
          <w:sz w:val="24"/>
          <w:szCs w:val="24"/>
        </w:rPr>
        <w:t xml:space="preserve"> pela sua aproximação ou afastamento. O </w:t>
      </w:r>
      <w:r w:rsidR="000D2AB4" w:rsidRPr="001D115E">
        <w:rPr>
          <w:rFonts w:ascii="Arial" w:hAnsi="Arial" w:cs="Arial"/>
          <w:sz w:val="24"/>
          <w:szCs w:val="24"/>
        </w:rPr>
        <w:t>gatilho</w:t>
      </w:r>
      <w:r w:rsidRPr="001D115E">
        <w:rPr>
          <w:rFonts w:ascii="Arial" w:hAnsi="Arial" w:cs="Arial"/>
          <w:sz w:val="24"/>
          <w:szCs w:val="24"/>
        </w:rPr>
        <w:t xml:space="preserve"> D1 do </w:t>
      </w:r>
      <w:r w:rsidRPr="001D115E">
        <w:rPr>
          <w:rFonts w:ascii="Arial" w:hAnsi="Arial" w:cs="Arial"/>
          <w:i/>
          <w:sz w:val="24"/>
          <w:szCs w:val="24"/>
        </w:rPr>
        <w:t>Fo</w:t>
      </w:r>
      <w:r w:rsidRPr="001D115E">
        <w:rPr>
          <w:rFonts w:ascii="Arial" w:hAnsi="Arial" w:cs="Arial"/>
          <w:sz w:val="24"/>
          <w:szCs w:val="24"/>
        </w:rPr>
        <w:t xml:space="preserve">Cut5a mostrou um mínimo de energia bem definido para a distância fechada e um pequeno </w:t>
      </w:r>
      <w:r w:rsidR="000D2AB4" w:rsidRPr="001D115E">
        <w:rPr>
          <w:rFonts w:ascii="Arial" w:hAnsi="Arial" w:cs="Arial"/>
          <w:sz w:val="24"/>
          <w:szCs w:val="24"/>
        </w:rPr>
        <w:t xml:space="preserve">mínimo menos definido </w:t>
      </w:r>
      <w:r w:rsidRPr="001D115E">
        <w:rPr>
          <w:rFonts w:ascii="Arial" w:hAnsi="Arial" w:cs="Arial"/>
          <w:sz w:val="24"/>
          <w:szCs w:val="24"/>
        </w:rPr>
        <w:t xml:space="preserve">para a distância aberta antes de sua energia aumentar por volta de 9 Å e o </w:t>
      </w:r>
      <w:r w:rsidR="000D2AB4" w:rsidRPr="001D115E">
        <w:rPr>
          <w:rFonts w:ascii="Arial" w:hAnsi="Arial" w:cs="Arial"/>
          <w:sz w:val="24"/>
          <w:szCs w:val="24"/>
        </w:rPr>
        <w:t xml:space="preserve">gatilho </w:t>
      </w:r>
      <w:r w:rsidRPr="001D115E">
        <w:rPr>
          <w:rFonts w:ascii="Arial" w:hAnsi="Arial" w:cs="Arial"/>
          <w:sz w:val="24"/>
          <w:szCs w:val="24"/>
        </w:rPr>
        <w:t xml:space="preserve">D2 </w:t>
      </w:r>
      <w:r w:rsidR="000D2AB4" w:rsidRPr="001D115E">
        <w:rPr>
          <w:rFonts w:ascii="Arial" w:hAnsi="Arial" w:cs="Arial"/>
          <w:sz w:val="24"/>
          <w:szCs w:val="24"/>
        </w:rPr>
        <w:t>demonstrou</w:t>
      </w:r>
      <w:r w:rsidRPr="001D115E">
        <w:rPr>
          <w:rFonts w:ascii="Arial" w:hAnsi="Arial" w:cs="Arial"/>
          <w:sz w:val="24"/>
          <w:szCs w:val="24"/>
        </w:rPr>
        <w:t xml:space="preserve"> dois mínimos de energia visíveis para as distâncias fechadas e abertas (figura 2B), </w:t>
      </w:r>
      <w:r w:rsidRPr="001D115E">
        <w:rPr>
          <w:rFonts w:ascii="Arial" w:hAnsi="Arial" w:cs="Arial"/>
          <w:sz w:val="24"/>
          <w:szCs w:val="24"/>
        </w:rPr>
        <w:lastRenderedPageBreak/>
        <w:t xml:space="preserve">enquanto o D1 do </w:t>
      </w:r>
      <w:r w:rsidRPr="001D115E">
        <w:rPr>
          <w:rFonts w:ascii="Arial" w:hAnsi="Arial" w:cs="Arial"/>
          <w:i/>
          <w:sz w:val="24"/>
          <w:szCs w:val="24"/>
        </w:rPr>
        <w:t>Fs</w:t>
      </w:r>
      <w:r w:rsidRPr="001D115E">
        <w:rPr>
          <w:rFonts w:ascii="Arial" w:hAnsi="Arial" w:cs="Arial"/>
          <w:sz w:val="24"/>
          <w:szCs w:val="24"/>
        </w:rPr>
        <w:t xml:space="preserve">Cut1 mostrou o mesmo mínimo de energia definido que o D1 do </w:t>
      </w:r>
      <w:r w:rsidRPr="001D115E">
        <w:rPr>
          <w:rFonts w:ascii="Arial" w:hAnsi="Arial" w:cs="Arial"/>
          <w:i/>
          <w:sz w:val="24"/>
          <w:szCs w:val="24"/>
        </w:rPr>
        <w:t>Fo</w:t>
      </w:r>
      <w:r w:rsidRPr="001D115E">
        <w:rPr>
          <w:rFonts w:ascii="Arial" w:hAnsi="Arial" w:cs="Arial"/>
          <w:sz w:val="24"/>
          <w:szCs w:val="24"/>
        </w:rPr>
        <w:t xml:space="preserve">Cut5a, </w:t>
      </w:r>
      <w:r w:rsidR="00131941" w:rsidRPr="001D115E">
        <w:rPr>
          <w:rFonts w:ascii="Arial" w:hAnsi="Arial" w:cs="Arial"/>
          <w:sz w:val="24"/>
          <w:szCs w:val="24"/>
        </w:rPr>
        <w:t>mínimo</w:t>
      </w:r>
      <w:r w:rsidRPr="001D115E">
        <w:rPr>
          <w:rFonts w:ascii="Arial" w:hAnsi="Arial" w:cs="Arial"/>
          <w:sz w:val="24"/>
          <w:szCs w:val="24"/>
        </w:rPr>
        <w:t xml:space="preserve"> é mais curto, elevando </w:t>
      </w:r>
      <w:r w:rsidR="000D2AB4" w:rsidRPr="001D115E">
        <w:rPr>
          <w:rFonts w:ascii="Arial" w:hAnsi="Arial" w:cs="Arial"/>
          <w:sz w:val="24"/>
          <w:szCs w:val="24"/>
        </w:rPr>
        <w:t xml:space="preserve">sua energia em torno de 8,2 Å enquanto </w:t>
      </w:r>
      <w:r w:rsidRPr="001D115E">
        <w:rPr>
          <w:rFonts w:ascii="Arial" w:hAnsi="Arial" w:cs="Arial"/>
          <w:sz w:val="24"/>
          <w:szCs w:val="24"/>
        </w:rPr>
        <w:t xml:space="preserve">o </w:t>
      </w:r>
      <w:r w:rsidR="000D2AB4" w:rsidRPr="001D115E">
        <w:rPr>
          <w:rFonts w:ascii="Arial" w:hAnsi="Arial" w:cs="Arial"/>
          <w:sz w:val="24"/>
          <w:szCs w:val="24"/>
        </w:rPr>
        <w:t xml:space="preserve">gatilho </w:t>
      </w:r>
      <w:r w:rsidRPr="001D115E">
        <w:rPr>
          <w:rFonts w:ascii="Arial" w:hAnsi="Arial" w:cs="Arial"/>
          <w:sz w:val="24"/>
          <w:szCs w:val="24"/>
        </w:rPr>
        <w:t>D2 manteve o mesm</w:t>
      </w:r>
      <w:r w:rsidR="00AF760F" w:rsidRPr="001D115E">
        <w:rPr>
          <w:rFonts w:ascii="Arial" w:hAnsi="Arial" w:cs="Arial"/>
          <w:sz w:val="24"/>
          <w:szCs w:val="24"/>
        </w:rPr>
        <w:t>o padrão neste sistema (figura 2</w:t>
      </w:r>
      <w:r w:rsidRPr="001D115E">
        <w:rPr>
          <w:rFonts w:ascii="Arial" w:hAnsi="Arial" w:cs="Arial"/>
          <w:sz w:val="24"/>
          <w:szCs w:val="24"/>
        </w:rPr>
        <w:t>C).</w:t>
      </w:r>
    </w:p>
    <w:p w14:paraId="3F8BEB64" w14:textId="6DD15EA1" w:rsidR="004F165E" w:rsidRPr="001D115E" w:rsidRDefault="004F165E" w:rsidP="000D2AB4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sz w:val="20"/>
          <w:szCs w:val="20"/>
        </w:rPr>
        <w:t xml:space="preserve">Figura 2. Gráfico de RMSD e </w:t>
      </w:r>
      <w:r w:rsidR="00010EA5" w:rsidRPr="001D115E">
        <w:rPr>
          <w:rFonts w:ascii="Arial" w:hAnsi="Arial" w:cs="Arial"/>
          <w:sz w:val="20"/>
          <w:szCs w:val="20"/>
        </w:rPr>
        <w:t>PMF da abertura da cutinase com base na distância.</w:t>
      </w:r>
      <w:r w:rsidRPr="001D115E">
        <w:rPr>
          <w:rFonts w:ascii="Arial" w:hAnsi="Arial" w:cs="Arial"/>
          <w:sz w:val="20"/>
          <w:szCs w:val="20"/>
        </w:rPr>
        <w:t xml:space="preserve"> </w:t>
      </w:r>
    </w:p>
    <w:p w14:paraId="11476EC3" w14:textId="5AAE16BE" w:rsidR="00AF760F" w:rsidRPr="001D115E" w:rsidRDefault="00AF760F" w:rsidP="000D2AB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 wp14:anchorId="0424442A" wp14:editId="5920BEC1">
            <wp:extent cx="5736958" cy="4200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13" cy="420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A19E" w14:textId="39354AEB" w:rsidR="001C32B5" w:rsidRPr="001D115E" w:rsidRDefault="000D2AB4" w:rsidP="000D2AB4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sz w:val="20"/>
          <w:szCs w:val="20"/>
        </w:rPr>
        <w:t>Fonte: Dados extraídos desta pesquisa (2024)</w:t>
      </w:r>
    </w:p>
    <w:p w14:paraId="07D1FA43" w14:textId="105313DB" w:rsidR="00C60CD7" w:rsidRPr="001D115E" w:rsidRDefault="00C60CD7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sz w:val="24"/>
          <w:szCs w:val="24"/>
        </w:rPr>
        <w:tab/>
        <w:t>Então, a partir dos dados do PMF, foram obtidas as estruturas representativas para os estados fechado – com D1 entre 4,4 e 6,5 Å e D2 entre 4,5 e 6,8 Å, aberto – com D1 entre 7,0 e 9,5 Å e D2 entre 7,2 e 13,3 Å e estados intermediários combinando as distâncias D1 e D2 entre a estrutura fechada e aberta</w:t>
      </w:r>
      <w:r w:rsidR="00250C0A" w:rsidRPr="001D115E">
        <w:rPr>
          <w:rFonts w:ascii="Arial" w:hAnsi="Arial" w:cs="Arial"/>
          <w:sz w:val="24"/>
          <w:szCs w:val="24"/>
        </w:rPr>
        <w:t>. O volume identificado nessas estruturas (Figura 3), indica o aumento de 659,28 Å da estrutura fechada para 1331,89 Å da estrutura aberta, volume capaz de comportar o PET e outros polímeros de forma adequada</w:t>
      </w:r>
      <w:r w:rsidR="002737C1" w:rsidRPr="001D115E">
        <w:rPr>
          <w:rFonts w:ascii="Arial" w:hAnsi="Arial" w:cs="Arial"/>
          <w:sz w:val="24"/>
          <w:szCs w:val="24"/>
        </w:rPr>
        <w:t>.</w:t>
      </w:r>
      <w:r w:rsidR="007E1A45" w:rsidRPr="001D115E">
        <w:rPr>
          <w:rFonts w:ascii="Arial" w:hAnsi="Arial" w:cs="Arial"/>
          <w:sz w:val="24"/>
          <w:szCs w:val="24"/>
        </w:rPr>
        <w:t xml:space="preserve"> </w:t>
      </w:r>
    </w:p>
    <w:p w14:paraId="47D37FA0" w14:textId="77777777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AF824EB" w14:textId="77777777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3A1D22" w14:textId="77777777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5944145" w14:textId="77777777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72BB9F3" w14:textId="77777777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6E7DFE6" w14:textId="64E7D0E4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1D115E">
        <w:rPr>
          <w:rFonts w:ascii="Arial" w:hAnsi="Arial" w:cs="Arial"/>
          <w:sz w:val="20"/>
          <w:szCs w:val="20"/>
        </w:rPr>
        <w:t xml:space="preserve">Figura 3. Estados representativos das estruturas fechada, intermediárias e aberta da </w:t>
      </w:r>
      <w:r w:rsidRPr="001D115E">
        <w:rPr>
          <w:rFonts w:ascii="Arial" w:hAnsi="Arial" w:cs="Arial"/>
          <w:i/>
          <w:iCs/>
          <w:sz w:val="20"/>
          <w:szCs w:val="20"/>
        </w:rPr>
        <w:t>FoCut5a</w:t>
      </w:r>
      <w:r w:rsidRPr="001D115E">
        <w:rPr>
          <w:rFonts w:ascii="Arial" w:hAnsi="Arial" w:cs="Arial"/>
          <w:sz w:val="20"/>
          <w:szCs w:val="20"/>
        </w:rPr>
        <w:t>.</w:t>
      </w:r>
    </w:p>
    <w:p w14:paraId="0181DB1F" w14:textId="0C16D0B2" w:rsidR="002737C1" w:rsidRPr="001D115E" w:rsidRDefault="002737C1" w:rsidP="00C60CD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959F56" wp14:editId="7DCB3EED">
            <wp:extent cx="5760085" cy="2263775"/>
            <wp:effectExtent l="0" t="0" r="0" b="0"/>
            <wp:docPr id="3186977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97744" name="Imagem 3186977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9F61" w14:textId="4B2C63E2" w:rsidR="002737C1" w:rsidRPr="001D115E" w:rsidRDefault="002737C1" w:rsidP="002737C1">
      <w:pPr>
        <w:spacing w:after="0" w:line="360" w:lineRule="auto"/>
        <w:rPr>
          <w:rFonts w:ascii="Arial" w:hAnsi="Arial" w:cs="Arial"/>
          <w:bCs/>
          <w:sz w:val="20"/>
          <w:szCs w:val="20"/>
        </w:rPr>
      </w:pPr>
      <w:r w:rsidRPr="001D115E">
        <w:rPr>
          <w:rFonts w:ascii="Arial" w:hAnsi="Arial" w:cs="Arial"/>
          <w:bCs/>
          <w:sz w:val="20"/>
          <w:szCs w:val="20"/>
        </w:rPr>
        <w:t>Fonte: Elaboração do Autor (2024).</w:t>
      </w:r>
    </w:p>
    <w:p w14:paraId="21A48D8F" w14:textId="103D6DD1" w:rsidR="0084258A" w:rsidRPr="001D115E" w:rsidRDefault="0084258A" w:rsidP="000B7C35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CONCLUSÃO/CONSIDERAÇÕES FINAIS</w:t>
      </w:r>
    </w:p>
    <w:p w14:paraId="667A3550" w14:textId="54E53F31" w:rsidR="001C32B5" w:rsidRPr="001D115E" w:rsidRDefault="00A00B9B" w:rsidP="00250C0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D115E">
        <w:rPr>
          <w:rFonts w:ascii="Arial" w:hAnsi="Arial" w:cs="Arial"/>
          <w:sz w:val="24"/>
          <w:szCs w:val="24"/>
        </w:rPr>
        <w:t xml:space="preserve">Os </w:t>
      </w:r>
      <w:r w:rsidR="001C32B5" w:rsidRPr="001D115E">
        <w:rPr>
          <w:rFonts w:ascii="Arial" w:hAnsi="Arial" w:cs="Arial"/>
          <w:sz w:val="24"/>
          <w:szCs w:val="24"/>
        </w:rPr>
        <w:t xml:space="preserve">resultados revelam que </w:t>
      </w:r>
      <w:r w:rsidR="002737C1" w:rsidRPr="001D115E">
        <w:rPr>
          <w:rFonts w:ascii="Arial" w:hAnsi="Arial" w:cs="Arial"/>
          <w:sz w:val="24"/>
          <w:szCs w:val="24"/>
        </w:rPr>
        <w:t xml:space="preserve">as enzimas </w:t>
      </w:r>
      <w:r w:rsidR="002737C1" w:rsidRPr="001D115E">
        <w:rPr>
          <w:rFonts w:ascii="Arial" w:hAnsi="Arial" w:cs="Arial"/>
          <w:i/>
          <w:iCs/>
          <w:sz w:val="24"/>
          <w:szCs w:val="24"/>
        </w:rPr>
        <w:t>Fo</w:t>
      </w:r>
      <w:r w:rsidR="002737C1" w:rsidRPr="001D115E">
        <w:rPr>
          <w:rFonts w:ascii="Arial" w:hAnsi="Arial" w:cs="Arial"/>
          <w:sz w:val="24"/>
          <w:szCs w:val="24"/>
        </w:rPr>
        <w:t xml:space="preserve">Cut5a e </w:t>
      </w:r>
      <w:r w:rsidR="002737C1" w:rsidRPr="001D115E">
        <w:rPr>
          <w:rFonts w:ascii="Arial" w:hAnsi="Arial" w:cs="Arial"/>
          <w:i/>
          <w:iCs/>
          <w:sz w:val="24"/>
          <w:szCs w:val="24"/>
        </w:rPr>
        <w:t>Fs</w:t>
      </w:r>
      <w:r w:rsidR="002737C1" w:rsidRPr="001D115E">
        <w:rPr>
          <w:rFonts w:ascii="Arial" w:hAnsi="Arial" w:cs="Arial"/>
          <w:sz w:val="24"/>
          <w:szCs w:val="24"/>
        </w:rPr>
        <w:t xml:space="preserve">Cut1 conseguem </w:t>
      </w:r>
      <w:r w:rsidR="007E1A45" w:rsidRPr="001D115E">
        <w:rPr>
          <w:rFonts w:ascii="Arial" w:hAnsi="Arial" w:cs="Arial"/>
          <w:sz w:val="24"/>
          <w:szCs w:val="24"/>
        </w:rPr>
        <w:t>alcançar um rearranjo estrutural capaz de acomodar o PET e possíveis outros polímeros e que, devido à similaridade estrutural entre as cutinases, é possível que cutinases de outros organismos possuem mecanismos similares para a abertura do sítio catalítico para a hidrólise eficiente do substrato</w:t>
      </w:r>
      <w:r w:rsidR="001C32B5" w:rsidRPr="001D115E">
        <w:rPr>
          <w:rFonts w:ascii="Arial" w:hAnsi="Arial" w:cs="Arial"/>
          <w:sz w:val="24"/>
          <w:szCs w:val="24"/>
        </w:rPr>
        <w:t xml:space="preserve">. Esse </w:t>
      </w:r>
      <w:r w:rsidR="001C32B5" w:rsidRPr="001D115E">
        <w:rPr>
          <w:rFonts w:ascii="Arial" w:hAnsi="Arial" w:cs="Arial"/>
          <w:i/>
          <w:sz w:val="24"/>
          <w:szCs w:val="24"/>
        </w:rPr>
        <w:t>insight</w:t>
      </w:r>
      <w:r w:rsidR="001C32B5" w:rsidRPr="001D115E">
        <w:rPr>
          <w:rFonts w:ascii="Arial" w:hAnsi="Arial" w:cs="Arial"/>
          <w:sz w:val="24"/>
          <w:szCs w:val="24"/>
        </w:rPr>
        <w:t xml:space="preserve"> avançam </w:t>
      </w:r>
      <w:r w:rsidR="007E1A45" w:rsidRPr="001D115E">
        <w:rPr>
          <w:rFonts w:ascii="Arial" w:hAnsi="Arial" w:cs="Arial"/>
          <w:sz w:val="24"/>
          <w:szCs w:val="24"/>
        </w:rPr>
        <w:t>a</w:t>
      </w:r>
      <w:r w:rsidR="001C32B5" w:rsidRPr="001D115E">
        <w:rPr>
          <w:rFonts w:ascii="Arial" w:hAnsi="Arial" w:cs="Arial"/>
          <w:sz w:val="24"/>
          <w:szCs w:val="24"/>
        </w:rPr>
        <w:t xml:space="preserve"> compreensão </w:t>
      </w:r>
      <w:r w:rsidR="007E1A45" w:rsidRPr="001D115E">
        <w:rPr>
          <w:rFonts w:ascii="Arial" w:hAnsi="Arial" w:cs="Arial"/>
          <w:sz w:val="24"/>
          <w:szCs w:val="24"/>
        </w:rPr>
        <w:t>acerca da</w:t>
      </w:r>
      <w:r w:rsidR="001C32B5" w:rsidRPr="001D115E">
        <w:rPr>
          <w:rFonts w:ascii="Arial" w:hAnsi="Arial" w:cs="Arial"/>
          <w:sz w:val="24"/>
          <w:szCs w:val="24"/>
        </w:rPr>
        <w:t xml:space="preserve"> degradação enzimática do PET e oferecem uma base robusta </w:t>
      </w:r>
      <w:r w:rsidR="007E1A45" w:rsidRPr="001D115E">
        <w:rPr>
          <w:rFonts w:ascii="Arial" w:hAnsi="Arial" w:cs="Arial"/>
          <w:sz w:val="24"/>
          <w:szCs w:val="24"/>
        </w:rPr>
        <w:t>para o estudo</w:t>
      </w:r>
      <w:r w:rsidR="00FE2292" w:rsidRPr="001D115E">
        <w:rPr>
          <w:rFonts w:ascii="Arial" w:hAnsi="Arial" w:cs="Arial"/>
          <w:sz w:val="24"/>
          <w:szCs w:val="24"/>
        </w:rPr>
        <w:t>.</w:t>
      </w:r>
    </w:p>
    <w:p w14:paraId="47386795" w14:textId="77777777" w:rsidR="007E1A45" w:rsidRPr="001D115E" w:rsidRDefault="007E1A45" w:rsidP="00250C0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2152A1A" w14:textId="30C82062" w:rsidR="0084258A" w:rsidRPr="001D115E" w:rsidRDefault="0084258A" w:rsidP="0084258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D115E">
        <w:rPr>
          <w:rFonts w:ascii="Arial" w:hAnsi="Arial" w:cs="Arial"/>
          <w:b/>
          <w:sz w:val="24"/>
          <w:szCs w:val="24"/>
        </w:rPr>
        <w:t>REFERÊNCIAS</w:t>
      </w:r>
    </w:p>
    <w:sdt>
      <w:sdtPr>
        <w:rPr>
          <w:rFonts w:ascii="Arial" w:hAnsi="Arial" w:cs="Arial"/>
          <w:sz w:val="24"/>
          <w:szCs w:val="24"/>
        </w:rPr>
        <w:tag w:val="MENDELEY_BIBLIOGRAPHY"/>
        <w:id w:val="-293367764"/>
        <w:placeholder>
          <w:docPart w:val="DefaultPlaceholder_-1854013440"/>
        </w:placeholder>
      </w:sdtPr>
      <w:sdtEndPr/>
      <w:sdtContent>
        <w:p w14:paraId="2B85EA80" w14:textId="77777777" w:rsidR="000B67CB" w:rsidRPr="001D115E" w:rsidRDefault="000B67CB" w:rsidP="000B67CB">
          <w:pPr>
            <w:spacing w:line="240" w:lineRule="auto"/>
            <w:divId w:val="993220943"/>
            <w:rPr>
              <w:rFonts w:ascii="Arial" w:eastAsia="Times New Roman" w:hAnsi="Arial" w:cs="Arial"/>
              <w:sz w:val="24"/>
              <w:szCs w:val="24"/>
            </w:rPr>
          </w:pP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ALISCH-MARK, M.; HERRMANN, A.; ZIMMERMANN, W. Increase of the Hydrophilicity of Polyethylene Terephthalate Fibres by Hydrolases from Thermomonospora fusca and Fusarium solani f. sp. pisi. </w:t>
          </w:r>
          <w:r w:rsidRPr="001D115E">
            <w:rPr>
              <w:rFonts w:ascii="Arial" w:eastAsia="Times New Roman" w:hAnsi="Arial" w:cs="Arial"/>
              <w:b/>
              <w:bCs/>
              <w:sz w:val="24"/>
              <w:szCs w:val="24"/>
            </w:rPr>
            <w:t>Biotechnology Letters</w:t>
          </w: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, v. 28, n. 10, p. 681–685, 23 maio 2006. </w:t>
          </w:r>
        </w:p>
        <w:p w14:paraId="4B81EEC4" w14:textId="77777777" w:rsidR="000B67CB" w:rsidRPr="001D115E" w:rsidRDefault="000B67CB" w:rsidP="000B67CB">
          <w:pPr>
            <w:spacing w:line="240" w:lineRule="auto"/>
            <w:divId w:val="1848665941"/>
            <w:rPr>
              <w:rFonts w:ascii="Arial" w:eastAsia="Times New Roman" w:hAnsi="Arial" w:cs="Arial"/>
              <w:sz w:val="24"/>
              <w:szCs w:val="24"/>
            </w:rPr>
          </w:pPr>
        </w:p>
        <w:p w14:paraId="52B1ACDE" w14:textId="77777777" w:rsidR="000B67CB" w:rsidRPr="001D115E" w:rsidRDefault="000B67CB" w:rsidP="000B67CB">
          <w:pPr>
            <w:spacing w:line="240" w:lineRule="auto"/>
            <w:divId w:val="1099181225"/>
            <w:rPr>
              <w:rFonts w:ascii="Arial" w:eastAsia="Times New Roman" w:hAnsi="Arial" w:cs="Arial"/>
              <w:sz w:val="24"/>
              <w:szCs w:val="24"/>
            </w:rPr>
          </w:pP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DIMAROGONA, M. et al. Structural and functional studies of a Fusarium oxysporum cutinase with polyethylene terephthalate modification potential. </w:t>
          </w:r>
          <w:r w:rsidRPr="001D115E">
            <w:rPr>
              <w:rFonts w:ascii="Arial" w:eastAsia="Times New Roman" w:hAnsi="Arial" w:cs="Arial"/>
              <w:b/>
              <w:bCs/>
              <w:sz w:val="24"/>
              <w:szCs w:val="24"/>
            </w:rPr>
            <w:t>Biochimica et Biophysica Acta (BBA) - General Subjects</w:t>
          </w: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, v. 1850, n. 11, p. 2308–2317, nov. 2015. </w:t>
          </w:r>
        </w:p>
        <w:p w14:paraId="0541AE6C" w14:textId="77777777" w:rsidR="000B67CB" w:rsidRPr="001D115E" w:rsidRDefault="000B67CB" w:rsidP="000B67CB">
          <w:pPr>
            <w:spacing w:line="240" w:lineRule="auto"/>
            <w:divId w:val="1848665941"/>
            <w:rPr>
              <w:rFonts w:ascii="Arial" w:eastAsia="Times New Roman" w:hAnsi="Arial" w:cs="Arial"/>
              <w:sz w:val="24"/>
              <w:szCs w:val="24"/>
            </w:rPr>
          </w:pPr>
        </w:p>
        <w:p w14:paraId="43CD1CAE" w14:textId="77777777" w:rsidR="000B67CB" w:rsidRPr="001D115E" w:rsidRDefault="000B67CB" w:rsidP="000B67CB">
          <w:pPr>
            <w:spacing w:line="240" w:lineRule="auto"/>
            <w:divId w:val="628438310"/>
            <w:rPr>
              <w:rFonts w:ascii="Arial" w:eastAsia="Times New Roman" w:hAnsi="Arial" w:cs="Arial"/>
              <w:sz w:val="24"/>
              <w:szCs w:val="24"/>
            </w:rPr>
          </w:pP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LONGHI, S. et al. Atomic resolution (1.0 Å) crystal structure of Fusarium solani cutinase: stereochemical analysis. </w:t>
          </w:r>
          <w:r w:rsidRPr="001D115E">
            <w:rPr>
              <w:rFonts w:ascii="Arial" w:eastAsia="Times New Roman" w:hAnsi="Arial" w:cs="Arial"/>
              <w:b/>
              <w:bCs/>
              <w:sz w:val="24"/>
              <w:szCs w:val="24"/>
            </w:rPr>
            <w:t>Journal of Molecular Biology</w:t>
          </w: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, v. 268, n. 4, p. 779–799, maio 1997. </w:t>
          </w:r>
        </w:p>
        <w:p w14:paraId="2ED228F0" w14:textId="77777777" w:rsidR="000B67CB" w:rsidRPr="001D115E" w:rsidRDefault="000B67CB" w:rsidP="000B67CB">
          <w:pPr>
            <w:spacing w:line="240" w:lineRule="auto"/>
            <w:divId w:val="1848665941"/>
            <w:rPr>
              <w:rFonts w:ascii="Arial" w:eastAsia="Times New Roman" w:hAnsi="Arial" w:cs="Arial"/>
              <w:sz w:val="24"/>
              <w:szCs w:val="24"/>
            </w:rPr>
          </w:pPr>
        </w:p>
        <w:p w14:paraId="643B7B09" w14:textId="7AD88AD0" w:rsidR="006D023F" w:rsidRPr="001D115E" w:rsidRDefault="000B67CB" w:rsidP="000B67CB">
          <w:pPr>
            <w:spacing w:line="240" w:lineRule="auto"/>
            <w:rPr>
              <w:rFonts w:ascii="Arial" w:hAnsi="Arial" w:cs="Arial"/>
              <w:sz w:val="24"/>
              <w:szCs w:val="24"/>
            </w:rPr>
          </w:pPr>
          <w:r w:rsidRPr="001D115E">
            <w:rPr>
              <w:rFonts w:ascii="Arial" w:eastAsia="Times New Roman" w:hAnsi="Arial" w:cs="Arial"/>
              <w:sz w:val="24"/>
              <w:szCs w:val="24"/>
            </w:rPr>
            <w:t xml:space="preserve">QIU, J. et al. A comprehensive review on enzymatic biodegradation of polyethylene terephthalate. </w:t>
          </w:r>
          <w:r w:rsidRPr="001D115E">
            <w:rPr>
              <w:rFonts w:ascii="Arial" w:eastAsia="Times New Roman" w:hAnsi="Arial" w:cs="Arial"/>
              <w:b/>
              <w:bCs/>
              <w:sz w:val="24"/>
              <w:szCs w:val="24"/>
            </w:rPr>
            <w:t>Environmental Research</w:t>
          </w:r>
          <w:r w:rsidRPr="001D115E">
            <w:rPr>
              <w:rFonts w:ascii="Arial" w:eastAsia="Times New Roman" w:hAnsi="Arial" w:cs="Arial"/>
              <w:sz w:val="24"/>
              <w:szCs w:val="24"/>
            </w:rPr>
            <w:t>, v. 240, p. 117427, jan. 2024.  </w:t>
          </w:r>
        </w:p>
      </w:sdtContent>
    </w:sdt>
    <w:sectPr w:rsidR="006D023F" w:rsidRPr="001D115E" w:rsidSect="00A56E2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76098" w14:textId="77777777" w:rsidR="0030274B" w:rsidRDefault="0030274B" w:rsidP="00FC3814">
      <w:pPr>
        <w:spacing w:after="0" w:line="240" w:lineRule="auto"/>
      </w:pPr>
      <w:r>
        <w:separator/>
      </w:r>
    </w:p>
  </w:endnote>
  <w:endnote w:type="continuationSeparator" w:id="0">
    <w:p w14:paraId="20655FFD" w14:textId="77777777" w:rsidR="0030274B" w:rsidRDefault="0030274B" w:rsidP="00FC3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BFACB" w14:textId="77777777" w:rsidR="0030274B" w:rsidRDefault="0030274B" w:rsidP="00FC3814">
      <w:pPr>
        <w:spacing w:after="0" w:line="240" w:lineRule="auto"/>
      </w:pPr>
      <w:r>
        <w:separator/>
      </w:r>
    </w:p>
  </w:footnote>
  <w:footnote w:type="continuationSeparator" w:id="0">
    <w:p w14:paraId="57F18F33" w14:textId="77777777" w:rsidR="0030274B" w:rsidRDefault="0030274B" w:rsidP="00FC38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76DB"/>
    <w:multiLevelType w:val="hybridMultilevel"/>
    <w:tmpl w:val="F39660CC"/>
    <w:lvl w:ilvl="0" w:tplc="CE681EA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ED5"/>
    <w:rsid w:val="00010EA5"/>
    <w:rsid w:val="00042DA3"/>
    <w:rsid w:val="00060281"/>
    <w:rsid w:val="0009263D"/>
    <w:rsid w:val="000B67CB"/>
    <w:rsid w:val="000B7C35"/>
    <w:rsid w:val="000B7FC2"/>
    <w:rsid w:val="000C3CF1"/>
    <w:rsid w:val="000D2AB4"/>
    <w:rsid w:val="000F27CE"/>
    <w:rsid w:val="00111035"/>
    <w:rsid w:val="00127FA4"/>
    <w:rsid w:val="00131941"/>
    <w:rsid w:val="00135CAF"/>
    <w:rsid w:val="0013700E"/>
    <w:rsid w:val="00163EB6"/>
    <w:rsid w:val="0016796D"/>
    <w:rsid w:val="00195048"/>
    <w:rsid w:val="001C2DBF"/>
    <w:rsid w:val="001C32B5"/>
    <w:rsid w:val="001D115E"/>
    <w:rsid w:val="00250C0A"/>
    <w:rsid w:val="002737C1"/>
    <w:rsid w:val="0029450F"/>
    <w:rsid w:val="002A1393"/>
    <w:rsid w:val="002B1BDD"/>
    <w:rsid w:val="002B7B07"/>
    <w:rsid w:val="0030274B"/>
    <w:rsid w:val="00383FC4"/>
    <w:rsid w:val="00385D5C"/>
    <w:rsid w:val="0039547E"/>
    <w:rsid w:val="003C48F5"/>
    <w:rsid w:val="00414C7D"/>
    <w:rsid w:val="00477D6E"/>
    <w:rsid w:val="00491E37"/>
    <w:rsid w:val="004A3A6C"/>
    <w:rsid w:val="004B7639"/>
    <w:rsid w:val="004D6C67"/>
    <w:rsid w:val="004E290E"/>
    <w:rsid w:val="004F165E"/>
    <w:rsid w:val="004F3048"/>
    <w:rsid w:val="0050188D"/>
    <w:rsid w:val="0050690A"/>
    <w:rsid w:val="005113A0"/>
    <w:rsid w:val="00527693"/>
    <w:rsid w:val="00530753"/>
    <w:rsid w:val="005B1112"/>
    <w:rsid w:val="005B3C2A"/>
    <w:rsid w:val="005B444E"/>
    <w:rsid w:val="005B494D"/>
    <w:rsid w:val="00634335"/>
    <w:rsid w:val="00634C0B"/>
    <w:rsid w:val="00664AE1"/>
    <w:rsid w:val="00673F10"/>
    <w:rsid w:val="00673FEC"/>
    <w:rsid w:val="0069608D"/>
    <w:rsid w:val="006C27E0"/>
    <w:rsid w:val="006D023F"/>
    <w:rsid w:val="006E5BED"/>
    <w:rsid w:val="00762D64"/>
    <w:rsid w:val="00767F3B"/>
    <w:rsid w:val="00796ED5"/>
    <w:rsid w:val="007A6DDA"/>
    <w:rsid w:val="007B4A0E"/>
    <w:rsid w:val="007C502C"/>
    <w:rsid w:val="007E1A45"/>
    <w:rsid w:val="00813F5D"/>
    <w:rsid w:val="008349D1"/>
    <w:rsid w:val="0084258A"/>
    <w:rsid w:val="008650B9"/>
    <w:rsid w:val="008B2403"/>
    <w:rsid w:val="008F2349"/>
    <w:rsid w:val="009118E8"/>
    <w:rsid w:val="00937DDA"/>
    <w:rsid w:val="009406A7"/>
    <w:rsid w:val="0095555A"/>
    <w:rsid w:val="00992953"/>
    <w:rsid w:val="009A62F7"/>
    <w:rsid w:val="009B0EEF"/>
    <w:rsid w:val="009C4643"/>
    <w:rsid w:val="00A00B9B"/>
    <w:rsid w:val="00A05073"/>
    <w:rsid w:val="00A12804"/>
    <w:rsid w:val="00A56E21"/>
    <w:rsid w:val="00A64535"/>
    <w:rsid w:val="00AF760F"/>
    <w:rsid w:val="00B0353E"/>
    <w:rsid w:val="00B34C62"/>
    <w:rsid w:val="00B4446B"/>
    <w:rsid w:val="00BC2F3B"/>
    <w:rsid w:val="00BC6AB4"/>
    <w:rsid w:val="00BD15B5"/>
    <w:rsid w:val="00BD5F55"/>
    <w:rsid w:val="00BF4359"/>
    <w:rsid w:val="00C124B3"/>
    <w:rsid w:val="00C34179"/>
    <w:rsid w:val="00C341DC"/>
    <w:rsid w:val="00C60CD7"/>
    <w:rsid w:val="00C73ADB"/>
    <w:rsid w:val="00C872CC"/>
    <w:rsid w:val="00D13177"/>
    <w:rsid w:val="00D26899"/>
    <w:rsid w:val="00D955D1"/>
    <w:rsid w:val="00DB32B5"/>
    <w:rsid w:val="00DB3BC6"/>
    <w:rsid w:val="00DE0755"/>
    <w:rsid w:val="00DE1FC5"/>
    <w:rsid w:val="00E22776"/>
    <w:rsid w:val="00E23386"/>
    <w:rsid w:val="00E65A25"/>
    <w:rsid w:val="00E70F11"/>
    <w:rsid w:val="00E86B18"/>
    <w:rsid w:val="00E87D65"/>
    <w:rsid w:val="00EC21D2"/>
    <w:rsid w:val="00EC7A5C"/>
    <w:rsid w:val="00EE600B"/>
    <w:rsid w:val="00F13717"/>
    <w:rsid w:val="00F66CAB"/>
    <w:rsid w:val="00FC3814"/>
    <w:rsid w:val="00FE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D4EE9"/>
  <w15:chartTrackingRefBased/>
  <w15:docId w15:val="{8AB46747-74FC-4CAD-81D2-F77FB8B63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C381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C3814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C3814"/>
    <w:rPr>
      <w:vertAlign w:val="superscript"/>
    </w:rPr>
  </w:style>
  <w:style w:type="paragraph" w:customStyle="1" w:styleId="CorpoA">
    <w:name w:val="Corpo A"/>
    <w:rsid w:val="00DE0755"/>
    <w:pPr>
      <w:spacing w:after="0" w:line="240" w:lineRule="auto"/>
    </w:pPr>
    <w:rPr>
      <w:rFonts w:ascii="Calibri" w:eastAsia="Calibri" w:hAnsi="Calibri" w:cs="Calibri"/>
      <w:color w:val="000000"/>
      <w:u w:color="000000"/>
      <w:lang w:eastAsia="pt-BR"/>
    </w:rPr>
  </w:style>
  <w:style w:type="character" w:customStyle="1" w:styleId="apple-converted-space">
    <w:name w:val="apple-converted-space"/>
    <w:rsid w:val="00DE0755"/>
  </w:style>
  <w:style w:type="paragraph" w:styleId="PargrafodaLista">
    <w:name w:val="List Paragraph"/>
    <w:basedOn w:val="Normal"/>
    <w:uiPriority w:val="34"/>
    <w:qFormat/>
    <w:rsid w:val="00414C7D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664AE1"/>
    <w:rPr>
      <w:color w:val="666666"/>
    </w:rPr>
  </w:style>
  <w:style w:type="character" w:styleId="Refdecomentrio">
    <w:name w:val="annotation reference"/>
    <w:basedOn w:val="Fontepargpadro"/>
    <w:uiPriority w:val="99"/>
    <w:semiHidden/>
    <w:unhideWhenUsed/>
    <w:rsid w:val="0009263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9263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9263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9263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9263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18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18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24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69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66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CBB2A46-37E1-4E59-9C42-AAAF219CC7B7}"/>
      </w:docPartPr>
      <w:docPartBody>
        <w:p w:rsidR="00B6386D" w:rsidRDefault="00B6386D">
          <w:r w:rsidRPr="00C16927">
            <w:rPr>
              <w:rStyle w:val="TextodoEspaoReservado"/>
            </w:rPr>
            <w:t>Clique ou toque aqui para inserir o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86D"/>
    <w:rsid w:val="001F2775"/>
    <w:rsid w:val="002B7B07"/>
    <w:rsid w:val="00354497"/>
    <w:rsid w:val="006C27E0"/>
    <w:rsid w:val="00732B92"/>
    <w:rsid w:val="00741F4C"/>
    <w:rsid w:val="008512BE"/>
    <w:rsid w:val="0095555A"/>
    <w:rsid w:val="00983244"/>
    <w:rsid w:val="00B6386D"/>
    <w:rsid w:val="00BB2FF4"/>
    <w:rsid w:val="00C83DF1"/>
    <w:rsid w:val="00CE1360"/>
    <w:rsid w:val="00E23386"/>
    <w:rsid w:val="00E86B18"/>
    <w:rsid w:val="00EE6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6386D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871CDBF-414A-4FEA-94A1-4C264995C5CE}">
  <we:reference id="wa104382081" version="1.55.1.0" store="pt-PT" storeType="OMEX"/>
  <we:alternateReferences>
    <we:reference id="WA104382081" version="1.55.1.0" store="" storeType="OMEX"/>
  </we:alternateReferences>
  <we:properties>
    <we:property name="MENDELEY_CITATIONS" value="[{&quot;citationID&quot;:&quot;MENDELEY_CITATION_31aaf3aa-23bf-4eb6-8999-bbeb2506aaf7&quot;,&quot;properties&quot;:{&quot;noteIndex&quot;:0},&quot;isEdited&quot;:false,&quot;manualOverride&quot;:{&quot;isManuallyOverridden&quot;:false,&quot;citeprocText&quot;:&quot;(QIU et al., 2024)&quot;,&quot;manualOverrideText&quot;:&quot;&quot;},&quot;citationTag&quot;:&quot;MENDELEY_CITATION_v3_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&quot;,&quot;citationItems&quot;:[{&quot;id&quot;:&quot;31015fbb-0530-3be6-8575-628b22030bf0&quot;,&quot;itemData&quot;:{&quot;type&quot;:&quot;article-journal&quot;,&quot;id&quot;:&quot;31015fbb-0530-3be6-8575-628b22030bf0&quot;,&quot;title&quot;:&quot;A comprehensive review on enzymatic biodegradation of polyethylene terephthalate&quot;,&quot;author&quot;:[{&quot;family&quot;:&quot;Qiu&quot;,&quot;given&quot;:&quot;Jiarong&quot;,&quot;parse-names&quot;:false,&quot;dropping-particle&quot;:&quot;&quot;,&quot;non-dropping-particle&quot;:&quot;&quot;},{&quot;family&quot;:&quot;Chen&quot;,&quot;given&quot;:&quot;Yuxin&quot;,&quot;parse-names&quot;:false,&quot;dropping-particle&quot;:&quot;&quot;,&quot;non-dropping-particle&quot;:&quot;&quot;},{&quot;family&quot;:&quot;Zhang&quot;,&quot;given&quot;:&quot;Liangqing&quot;,&quot;parse-names&quot;:false,&quot;dropping-particle&quot;:&quot;&quot;,&quot;non-dropping-particle&quot;:&quot;&quot;},{&quot;family&quot;:&quot;Wu&quot;,&quot;given&quot;:&quot;Jinzhi&quot;,&quot;parse-names&quot;:false,&quot;dropping-particle&quot;:&quot;&quot;,&quot;non-dropping-particle&quot;:&quot;&quot;},{&quot;family&quot;:&quot;Zeng&quot;,&quot;given&quot;:&quot;Xianhai&quot;,&quot;parse-names&quot;:false,&quot;dropping-particle&quot;:&quot;&quot;,&quot;non-dropping-particle&quot;:&quot;&quot;},{&quot;family&quot;:&quot;Shi&quot;,&quot;given&quot;:&quot;Xinguo&quot;,&quot;parse-names&quot;:false,&quot;dropping-particle&quot;:&quot;&quot;,&quot;non-dropping-particle&quot;:&quot;&quot;},{&quot;family&quot;:&quot;Liu&quot;,&quot;given&quot;:&quot;Lemian&quot;,&quot;parse-names&quot;:false,&quot;dropping-particle&quot;:&quot;&quot;,&quot;non-dropping-particle&quot;:&quot;&quot;},{&quot;family&quot;:&quot;Chen&quot;,&quot;given&quot;:&quot;Jianfeng&quot;,&quot;parse-names&quot;:false,&quot;dropping-particle&quot;:&quot;&quot;,&quot;non-dropping-particle&quot;:&quot;&quot;}],&quot;container-title&quot;:&quot;Environmental Research&quot;,&quot;container-title-short&quot;:&quot;Environ Res&quot;,&quot;DOI&quot;:&quot;10.1016/j.envres.2023.117427&quot;,&quot;ISSN&quot;:&quot;00139351&quot;,&quot;issued&quot;:{&quot;date-parts&quot;:[[2024,1]]},&quot;page&quot;:&quot;117427&quot;,&quot;volume&quot;:&quot;240&quot;},&quot;isTemporary&quot;:false}]},{&quot;citationID&quot;:&quot;MENDELEY_CITATION_05d2e63d-6aec-4459-a58b-31caefcaf3dd&quot;,&quot;properties&quot;:{&quot;noteIndex&quot;:0},&quot;isEdited&quot;:false,&quot;manualOverride&quot;:{&quot;isManuallyOverridden&quot;:false,&quot;citeprocText&quot;:&quot;(LONGHI et al., 1997)&quot;,&quot;manualOverrideText&quot;:&quot;&quot;},&quot;citationTag&quot;:&quot;MENDELEY_CITATION_v3_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&quot;,&quot;citationItems&quot;:[{&quot;id&quot;:&quot;4d362388-ad94-3155-921b-69cb4fd53852&quot;,&quot;itemData&quot;:{&quot;type&quot;:&quot;article-journal&quot;,&quot;id&quot;:&quot;4d362388-ad94-3155-921b-69cb4fd53852&quot;,&quot;title&quot;:&quot;Atomic resolution (1.0 Å) crystal structure of Fusarium solani cutinase: stereochemical analysis&quot;,&quot;author&quot;:[{&quot;family&quot;:&quot;Longhi&quot;,&quot;given&quot;:&quot;Sonia&quot;,&quot;parse-names&quot;:false,&quot;dropping-particle&quot;:&quot;&quot;,&quot;non-dropping-particle&quot;:&quot;&quot;},{&quot;family&quot;:&quot;Czjzek&quot;,&quot;given&quot;:&quot;Mirjam&quot;,&quot;parse-names&quot;:false,&quot;dropping-particle&quot;:&quot;&quot;,&quot;non-dropping-particle&quot;:&quot;&quot;},{&quot;family&quot;:&quot;Lamzin&quot;,&quot;given&quot;:&quot;Victor&quot;,&quot;parse-names&quot;:false,&quot;dropping-particle&quot;:&quot;&quot;,&quot;non-dropping-particle&quot;:&quot;&quot;},{&quot;family&quot;:&quot;Nicolas&quot;,&quot;given&quot;:&quot;Anne&quot;,&quot;parse-names&quot;:false,&quot;dropping-particle&quot;:&quot;&quot;,&quot;non-dropping-particle&quot;:&quot;&quot;},{&quot;family&quot;:&quot;Cambillau&quot;,&quot;given&quot;:&quot;Christian&quot;,&quot;parse-names&quot;:false,&quot;dropping-particle&quot;:&quot;&quot;,&quot;non-dropping-particle&quot;:&quot;&quot;}],&quot;container-title&quot;:&quot;Journal of Molecular Biology&quot;,&quot;container-title-short&quot;:&quot;J Mol Biol&quot;,&quot;DOI&quot;:&quot;10.1006/jmbi.1997.1000&quot;,&quot;ISSN&quot;:&quot;00222836&quot;,&quot;issued&quot;:{&quot;date-parts&quot;:[[1997,5]]},&quot;page&quot;:&quot;779-799&quot;,&quot;issue&quot;:&quot;4&quot;,&quot;volume&quot;:&quot;268&quot;},&quot;isTemporary&quot;:false}]},{&quot;citationID&quot;:&quot;MENDELEY_CITATION_67c512ae-f98c-4a38-8073-fd1f9441431c&quot;,&quot;properties&quot;:{&quot;noteIndex&quot;:0},&quot;isEdited&quot;:false,&quot;manualOverride&quot;:{&quot;isManuallyOverridden&quot;:false,&quot;citeprocText&quot;:&quot;(ALISCH-MARK; HERRMANN; ZIMMERMANN, 2006)&quot;,&quot;manualOverrideText&quot;:&quot;&quot;},&quot;citationTag&quot;:&quot;MENDELEY_CITATION_v3_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&quot;,&quot;citationItems&quot;:[{&quot;id&quot;:&quot;d242fd4c-861c-33a2-8279-540658b834dd&quot;,&quot;itemData&quot;:{&quot;type&quot;:&quot;article-journal&quot;,&quot;id&quot;:&quot;d242fd4c-861c-33a2-8279-540658b834dd&quot;,&quot;title&quot;:&quot;Increase of the Hydrophilicity of Polyethylene Terephthalate Fibres by Hydrolases from Thermomonospora fusca and Fusarium solani f. sp. pisi&quot;,&quot;author&quot;:[{&quot;family&quot;:&quot;Alisch-Mark&quot;,&quot;given&quot;:&quot;Mandy&quot;,&quot;parse-names&quot;:false,&quot;dropping-particle&quot;:&quot;&quot;,&quot;non-dropping-particle&quot;:&quot;&quot;},{&quot;family&quot;:&quot;Herrmann&quot;,&quot;given&quot;:&quot;Anne&quot;,&quot;parse-names&quot;:false,&quot;dropping-particle&quot;:&quot;&quot;,&quot;non-dropping-particle&quot;:&quot;&quot;},{&quot;family&quot;:&quot;Zimmermann&quot;,&quot;given&quot;:&quot;Wolfgang&quot;,&quot;parse-names&quot;:false,&quot;dropping-particle&quot;:&quot;&quot;,&quot;non-dropping-particle&quot;:&quot;&quot;}],&quot;container-title&quot;:&quot;Biotechnology Letters&quot;,&quot;container-title-short&quot;:&quot;Biotechnol Lett&quot;,&quot;DOI&quot;:&quot;10.1007/s10529-006-9041-7&quot;,&quot;ISSN&quot;:&quot;0141-5492&quot;,&quot;issued&quot;:{&quot;date-parts&quot;:[[2006,5,23]]},&quot;page&quot;:&quot;681-685&quot;,&quot;issue&quot;:&quot;10&quot;,&quot;volume&quot;:&quot;28&quot;},&quot;isTemporary&quot;:false}]},{&quot;citationID&quot;:&quot;MENDELEY_CITATION_431d47a8-309e-485e-9e62-9814d7603c44&quot;,&quot;properties&quot;:{&quot;noteIndex&quot;:0},&quot;isEdited&quot;:false,&quot;manualOverride&quot;:{&quot;isManuallyOverridden&quot;:false,&quot;citeprocText&quot;:&quot;(DIMAROGONA et al., 2015)&quot;,&quot;manualOverrideText&quot;:&quot;&quot;},&quot;citationTag&quot;:&quot;MENDELEY_CITATION_v3_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&quot;,&quot;citationItems&quot;:[{&quot;id&quot;:&quot;53e462e9-9131-3dbd-9ec8-06ff3ef71b00&quot;,&quot;itemData&quot;:{&quot;type&quot;:&quot;article-journal&quot;,&quot;id&quot;:&quot;53e462e9-9131-3dbd-9ec8-06ff3ef71b00&quot;,&quot;title&quot;:&quot;Structural and functional studies of a Fusarium oxysporum cutinase with polyethylene terephthalate modification potential&quot;,&quot;author&quot;:[{&quot;family&quot;:&quot;Dimarogona&quot;,&quot;given&quot;:&quot;Maria&quot;,&quot;parse-names&quot;:false,&quot;dropping-particle&quot;:&quot;&quot;,&quot;non-dropping-particle&quot;:&quot;&quot;},{&quot;family&quot;:&quot;Nikolaivits&quot;,&quot;given&quot;:&quot;Efstratios&quot;,&quot;parse-names&quot;:false,&quot;dropping-particle&quot;:&quot;&quot;,&quot;non-dropping-particle&quot;:&quot;&quot;},{&quot;family&quot;:&quot;Kanelli&quot;,&quot;given&quot;:&quot;Maria&quot;,&quot;parse-names&quot;:false,&quot;dropping-particle&quot;:&quot;&quot;,&quot;non-dropping-particle&quot;:&quot;&quot;},{&quot;family&quot;:&quot;Christakopoulos&quot;,&quot;given&quot;:&quot;Paul&quot;,&quot;parse-names&quot;:false,&quot;dropping-particle&quot;:&quot;&quot;,&quot;non-dropping-particle&quot;:&quot;&quot;},{&quot;family&quot;:&quot;Sandgren&quot;,&quot;given&quot;:&quot;Mats&quot;,&quot;parse-names&quot;:false,&quot;dropping-particle&quot;:&quot;&quot;,&quot;non-dropping-particle&quot;:&quot;&quot;},{&quot;family&quot;:&quot;Topakas&quot;,&quot;given&quot;:&quot;Evangelos&quot;,&quot;parse-names&quot;:false,&quot;dropping-particle&quot;:&quot;&quot;,&quot;non-dropping-particle&quot;:&quot;&quot;}],&quot;container-title&quot;:&quot;Biochimica et Biophysica Acta (BBA) - General Subjects&quot;,&quot;DOI&quot;:&quot;10.1016/j.bbagen.2015.08.009&quot;,&quot;ISSN&quot;:&quot;03044165&quot;,&quot;issued&quot;:{&quot;date-parts&quot;:[[2015,11]]},&quot;page&quot;:&quot;2308-2317&quot;,&quot;issue&quot;:&quot;11&quot;,&quot;volume&quot;:&quot;1850&quot;,&quot;container-title-short&quot;:&quot;&quot;},&quot;isTemporary&quot;:false}]},{&quot;citationID&quot;:&quot;MENDELEY_CITATION_638fbf2e-115f-4e47-ac1c-e748ddd039af&quot;,&quot;properties&quot;:{&quot;noteIndex&quot;:0},&quot;isEdited&quot;:false,&quot;manualOverride&quot;:{&quot;isManuallyOverridden&quot;:false,&quot;citeprocText&quot;:&quot;(DIMAROGONA et al., 2015)&quot;,&quot;manualOverrideText&quot;:&quot;&quot;},&quot;citationTag&quot;:&quot;MENDELEY_CITATION_v3_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&quot;,&quot;citationItems&quot;:[{&quot;id&quot;:&quot;53e462e9-9131-3dbd-9ec8-06ff3ef71b00&quot;,&quot;itemData&quot;:{&quot;type&quot;:&quot;article-journal&quot;,&quot;id&quot;:&quot;53e462e9-9131-3dbd-9ec8-06ff3ef71b00&quot;,&quot;title&quot;:&quot;Structural and functional studies of a Fusarium oxysporum cutinase with polyethylene terephthalate modification potential&quot;,&quot;author&quot;:[{&quot;family&quot;:&quot;Dimarogona&quot;,&quot;given&quot;:&quot;Maria&quot;,&quot;parse-names&quot;:false,&quot;dropping-particle&quot;:&quot;&quot;,&quot;non-dropping-particle&quot;:&quot;&quot;},{&quot;family&quot;:&quot;Nikolaivits&quot;,&quot;given&quot;:&quot;Efstratios&quot;,&quot;parse-names&quot;:false,&quot;dropping-particle&quot;:&quot;&quot;,&quot;non-dropping-particle&quot;:&quot;&quot;},{&quot;family&quot;:&quot;Kanelli&quot;,&quot;given&quot;:&quot;Maria&quot;,&quot;parse-names&quot;:false,&quot;dropping-particle&quot;:&quot;&quot;,&quot;non-dropping-particle&quot;:&quot;&quot;},{&quot;family&quot;:&quot;Christakopoulos&quot;,&quot;given&quot;:&quot;Paul&quot;,&quot;parse-names&quot;:false,&quot;dropping-particle&quot;:&quot;&quot;,&quot;non-dropping-particle&quot;:&quot;&quot;},{&quot;family&quot;:&quot;Sandgren&quot;,&quot;given&quot;:&quot;Mats&quot;,&quot;parse-names&quot;:false,&quot;dropping-particle&quot;:&quot;&quot;,&quot;non-dropping-particle&quot;:&quot;&quot;},{&quot;family&quot;:&quot;Topakas&quot;,&quot;given&quot;:&quot;Evangelos&quot;,&quot;parse-names&quot;:false,&quot;dropping-particle&quot;:&quot;&quot;,&quot;non-dropping-particle&quot;:&quot;&quot;}],&quot;container-title&quot;:&quot;Biochimica et Biophysica Acta (BBA) - General Subjects&quot;,&quot;DOI&quot;:&quot;10.1016/j.bbagen.2015.08.009&quot;,&quot;ISSN&quot;:&quot;03044165&quot;,&quot;issued&quot;:{&quot;date-parts&quot;:[[2015,11]]},&quot;page&quot;:&quot;2308-2317&quot;,&quot;issue&quot;:&quot;11&quot;,&quot;volume&quot;:&quot;1850&quot;,&quot;container-title-short&quot;:&quot;&quot;},&quot;isTemporary&quot;:false}]}]"/>
    <we:property name="MENDELEY_CITATIONS_LOCALE_CODE" value="&quot;pt-BR&quot;"/>
    <we:property name="MENDELEY_CITATIONS_STYLE" value="{&quot;id&quot;:&quot;https://www.zotero.org/styles/associacao-brasileira-de-normas-tecnicas&quot;,&quot;title&quot;:&quot;Associação Brasileira de Normas Técnicas (Português - Brasil)&quot;,&quot;format&quot;:&quot;author-date&quot;,&quot;defaultLocale&quot;:&quot;pt-BR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66C01-8630-4B1A-BCA5-17E5271DA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5</Pages>
  <Words>1298</Words>
  <Characters>7010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Anônimo</dc:creator>
  <cp:keywords/>
  <dc:description/>
  <cp:lastModifiedBy>gabriel silva</cp:lastModifiedBy>
  <cp:revision>15</cp:revision>
  <dcterms:created xsi:type="dcterms:W3CDTF">2024-09-26T15:14:00Z</dcterms:created>
  <dcterms:modified xsi:type="dcterms:W3CDTF">2024-11-19T23:34:00Z</dcterms:modified>
</cp:coreProperties>
</file>