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
<Relationships xmlns="http://schemas.openxmlformats.org/package/2006/relationships">
<Relationship Id="rId1" Type="http://schemas.openxmlformats.org/officeDocument/2006/relationships/officeDocument" Target="word/document.xml"/>
<Relationship Id="rId2" Type="http://schemas.openxmlformats.org/package/2006/relationships/metadata/core-properties" Target="docProps/core.xml"/>
<Relationship Id="rId3" Type="http://schemas.openxmlformats.org/officeDocument/2006/relationships/extended-properties" Target="docProps/app.xml"/>
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pStyle w:val="Center"/>
      </w:pPr>
      <w:r>
        <w:t xml:space="preserve">DOCUMENTO CONTROLADO</w:t>
      </w:r>
    </w:p>
    <w:p>
      <w:pPr>
        <w:pStyle w:val="Title"/>
      </w:pPr>
      <w:r>
        <w:t xml:space="preserve">DOCUMENTACIÓN TÉCNICA</w:t>
      </w:r>
    </w:p>
    <w:p>
      <w:pPr>
        <w:pStyle w:val="Subtitle"/>
      </w:pPr>
      <w:r>
        <w:t xml:space="preserve">Plataforma Aprobado de financiación educativa</w:t>
      </w:r>
    </w:p>
    <w:p>
      <w:pPr>
        <w:pStyle w:val="Center"/>
      </w:pPr>
      <w:r>
        <w:t xml:space="preserve">Arquitectura, operación, seguridad y hoja de ruta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180"/>
        <w:gridCol w:w="9820"/>
      </w:tblGrid>
      <w:tr>
        <w:trPr>
          <w:cantSplit w:val="on"/>
        </w:trPr>
        <w:tc>
          <w:tcPr>
            <w:tcW w:w="180" w:type="dxa"/>
            <w:shd w:val="clear" w:fill="05A7D5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/>
            </w:r>
          </w:p>
        </w:tc>
        <w:tc>
          <w:tcPr>
            <w:shd w:val="clear" w:fill="EDF9FC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Versión 1.028 de julio de 2026Estado: implementación local en validaciónClasificación: uso interno</w:t>
            </w:r>
          </w:p>
        </w:tc>
      </w:tr>
    </w:tbl>
    <w:p>
      <w:pPr>
        <w:pStyle w:val="Center"/>
      </w:pPr>
      <w:r>
        <w:t xml:space="preserve">Aprobado Soluciones Digitales S.A.S.</w:t>
      </w:r>
    </w:p>
    <w:p>
      <w:pPr>
        <w:pStyle w:val="Center"/>
      </w:pPr>
      <w:r>
        <w:t xml:space="preserve">Sin secretos, credenciales ni datos personales</w:t>
      </w:r>
    </w:p>
    <w:p>
      <w:pPr/>
      <w:r>
        <w:br w:type="page"/>
      </w:r>
    </w:p>
    <w:p>
      <w:pPr>
        <w:pStyle w:val="Heading1"/>
      </w:pPr>
      <w:r>
        <w:t xml:space="preserve">Control de versiones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2500"/>
        <w:gridCol w:w="2500"/>
        <w:gridCol w:w="2500"/>
        <w:gridCol w:w="2500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Versión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Fecha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Autor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Descripción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1.0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2026-07-28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Equipo Aprobado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Línea base técnica de fases 1 a 6.6 y diseños posteriores.</w:t>
            </w:r>
          </w:p>
        </w:tc>
      </w:tr>
    </w:tbl>
    <w:p>
      <w:pPr/>
      <w:r>
        <w:t xml:space="preserve"/>
      </w:r>
    </w:p>
    <w:p>
      <w:pPr>
        <w:pStyle w:val="Heading2"/>
      </w:pPr>
      <w:r>
        <w:t xml:space="preserve">Aprobaciones requeridas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5000"/>
        <w:gridCol w:w="5000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Área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Decisión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Producto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Alcance del panel y estados de corrección/rechazo.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Jurídica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Textos contractuales, representación del menor y firmantes.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Finanzas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Causación contractual, pago anticipado y conciliación.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Seguridad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Webhook, retención y segregación de funciones.</w:t>
            </w:r>
          </w:p>
        </w:tc>
      </w:tr>
    </w:tbl>
    <w:p>
      <w:pPr/>
      <w:r>
        <w:t xml:space="preserve"/>
      </w:r>
    </w:p>
    <w:p>
      <w:pPr>
        <w:pStyle w:val="Heading1"/>
      </w:pPr>
      <w:r>
        <w:t xml:space="preserve">Tabla de contenido</w:t>
      </w:r>
    </w:p>
    <w:p>
      <w:pPr>
        <w:pStyle w:val="Normal"/>
      </w:pPr>
      <w:r>
        <w:t xml:space="preserve"/>
      </w:r>
      <w:fldSimple w:instr="TOC \o &quot;1-3&quot; \h \z \u">
        <w:r>
          <w:t>Actualiza este campo en Word para recalcular la tabla.</w:t>
        </w:r>
      </w:fldSimple>
    </w:p>
    <w:p>
      <w:pPr/>
      <w:r>
        <w:br w:type="page"/>
      </w:r>
    </w:p>
    <w:p>
      <w:pPr>
        <w:pStyle w:val="Heading1"/>
      </w:pPr>
      <w:r>
        <w:t xml:space="preserve">1. Objetivo y alcance</w:t>
      </w:r>
    </w:p>
    <w:p>
      <w:pPr>
        <w:pStyle w:val="Normal"/>
      </w:pPr>
      <w:r>
        <w:t xml:space="preserve">Este documento describe el dominio Django independiente de financiación educativa Aprobado: recepción institucional, continuación segura, identidad declarada, expediente documental, matrícula, condiciones financieras y preparación de revisión administrativa.</w:t>
      </w:r>
    </w:p>
    <w:p>
      <w:pPr>
        <w:pStyle w:val="Normal"/>
        <w:ind w:left="360" w:hanging="180"/>
      </w:pPr>
      <w:r>
        <w:t xml:space="preserve">• Implementado: API, invitaciones, cuenta, términos, adulto/menor, documentos, cámara, certificado, matrícula y motor financiero.</w:t>
      </w:r>
    </w:p>
    <w:p>
      <w:pPr>
        <w:pStyle w:val="Normal"/>
        <w:ind w:left="360" w:hanging="180"/>
      </w:pPr>
      <w:r>
        <w:t xml:space="preserve">• Preparado: estados y diseños de panel operativo, pagaré, firma, seguridad documental y pagos.</w:t>
      </w:r>
    </w:p>
    <w:p>
      <w:pPr>
        <w:pStyle w:val="Normal"/>
        <w:ind w:left="360" w:hanging="180"/>
      </w:pPr>
      <w:r>
        <w:t xml:space="preserve">• Excluido: scoring, centrales de riesgo, productos de nómina, marketplace, inversionistas, billetera, OCR/IA y aprobación automática.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180"/>
        <w:gridCol w:w="9820"/>
      </w:tblGrid>
      <w:tr>
        <w:trPr>
          <w:cantSplit w:val="on"/>
        </w:trPr>
        <w:tc>
          <w:tcPr>
            <w:tcW w:w="180" w:type="dxa"/>
            <w:shd w:val="clear" w:fill="05A7D5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/>
            </w:r>
          </w:p>
        </w:tc>
        <w:tc>
          <w:tcPr>
            <w:shd w:val="clear" w:fill="EDF9FC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Principio de aislamiento. financiacion_educativa no importa reglas, simuladores, modelos de crédito ni servicios contractuales de dominios heredados.</w:t>
            </w:r>
          </w:p>
        </w:tc>
      </w:tr>
    </w:tbl>
    <w:p>
      <w:pPr>
        <w:pStyle w:val="Heading1"/>
      </w:pPr>
      <w:r>
        <w:t xml:space="preserve">2. Arquitectura general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3333"/>
        <w:gridCol w:w="3333"/>
        <w:gridCol w:w="3333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Capa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Responsabilidad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Componentes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API institucional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Recepción y consulta asincrónica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DRF, ApiKey, idempotencia, OpenAPI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Orquestación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Solicitud, invitación, estados y eventos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orquestacion.py, invitaciones.py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Experiencia web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Cuenta, términos, expediente y finanzas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web/views.py, forms.py, templates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Documentos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Participantes, archivos y requisitos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documentos.py, participantes.py, requisitos_documentales.py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Finanzas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Política, fotografía y amortización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motor_financiero.py, reglas_financieras.py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Persistencia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Integridad y auditoría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Modelos propios y migraciones 0001-0009</w:t>
            </w:r>
          </w:p>
        </w:tc>
      </w:tr>
    </w:tbl>
    <w:p>
      <w:pPr/>
      <w:r>
        <w:t xml:space="preserve"/>
      </w:r>
    </w:p>
    <w:p>
      <w:pPr>
        <w:pStyle w:val="Heading2"/>
      </w:pPr>
      <w:r>
        <w:t xml:space="preserve">Flujo macro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420"/>
        <w:gridCol w:w="9580"/>
      </w:tblGrid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Institución crea solicitud por API y recibe HTTP 202.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Outbox entrega invitación sin exponer el enlace a la institución.</w:t>
            </w:r>
          </w:p>
        </w:tc>
      </w:tr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Usuario se registra o autentica y acepta términos.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Se determina adulto o menor y se registra tutor cuando aplica.</w:t>
            </w:r>
          </w:p>
        </w:tc>
      </w:tr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Se captura identidad y se completa expediente privado.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Se registra matrícula y se consulta fotografía financiera.</w:t>
            </w:r>
          </w:p>
        </w:tc>
      </w:tr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7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Expediente completo pasa a revisión administrativa.</w:t>
            </w:r>
          </w:p>
        </w:tc>
      </w:tr>
    </w:tbl>
    <w:p>
      <w:pPr/>
      <w:r>
        <w:t xml:space="preserve"/>
      </w:r>
    </w:p>
    <w:p>
      <w:pPr>
        <w:pStyle w:val="Heading1"/>
      </w:pPr>
      <w:r>
        <w:t xml:space="preserve">3. Actores y roles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3333"/>
        <w:gridCol w:w="3333"/>
        <w:gridCol w:w="3333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Actor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Responsabilidad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Límite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Institución aliada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Origina y consulta solicitudes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No recibe enlaces ni documentos privados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Estudiante adulto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Solicitante y deudor principal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Cuenta asociada obligatoria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Estudiante menor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Beneficiario educativo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No representa por sí solo la obligación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Tutor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Representante y deudor declarado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Vínculo sujeto a revisión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Operador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Revisa dentro de su alcance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No administra permisos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Administrador técnico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Configura y audita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Admin no sustituye panel operativo</w:t>
            </w:r>
          </w:p>
        </w:tc>
      </w:tr>
    </w:tbl>
    <w:p>
      <w:pPr/>
      <w:r>
        <w:t xml:space="preserve"/>
      </w:r>
    </w:p>
    <w:p>
      <w:pPr>
        <w:pStyle w:val="Heading1"/>
      </w:pPr>
      <w:r>
        <w:t xml:space="preserve">4. Flujo adulto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420"/>
        <w:gridCol w:w="9580"/>
      </w:tblGrid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Solicitud institucional con identidad y plan.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Cuenta asociada y términos aceptados.</w:t>
            </w:r>
          </w:p>
        </w:tc>
      </w:tr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Estudiante sincronizado como estudiante/deudor principal.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Captura de frente y reverso.</w:t>
            </w:r>
          </w:p>
        </w:tc>
      </w:tr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Certificado de ingresos del estudiante/deudor.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Evidencia de matrícula y condiciones financieras.</w:t>
            </w:r>
          </w:p>
        </w:tc>
      </w:tr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7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Envío a revisión manual.</w:t>
            </w:r>
          </w:p>
        </w:tc>
      </w:tr>
    </w:tbl>
    <w:p>
      <w:pPr/>
      <w:r>
        <w:t xml:space="preserve"/>
      </w:r>
    </w:p>
    <w:p>
      <w:pPr>
        <w:pStyle w:val="Normal"/>
      </w:pPr>
      <w:r>
        <w:t xml:space="preserve">La edad se calcula con fecha de nacimiento y referencia. No se usa IA como autoridad de identidad o mayoría de edad.</w:t>
      </w:r>
    </w:p>
    <w:p>
      <w:pPr>
        <w:pStyle w:val="Heading1"/>
      </w:pPr>
      <w:r>
        <w:t xml:space="preserve">5. Flujo menor con tutor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420"/>
        <w:gridCol w:w="9580"/>
      </w:tblGrid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Estudiante identificado como menor por fecha declarada.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Tutor adulto y relación declarada en registros separados.</w:t>
            </w:r>
          </w:p>
        </w:tc>
      </w:tr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Tutor asignado como representante y deudor principal.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Identificaciones de estudiante y tutor.</w:t>
            </w:r>
          </w:p>
        </w:tc>
      </w:tr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Certificado del tutor/deudor y matrícula del estudiante.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Revisión manual de identidad, edad y vínculo.</w:t>
            </w:r>
          </w:p>
        </w:tc>
      </w:tr>
    </w:tbl>
    <w:p>
      <w:pPr/>
      <w:r>
        <w:t xml:space="preserve"/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180"/>
        <w:gridCol w:w="9820"/>
      </w:tblGrid>
      <w:tr>
        <w:trPr>
          <w:cantSplit w:val="on"/>
        </w:trPr>
        <w:tc>
          <w:tcPr>
            <w:tcW w:w="180" w:type="dxa"/>
            <w:shd w:val="clear" w:fill="FFD43B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/>
            </w:r>
          </w:p>
        </w:tc>
        <w:tc>
          <w:tcPr>
            <w:shd w:val="clear" w:fill="FFF9D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Límite jurídico. La relación declarada no equivale a representación legal verificada.</w:t>
            </w:r>
          </w:p>
        </w:tc>
      </w:tr>
    </w:tbl>
    <w:p>
      <w:pPr>
        <w:pStyle w:val="Heading1"/>
      </w:pPr>
      <w:r>
        <w:t xml:space="preserve">6. API institucional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3333"/>
        <w:gridCol w:w="3333"/>
        <w:gridCol w:w="3333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Operación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Método y ruta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Resultado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Crear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POST /api/v1/financiacion-educativa/solicitudes/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202 con application_id y status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Consultar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GET /api/v1/financiacion-educativa/solicitudes/{id}/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Estado sin enlace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Contrato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GET /api/v1/schema/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OpenAPI; Swagger UI no esta registrada</w:t>
            </w:r>
          </w:p>
        </w:tc>
      </w:tr>
    </w:tbl>
    <w:p>
      <w:pPr/>
      <w:r>
        <w:t xml:space="preserve"/>
      </w:r>
    </w:p>
    <w:p>
      <w:pPr>
        <w:pStyle w:val="Normal"/>
      </w:pPr>
      <w:r>
        <w:t xml:space="preserve">Authorization usa ApiKey y la creación requiere Idempotency-Key. Un replay compatible devuelve la misma solicitud, no crea invitación adicional y marca Idempotent-Replayed.</w:t>
      </w:r>
    </w:p>
    <w:p>
      <w:pPr>
        <w:pStyle w:val="Normal"/>
        <w:ind w:left="360" w:hanging="180"/>
      </w:pPr>
      <w:r>
        <w:t xml:space="preserve">• Clave API con hash e institución activa.</w:t>
      </w:r>
    </w:p>
    <w:p>
      <w:pPr>
        <w:pStyle w:val="Normal"/>
        <w:ind w:left="360" w:hanging="180"/>
      </w:pPr>
      <w:r>
        <w:t xml:space="preserve">• Referencia externa única por institución.</w:t>
      </w:r>
    </w:p>
    <w:p>
      <w:pPr>
        <w:pStyle w:val="Normal"/>
        <w:ind w:left="360" w:hanging="180"/>
      </w:pPr>
      <w:r>
        <w:t xml:space="preserve">• Token y URL nunca aparecen en serializer/OpenAPI.</w:t>
      </w:r>
    </w:p>
    <w:p>
      <w:pPr>
        <w:pStyle w:val="Normal"/>
        <w:ind w:left="360" w:hanging="180"/>
      </w:pPr>
      <w:r>
        <w:t xml:space="preserve">• Estados y eventos auditables.</w:t>
      </w:r>
    </w:p>
    <w:p>
      <w:pPr>
        <w:pStyle w:val="Heading1"/>
      </w:pPr>
      <w:r>
        <w:t xml:space="preserve">7. Seguridad e idempotencia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5000"/>
        <w:gridCol w:w="5000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Riesgo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Control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Replay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Clave idempotente y huella de payload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Enumeración/IDOR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Alcance institucional/propietario y respuestas genéricas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Token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Aleatorio; solo hash/HMAC; fuera de logs/admin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CSRF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Middleware activo y mutaciones por POST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Documentos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Storage privado, sesión, propiedad, MIME y cabeceras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Correo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Callback posterior al commit captura excepciones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Concurrencia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select_for_update y restricciones condicionales</w:t>
            </w:r>
          </w:p>
        </w:tc>
      </w:tr>
    </w:tbl>
    <w:p>
      <w:pPr/>
      <w:r>
        <w:t xml:space="preserve"/>
      </w:r>
    </w:p>
    <w:p>
      <w:pPr>
        <w:pStyle w:val="Normal"/>
      </w:pPr>
      <w:r>
        <w:t xml:space="preserve">La concurrencia real debe repetirse en staging PostgreSQL; SQLite no reproduce toda su semántica.</w:t>
      </w:r>
    </w:p>
    <w:p>
      <w:pPr>
        <w:pStyle w:val="Heading1"/>
      </w:pPr>
      <w:r>
        <w:t xml:space="preserve">8. Gestión documental</w:t>
      </w:r>
    </w:p>
    <w:p>
      <w:pPr>
        <w:pStyle w:val="Normal"/>
      </w:pPr>
      <w:r>
        <w:t xml:space="preserve">DocumentoFinanciacion conserva tipo, participante, MIME, tamaño, hash, origen, escaneo, revisión y reemplazo. Los archivos se sirven solo por vistas autorizadas con soporte PDF/JPEG/PNG.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2500"/>
        <w:gridCol w:w="2500"/>
        <w:gridCol w:w="2500"/>
        <w:gridCol w:w="2500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Evidencia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Adulto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Menor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Formato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Identificación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Estudiante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Estudiante y tutor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JPEG/PNG por cámara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Certificado de ingresos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Estudiante/deudor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Tutor/deudor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PDF, JPEG o PNG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Matrícula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Estudiante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Estudiante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PDF, JPEG o PNG</w:t>
            </w:r>
          </w:p>
        </w:tc>
      </w:tr>
    </w:tbl>
    <w:p>
      <w:pPr/>
      <w:r>
        <w:t xml:space="preserve"/>
      </w:r>
    </w:p>
    <w:p>
      <w:pPr>
        <w:pStyle w:val="Normal"/>
      </w:pPr>
      <w:r>
        <w:t xml:space="preserve">OCR, IA, scoring, antivirus conectado y aprobación automática no están implementados. Escaneo técnico y decisión administrativa son dimensiones separadas.</w:t>
      </w:r>
    </w:p>
    <w:p>
      <w:pPr>
        <w:pStyle w:val="Heading1"/>
      </w:pPr>
      <w:r>
        <w:t xml:space="preserve">9. Captura y continuidad móvil</w:t>
      </w:r>
    </w:p>
    <w:p>
      <w:pPr>
        <w:pStyle w:val="Normal"/>
      </w:pPr>
      <w:r>
        <w:t xml:space="preserve">La cámara usa getUserMedia, encuadre, vista previa y confirmación separada. El servidor exige origen CAMERA para los tipos de captura y valida MIME/tamaño.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420"/>
        <w:gridCol w:w="9580"/>
      </w:tblGrid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Propietario solicita enlace por POST.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Se revoca el activo y se crea token de 48 bytes con HMAC persistido.</w:t>
            </w:r>
          </w:p>
        </w:tc>
      </w:tr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Correo no incluye UUID ni rutas privadas.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El fragmento no viaja al servidor; un POST con CSRF retira el token de la barra antes de autenticar.</w:t>
            </w:r>
          </w:p>
        </w:tc>
      </w:tr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Cuenta propietaria consume el enlace una vez.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Se abre la cámara de estudiante/tutor.</w:t>
            </w:r>
          </w:p>
        </w:tc>
      </w:tr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7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El computador refleja la captura al recargar.</w:t>
            </w:r>
          </w:p>
        </w:tc>
      </w:tr>
    </w:tbl>
    <w:p>
      <w:pPr/>
      <w:r>
        <w:t xml:space="preserve"/>
      </w:r>
    </w:p>
    <w:p>
      <w:pPr>
        <w:pStyle w:val="Normal"/>
      </w:pPr>
      <w:r>
        <w:t xml:space="preserve">Predeterminados: 30 minutos, cooldown 120 segundos y cinco emisiones por hora. SMTP Gmail depende de cuenta, costo y cuotas del proveedor. Local usa consola/locmem.</w:t>
      </w:r>
    </w:p>
    <w:p>
      <w:pPr>
        <w:pStyle w:val="Heading1"/>
      </w:pPr>
      <w:r>
        <w:t xml:space="preserve">10. Motor financiero educativo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5000"/>
        <w:gridCol w:w="5000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Concepto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Regla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Interés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1 % mensual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Método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Anualidad francesa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Originación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10 %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IVA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19 % sobre originación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Fondo de garantía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2 %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Seguro vida deudores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0,3711 %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Capital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Cargos financiados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Moneda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COP al peso</w:t>
            </w:r>
          </w:p>
        </w:tc>
      </w:tr>
    </w:tbl>
    <w:p>
      <w:pPr/>
      <w:r>
        <w:t xml:space="preserve"/>
      </w:r>
    </w:p>
    <w:p>
      <w:pPr>
        <w:pStyle w:val="Normal"/>
      </w:pPr>
      <w:r>
        <w:t xml:space="preserve">Los proveedores técnicos Figarantías y SURA permanecen internamente. Cada cálculo contractual crea fotografía versionada; solo una activa por solicitud. Los registros anteriores no se recalculan.</w:t>
      </w:r>
    </w:p>
    <w:p>
      <w:pPr>
        <w:pStyle w:val="Heading1"/>
      </w:pPr>
      <w:r>
        <w:t xml:space="preserve">11. Ejemplo de amortización</w:t>
      </w:r>
    </w:p>
    <w:p>
      <w:pPr>
        <w:pStyle w:val="Normal"/>
      </w:pPr>
      <w:r>
        <w:t xml:space="preserve">Monto $1.000.000; capital $1.142.711; plazo 3; tasa 1 %; cuota $388.547.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1428"/>
        <w:gridCol w:w="1428"/>
        <w:gridCol w:w="1428"/>
        <w:gridCol w:w="1428"/>
        <w:gridCol w:w="1428"/>
        <w:gridCol w:w="1428"/>
        <w:gridCol w:w="1428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Cuota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Fecha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Saldo inicial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Interés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Capital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Valor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Saldo final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2026-08-31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$1.142.711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$11.427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$377.120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$388.547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$765.591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2026-09-30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$765.591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$7.656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$380.891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$388.547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$384.700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2026-10-31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$384.700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$3.847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$384.700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$388.547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$0</w:t>
            </w:r>
          </w:p>
        </w:tc>
      </w:tr>
    </w:tbl>
    <w:p>
      <w:pPr/>
      <w:r>
        <w:t xml:space="preserve"/>
      </w:r>
    </w:p>
    <w:p>
      <w:pPr>
        <w:pStyle w:val="Normal"/>
      </w:pPr>
      <w:r>
        <w:t xml:space="preserve">Intereses $22.930; cuotas $1.165.641. Los cargos financiados pertenecen al capital.</w:t>
      </w:r>
    </w:p>
    <w:p>
      <w:pPr>
        <w:pStyle w:val="Heading1"/>
      </w:pPr>
      <w:r>
        <w:t xml:space="preserve">12. Abono extraordinario</w:t>
      </w:r>
    </w:p>
    <w:p>
      <w:pPr>
        <w:pStyle w:val="Normal"/>
      </w:pPr>
      <w:r>
        <w:t xml:space="preserve">Orden: interés diario base 30, conceptos exigibles, remanente a capital. El valor debe superar los primeros componentes. Conserva aproximadamente la cuota, reduce plazo cuando el monto lo permite y admite última cuota menor.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3333"/>
        <w:gridCol w:w="3333"/>
        <w:gridCol w:w="3333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Resultado del motor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Antes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Después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Valor entregado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-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$500.000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Interés causado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-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$5.714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Aplicado a capital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-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$494.286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Saldo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$1.142.711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$648.425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Cuotas pendientes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Fecha final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2026-10-31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2026-09-30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Última cuota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$388.547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$265.751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Intereses futuros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$17.216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$5.873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Ahorro estimado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-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$11.343</w:t>
            </w:r>
          </w:p>
        </w:tc>
      </w:tr>
    </w:tbl>
    <w:p>
      <w:pPr/>
      <w:r>
        <w:t xml:space="preserve"/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180"/>
        <w:gridCol w:w="9820"/>
      </w:tblGrid>
      <w:tr>
        <w:trPr>
          <w:cantSplit w:val="on"/>
        </w:trPr>
        <w:tc>
          <w:tcPr>
            <w:tcW w:w="180" w:type="dxa"/>
            <w:shd w:val="clear" w:fill="FFD43B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/>
            </w:r>
          </w:p>
        </w:tc>
        <w:tc>
          <w:tcPr>
            <w:shd w:val="clear" w:fill="FFF9D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Esta es una simulación y no constituye un pago. No modifica registros.</w:t>
            </w:r>
          </w:p>
        </w:tc>
      </w:tr>
    </w:tbl>
    <w:p>
      <w:pPr>
        <w:pStyle w:val="Heading1"/>
      </w:pPr>
      <w:r>
        <w:t xml:space="preserve">13. Administración actual</w:t>
      </w:r>
    </w:p>
    <w:p>
      <w:pPr>
        <w:pStyle w:val="Normal"/>
      </w:pPr>
      <w:r>
        <w:t xml:space="preserve">Django Admin permite configuración/consulta técnica de instituciones, solicitudes, invitaciones, términos, participantes, documentos, matrícula y finanzas. Los enlaces móviles son de solo lectura y no muestran token, URL ni destinatario.</w:t>
      </w:r>
    </w:p>
    <w:p>
      <w:pPr>
        <w:pStyle w:val="Normal"/>
      </w:pPr>
      <w:r>
        <w:t xml:space="preserve">El admin no sustituye la aplicación operativa especificada en docs/interno/fases/FASE_7_PANEL_OPERATIVO.md.</w:t>
      </w:r>
    </w:p>
    <w:p>
      <w:pPr>
        <w:pStyle w:val="Heading1"/>
      </w:pPr>
      <w:r>
        <w:t xml:space="preserve">14. Panel operativo previsto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3333"/>
        <w:gridCol w:w="3333"/>
        <w:gridCol w:w="3333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Incremento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Alcance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Criterio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7.1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Permisos, bandeja y detalle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Sin IDOR; solo lectura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7.2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Revisión y correcciones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Motivos y auditoría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7.3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Aprobación/rechazo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Transiciones atómicas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7.4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Indicadores y SLA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Datos existentes</w:t>
            </w:r>
          </w:p>
        </w:tc>
      </w:tr>
    </w:tbl>
    <w:p>
      <w:pPr/>
      <w:r>
        <w:t xml:space="preserve"/>
      </w:r>
    </w:p>
    <w:p>
      <w:pPr>
        <w:pStyle w:val="Normal"/>
      </w:pPr>
      <w:r>
        <w:t xml:space="preserve">Disponibles: solicitudes, etapa, institución, curso, periodo, monto, capital y tiempos. Recaudos/cartera/mora esperan pagos. Colocación no implica dinero al estudiante. Captaciones no se implementa.</w:t>
      </w:r>
    </w:p>
    <w:p>
      <w:pPr>
        <w:pStyle w:val="Heading1"/>
      </w:pPr>
      <w:r>
        <w:t xml:space="preserve">15. ZapSign previsto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420"/>
        <w:gridCol w:w="9580"/>
      </w:tblGrid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Expediente completo y revisión.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Corrección/rechazo o aprobación.</w:t>
            </w:r>
          </w:p>
        </w:tc>
      </w:tr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Pagaré educativo versionado.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Envío idempotente a ZapSign.</w:t>
            </w:r>
          </w:p>
        </w:tc>
      </w:tr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Identificación y firma.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Webhook autenticado.</w:t>
            </w:r>
          </w:p>
        </w:tc>
      </w:tr>
      <w:tr>
        <w:trPr>
          <w:cantSplit w:val="on"/>
        </w:trPr>
        <w:tc>
          <w:tcPr>
            <w:tcW w:w="420" w:type="dxa"/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7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Descarga, hash y conservación.</w:t>
            </w:r>
          </w:p>
        </w:tc>
      </w:tr>
      <w:tr>
        <w:trPr>
          <w:cantSplit w:val="on"/>
        </w:trPr>
        <w:tc>
          <w:tcPr>
            <w:tcW w:w="420" w:type="dxa"/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8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Pagaré válido y matrícula.</w:t>
            </w:r>
          </w:p>
        </w:tc>
      </w:tr>
    </w:tbl>
    <w:p>
      <w:pPr/>
      <w:r>
        <w:t xml:space="preserve"/>
      </w:r>
    </w:p>
    <w:p>
      <w:pPr>
        <w:pStyle w:val="Normal"/>
      </w:pPr>
      <w:r>
        <w:t xml:space="preserve">Enviar a revisión no envía el pagaré. La integración histórica mezcla dominios, desembolso y registros sensibles; solo sirve de referencia técnica. La integración educativa no está activa.</w:t>
      </w:r>
    </w:p>
    <w:p>
      <w:pPr>
        <w:pStyle w:val="Heading1"/>
      </w:pPr>
      <w:r>
        <w:t xml:space="preserve">16. Estado funcional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5000"/>
        <w:gridCol w:w="5000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Estado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Funciones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Implementadas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API, idempotencia, invitación, cuenta, términos, adulto/menor, tutor, documentos, cámara, certificado, matrícula, finanzas y enlace móvil.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Preparadas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Estados de revisión/pagaré/firma/pagos, escaneo y diseños.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Futuras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Panel, antivirus, OCR/IA, pagaré, firma, webhooks, Mi crédito, pagos y recaudos.</w:t>
            </w:r>
          </w:p>
        </w:tc>
      </w:tr>
    </w:tbl>
    <w:p>
      <w:pPr/>
      <w:r>
        <w:t xml:space="preserve"/>
      </w:r>
    </w:p>
    <w:p>
      <w:pPr>
        <w:pStyle w:val="Heading1"/>
      </w:pPr>
      <w:r>
        <w:t xml:space="preserve">17. Instalación local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5000"/>
        <w:gridCol w:w="5000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Paso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Comando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Entorno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venv\Scripts\Activate.ps1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Dependencias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python -m pip install -r requirements.txt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Chequeo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python manage.py check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Migraciones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python manage.py migrate (base autorizada)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Política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manage.py configurar_politica_financiera_educativa --vigente-desde AAAA-MM-DD --activate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Servidor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python manage.py runserver 127.0.0.1:8001</w:t>
            </w:r>
          </w:p>
        </w:tc>
      </w:tr>
    </w:tbl>
    <w:p>
      <w:pPr/>
      <w:r>
        <w:t xml:space="preserve"/>
      </w:r>
    </w:p>
    <w:p>
      <w:pPr>
        <w:pStyle w:val="Normal"/>
      </w:pPr>
      <w:r>
        <w:t xml:space="preserve">Las pruebas automatizadas usan un backend de correo aislado. La validación manual local puede usar el backend de consola; la validación real usa el backend SMTP configurado por ambiente. Consultar README, README educativo y docs/interno/operaciones/REANUDAR_PROYECTO.md.</w:t>
      </w:r>
    </w:p>
    <w:p>
      <w:pPr>
        <w:pStyle w:val="Heading1"/>
      </w:pPr>
      <w:r>
        <w:t xml:space="preserve">18. Pruebas</w:t>
      </w:r>
    </w:p>
    <w:p>
      <w:pPr>
        <w:pStyle w:val="Normal"/>
      </w:pPr>
      <w:r>
        <w:t xml:space="preserve">La regresión cubre API, invitaciones, asociación, términos, participantes, documentos, cámara, matrícula, finanzas, seguridad y flujo integral. Esta iteración agrega enlace móvil, uso único, vencimiento, alteración, usuario ajeno, sustitución, fallo de entrega, CSRF, IDOR y recarga.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5000"/>
        <w:gridCol w:w="5000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Validación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Finalidad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manage.py check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Configuración y registry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makemigrations --check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Esquema declarado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Tests educativos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Regresión funcional/seguridad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git diff --check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Integridad del diff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SQLite temporal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Migración desde cero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Staging PostgreSQL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Concurrencia real futura</w:t>
            </w:r>
          </w:p>
        </w:tc>
      </w:tr>
    </w:tbl>
    <w:p>
      <w:pPr/>
      <w:r>
        <w:t xml:space="preserve"/>
      </w:r>
    </w:p>
    <w:p>
      <w:pPr>
        <w:pStyle w:val="Heading1"/>
      </w:pPr>
      <w:r>
        <w:t xml:space="preserve">19. Riesgos y pendientes</w:t>
      </w:r>
    </w:p>
    <w:p>
      <w:pPr>
        <w:pStyle w:val="Normal"/>
        <w:ind w:left="360" w:hanging="180"/>
      </w:pPr>
      <w:r>
        <w:t xml:space="preserve">• Revisión de identidad, edad y vínculo manual.</w:t>
      </w:r>
    </w:p>
    <w:p>
      <w:pPr>
        <w:pStyle w:val="Normal"/>
        <w:ind w:left="360" w:hanging="180"/>
      </w:pPr>
      <w:r>
        <w:t xml:space="preserve">• Antivirus no conectado.</w:t>
      </w:r>
    </w:p>
    <w:p>
      <w:pPr>
        <w:pStyle w:val="Normal"/>
        <w:ind w:left="360" w:hanging="180"/>
      </w:pPr>
      <w:r>
        <w:t xml:space="preserve">• Pagaré y firma no habilitados.</w:t>
      </w:r>
    </w:p>
    <w:p>
      <w:pPr>
        <w:pStyle w:val="Normal"/>
        <w:ind w:left="360" w:hanging="180"/>
      </w:pPr>
      <w:r>
        <w:t xml:space="preserve">• Sin pagos, conciliación, cartera, mora ni Mi crédito completo.</w:t>
      </w:r>
    </w:p>
    <w:p>
      <w:pPr>
        <w:pStyle w:val="Normal"/>
        <w:ind w:left="360" w:hanging="180"/>
      </w:pPr>
      <w:r>
        <w:t xml:space="preserve">• SMTP sujeto a proveedor.</w:t>
      </w:r>
    </w:p>
    <w:p>
      <w:pPr>
        <w:pStyle w:val="Normal"/>
        <w:ind w:left="360" w:hanging="180"/>
      </w:pPr>
      <w:r>
        <w:t xml:space="preserve">• SQLite difiere de PostgreSQL.</w:t>
      </w:r>
    </w:p>
    <w:p>
      <w:pPr>
        <w:pStyle w:val="Normal"/>
        <w:ind w:left="360" w:hanging="180"/>
      </w:pPr>
      <w:r>
        <w:t xml:space="preserve">• Validar datos corporativos del membrete.</w:t>
      </w:r>
    </w:p>
    <w:p>
      <w:pPr>
        <w:pStyle w:val="Normal"/>
        <w:ind w:left="360" w:hanging="180"/>
      </w:pPr>
      <w:r>
        <w:t xml:space="preserve">• Antes de producción: threat model, carga, respaldo, monitoreo, retención e incidentes.</w:t>
      </w:r>
    </w:p>
    <w:p>
      <w:pPr>
        <w:pStyle w:val="Heading1"/>
      </w:pPr>
      <w:r>
        <w:t xml:space="preserve">20. Glosario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5000"/>
        <w:gridCol w:w="5000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Término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Definición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Solicitud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Expediente originado por una institución.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Fotografía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Condiciones y plan inmutables/versionados.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Deudor principal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Adulto que asume la obligación.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Idempotencia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Replay sin duplicación.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Outbox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Entrega persistente posterior al commit.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HMAC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Huella con clave.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IDOR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Acceso por identificador manipulado.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Colocación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Obligación aprobada, no necesariamente desembolso.</w:t>
            </w:r>
          </w:p>
        </w:tc>
      </w:tr>
    </w:tbl>
    <w:p>
      <w:pPr/>
      <w:r>
        <w:t xml:space="preserve"/>
      </w:r>
    </w:p>
    <w:p>
      <w:pPr>
        <w:pStyle w:val="Heading1"/>
      </w:pPr>
      <w:r>
        <w:t xml:space="preserve">21. Historial de cambios</w:t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5000"/>
        <w:gridCol w:w="5000"/>
      </w:tblGrid>
      <w:tr>
        <w:trPr>
          <w:cantSplit w:val="on"/>
        </w:trPr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Fase</w:t>
            </w:r>
          </w:p>
        </w:tc>
        <w:tc>
          <w:tcPr>
            <w:shd w:val="clear" w:fill="0B4B73"/>
          </w:tcPr>
          <w:p>
            <w:pPr>
              <w:spacing w:after="40"/>
            </w:pPr>
            <w:r>
              <w:rPr>
                <w:rFonts w:ascii="Aptos" w:hAnsi="Aptos"/>
                <w:b w:val="on"/>
                <w:color w:val="FFFFFF"/>
                <w:sz w:val="17"/>
              </w:rPr>
              <w:t>Resultado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1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Cimentación del dominio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2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API institucional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3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Cuenta y términos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4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Adulto y menor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5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Motor financiero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6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Orquestación e invitación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6.5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Saneamiento heredado</w:t>
            </w:r>
          </w:p>
        </w:tc>
      </w:tr>
      <w:tr>
        <w:trPr>
          <w:cantSplit w:val="on"/>
        </w:trPr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6.6</w:t>
            </w:r>
          </w:p>
        </w:tc>
        <w:tc>
          <w:tcPr>
            <w:shd w:val="clear" w:fill="F2F7F9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Expediente, cámara y matrícula</w:t>
            </w:r>
          </w:p>
        </w:tc>
      </w:tr>
      <w:tr>
        <w:trPr>
          <w:cantSplit w:val="on"/>
        </w:trPr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Actual</w:t>
            </w:r>
          </w:p>
        </w:tc>
        <w:tc>
          <w:tcPr>
            <w:shd w:val="clear" w:fill="FFFFFF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Etiquetas, abono y enlace móvil</w:t>
            </w:r>
          </w:p>
        </w:tc>
      </w:tr>
    </w:tbl>
    <w:p>
      <w:pPr/>
      <w:r>
        <w:t xml:space="preserve"/>
      </w:r>
    </w:p>
    <w:tbl>
      <w:tblPr>
        <w:tblW w:w="5000" w:type="pct"/>
        <w:tblBorders>
          <w:top w:val="single" w:sz="4" w:color="B7C9D3"/>
          <w:left w:val="single" w:sz="4" w:color="B7C9D3"/>
          <w:bottom w:val="single" w:sz="4" w:color="B7C9D3"/>
          <w:right w:val="single" w:sz="4" w:color="B7C9D3"/>
          <w:insideH w:val="single" w:sz="4" w:color="B7C9D3"/>
          <w:insideV w:val="single" w:sz="4" w:color="B7C9D3"/>
        </w:tblBorders>
        <w:tblLayout w:type="autofit"/>
      </w:tblPr>
      <w:tblGrid>
        <w:gridCol w:w="180"/>
        <w:gridCol w:w="9820"/>
      </w:tblGrid>
      <w:tr>
        <w:trPr>
          <w:cantSplit w:val="on"/>
        </w:trPr>
        <w:tc>
          <w:tcPr>
            <w:tcW w:w="180" w:type="dxa"/>
            <w:shd w:val="clear" w:fill="05A7D5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/>
            </w:r>
          </w:p>
        </w:tc>
        <w:tc>
          <w:tcPr>
            <w:shd w:val="clear" w:fill="EDF9FC"/>
          </w:tcPr>
          <w:p>
            <w:pPr>
              <w:spacing w:after="40"/>
            </w:pPr>
            <w:r>
              <w:rPr>
                <w:rFonts w:ascii="Aptos" w:hAnsi="Aptos"/>
                <w:sz w:val="17"/>
              </w:rPr>
              <w:t>Cierre. Refleja el código inspeccionado al 28 de julio de 2026. Lo futuro es diseño, no funcionalidad habilitada.</w:t>
            </w:r>
          </w:p>
        </w:tc>
      </w:tr>
    </w:tbl>
    <w:sectPr>
      <w:headerReference w:type="default" r:id="rId1"/>
      <w:headerReference w:type="first" r:id="rId5"/>
      <w:footerReference w:type="default" r:id="rId2"/>
      <w:pgSz w:w="12240" w:h="15840"/>
      <w:pgMar w:top="3160" w:right="1160" w:bottom="2840" w:left="1160" w:header="0" w:footer="320" w:gutter="0"/>
      <w:titlePg/>
    </w:sectPr>
  </w:body>
</w:document>
</file>

<file path=word/footer1.xml><?xml version="1.0" encoding="utf-8"?>
<w:ftr xmlns:w="http://schemas.openxmlformats.org/wordprocessingml/2006/main">
  <w:p>
    <w:pPr>
      <w:jc w:val="right"/>
    </w:pPr>
    <w:r>
      <w:rPr>
        <w:b w:val="on"/>
        <w:color w:val="0B4B73"/>
        <w:sz w:val="16"/>
      </w:rPr>
      <w:t>DOCUMENTACIÓN TÉCNICA  |  VERSIÓN 1.0  |  PÁGINA </w:t>
    </w:r>
    <w:fldSimple w:instr="PAGE">
      <w:r/>
    </w:fldSimple>
  </w:p>
</w:ftr>
</file>

<file path=word/header1.xml><?xml version="1.0" encoding="utf-8"?>
<w:hdr xmlns:w="http://schemas.openxmlformats.org/wordprocessingml/2006/main">
  <w:p>
    <w:pPr>
      <w:jc w:val="right"/>
    </w:pPr>
    <w:r>
      <w:rPr>
        <w:b w:val="on"/>
        <w:color w:val="0B4B73"/>
        <w:sz w:val="18"/>
      </w:rPr>
      <w:t>APROBADO  |  FINANCIACIÓN EDUCATIVA</w:t>
    </w:r>
  </w:p>
</w:hdr>
</file>

<file path=word/header2.xml><?xml version="1.0" encoding="utf-8"?>
<w:hdr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>
  <w:p>
    <w:r>
      <w:drawing>
        <wp:anchor distT="0" distB="0" distL="0" distR="0" simplePos="0" relativeHeight="0" behindDoc="1" locked="0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10058400"/>
          <wp:effectExtent l="0" t="0" r="0" b="0"/>
          <wp:wrapNone/>
          <wp:docPr id="1" name="Membrete Aprobado"/>
          <wp:cNvGraphicFramePr/>
          <a:graphic>
            <a:graphicData uri="http://schemas.openxmlformats.org/drawingml/2006/picture">
              <pic:pic>
                <pic:nvPicPr>
                  <pic:cNvPr id="0" name="MembreteAprobad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2400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updateFields w:val="true"/>
  <w:compat/>
</w:settings>
</file>

<file path=word/styles.xml><?xml version="1.0" encoding="utf-8"?>
<w:styles xmlns:w="http://schemas.openxmlformats.org/wordprocessingml/2006/main">
  <w:docDefaults>
    <w:rPrDefault>
      <w:rPr>
        <w:rFonts w:ascii="Aptos" w:hAnsi="Aptos"/>
        <w:sz w:val="19"/>
      </w:rPr>
    </w:rPrDefault>
    <w:pPrDefault>
      <w:pPr>
        <w:spacing w:after="100" w:line="260" w:lineRule="auto"/>
      </w:pPr>
    </w:pPrDefault>
  </w:docDefaults>
  <w:style w:type="paragraph" w:styleId="Normal">
    <w:name w:val="Normal"/>
    <w:qFormat/>
    <w:pPr>
      <w:spacing w:before="0" w:after="100"/>
    </w:pPr>
    <w:rPr>
      <w:rFonts w:ascii="Aptos Display" w:hAnsi="Aptos Display"/>
      <w:color w:val="123047"/>
      <w:sz w:val="19"/>
    </w:rPr>
  </w:style>
  <w:style w:type="paragraph" w:styleId="Title">
    <w:name w:val="Title"/>
    <w:basedOn w:val="Normal"/>
    <w:qFormat/>
    <w:pPr>
      <w:spacing w:before="0" w:after="240"/>
      <w:jc w:val="center"/>
    </w:pPr>
    <w:rPr>
      <w:rFonts w:ascii="Aptos Display" w:hAnsi="Aptos Display"/>
      <w:b w:val="on"/>
      <w:color w:val="0B4B73"/>
      <w:sz w:val="54"/>
    </w:rPr>
  </w:style>
  <w:style w:type="paragraph" w:styleId="Subtitle">
    <w:name w:val="Subtitle"/>
    <w:basedOn w:val="Normal"/>
    <w:qFormat/>
    <w:pPr>
      <w:spacing w:before="0" w:after="180"/>
      <w:jc w:val="center"/>
    </w:pPr>
    <w:rPr>
      <w:rFonts w:ascii="Aptos Display" w:hAnsi="Aptos Display"/>
      <w:b w:val="on"/>
      <w:color w:val="0B4B73"/>
      <w:sz w:val="32"/>
    </w:rPr>
  </w:style>
  <w:style w:type="paragraph" w:styleId="Center">
    <w:name w:val="Center"/>
    <w:basedOn w:val="Normal"/>
    <w:qFormat/>
    <w:pPr>
      <w:spacing w:before="0" w:after="100"/>
      <w:jc w:val="center"/>
    </w:pPr>
    <w:rPr>
      <w:rFonts w:ascii="Aptos Display" w:hAnsi="Aptos Display"/>
      <w:color w:val="123047"/>
      <w:sz w:val="19"/>
    </w:rPr>
  </w:style>
  <w:style w:type="paragraph" w:styleId="Heading1">
    <w:name w:val="heading 1"/>
    <w:basedOn w:val="Normal"/>
    <w:qFormat/>
    <w:pPr>
      <w:keepNext w:val="on"/>
      <w:spacing w:before="160" w:after="160"/>
      <w:outlineLvl w:val="0"/>
    </w:pPr>
    <w:rPr>
      <w:rFonts w:ascii="Aptos Display" w:hAnsi="Aptos Display"/>
      <w:b w:val="on"/>
      <w:color w:val="0B4B73"/>
      <w:sz w:val="34"/>
    </w:rPr>
  </w:style>
  <w:style w:type="paragraph" w:styleId="Heading2">
    <w:name w:val="heading 2"/>
    <w:basedOn w:val="Normal"/>
    <w:qFormat/>
    <w:pPr>
      <w:keepNext w:val="on"/>
      <w:spacing w:before="140" w:after="90"/>
      <w:outlineLvl w:val="1"/>
    </w:pPr>
    <w:rPr>
      <w:rFonts w:ascii="Aptos Display" w:hAnsi="Aptos Display"/>
      <w:b w:val="on"/>
      <w:color w:val="05A7D5"/>
      <w:sz w:val="25"/>
    </w:rPr>
  </w:style>
  <w:style w:type="paragraph" w:styleId="Heading3">
    <w:name w:val="heading 3"/>
    <w:basedOn w:val="Normal"/>
    <w:qFormat/>
    <w:pPr>
      <w:keepNext w:val="on"/>
      <w:spacing w:before="100" w:after="70"/>
      <w:outlineLvl w:val="2"/>
    </w:pPr>
    <w:rPr>
      <w:rFonts w:ascii="Aptos Display" w:hAnsi="Aptos Display"/>
      <w:b w:val="on"/>
      <w:color w:val="0B4B73"/>
      <w:sz w:val="21"/>
    </w:rPr>
  </w:style>
</w:styles>
</file>

<file path=word/_rels/document.xml.rels><?xml version="1.0" encoding="UTF-8"?>
<Relationships xmlns="http://schemas.openxmlformats.org/package/2006/relationships">
<Relationship Id="rId1" Type="http://schemas.openxmlformats.org/officeDocument/2006/relationships/header" Target="header1.xml"/>
<Relationship Id="rId2" Type="http://schemas.openxmlformats.org/officeDocument/2006/relationships/footer" Target="footer1.xml"/>
<Relationship Id="rId3" Type="http://schemas.openxmlformats.org/officeDocument/2006/relationships/styles" Target="styles.xml"/>
<Relationship Id="rId4" Type="http://schemas.openxmlformats.org/officeDocument/2006/relationships/settings" Target="settings.xml"/>
<Relationship Id="rId5" Type="http://schemas.openxmlformats.org/officeDocument/2006/relationships/header" Target="header2.xml"/>
</Relationships>
</file>

<file path=word/_rels/header2.xml.rels><?xml version="1.0" encoding="UTF-8"?>
<Relationships xmlns="http://schemas.openxmlformats.org/package/2006/relationships">
<Relationship Id="rId1" Type="http://schemas.openxmlformats.org/officeDocument/2006/relationships/image" Target="media/MembreteAprobado.jpg"/>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  <Company>Aprobado Soluciones Digitales S.A.S.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técnica Aprobado - Financiación educativa</dc:title>
  <dc:creator>Aprobado Soluciones Digitales S.A.S.</dc:creator>
  <dc:subject>Arquitectura, operación, seguridad y hoja de ruta</dc:subject>
  <cp:keywords>financiación educativa,Django,API,seguridad</cp:keywords>
  <dcterms:created xsi:type="dcterms:W3CDTF">2026-07-30T03:33:49.381735+00:00</dcterms:created>
  <dcterms:modified xsi:type="dcterms:W3CDTF">2026-07-30T03:33:49.381735+00:00</dcterms:modified>
</cp:coreProperties>
</file>