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48"/>
        </w:rPr>
        <w:t>Test Markdown Report</w:t>
      </w:r>
    </w:p>
    <w:p>
      <w:pPr>
        <w:widowControl/>
        <w:spacing w:line="330" w:lineRule="exact" w:after="12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 xml:space="preserve">This is the fixed markdown fixture used by the </w:t>
      </w:r>
      <w:r>
        <w:rPr>
          <w:rFonts w:ascii="JetBrains Mono" w:hAnsi="JetBrains Mono" w:cs="JetBrains Mono" w:eastAsia="JetBrains Mono"/>
          <w:b w:val="0"/>
          <w:i w:val="0"/>
          <w:color w:val="1E293B"/>
          <w:sz w:val="20"/>
        </w:rPr>
        <w:t>markdown</w:t>
      </w:r>
      <w:r>
        <w:rPr>
          <w:rFonts w:ascii="Inter" w:hAnsi="Inter" w:cs="Arial" w:eastAsia="Arial"/>
          <w:b w:val="0"/>
          <w:i w:val="0"/>
          <w:color w:val="1E293B"/>
          <w:sz w:val="22"/>
        </w:rPr>
        <w:t xml:space="preserve"> golden test. It exercises a representative set of markdown features so regressions in the renderer are caught.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Section One</w:t>
      </w:r>
    </w:p>
    <w:p>
      <w:pPr>
        <w:widowControl/>
        <w:spacing w:line="330" w:lineRule="exact" w:after="12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 xml:space="preserve">Plain paragraph with </w:t>
      </w:r>
      <w:r>
        <w:rPr>
          <w:rFonts w:ascii="Inter" w:hAnsi="Inter" w:cs="Arial" w:eastAsia="Arial"/>
          <w:b/>
          <w:i w:val="0"/>
          <w:color w:val="1E293B"/>
          <w:sz w:val="22"/>
        </w:rPr>
        <w:t>bold</w:t>
      </w:r>
      <w:r>
        <w:rPr>
          <w:rFonts w:ascii="Inter" w:hAnsi="Inter" w:cs="Arial" w:eastAsia="Arial"/>
          <w:b w:val="0"/>
          <w:i w:val="0"/>
          <w:color w:val="1E293B"/>
          <w:sz w:val="22"/>
        </w:rPr>
        <w:t xml:space="preserve"> and </w:t>
      </w:r>
      <w:r>
        <w:rPr>
          <w:rFonts w:ascii="Inter" w:hAnsi="Inter" w:cs="Arial" w:eastAsia="Arial"/>
          <w:b w:val="0"/>
          <w:i/>
          <w:color w:val="1E293B"/>
          <w:sz w:val="22"/>
        </w:rPr>
        <w:t>italic</w:t>
      </w:r>
      <w:r>
        <w:rPr>
          <w:rFonts w:ascii="Inter" w:hAnsi="Inter" w:cs="Arial" w:eastAsia="Arial"/>
          <w:b w:val="0"/>
          <w:i w:val="0"/>
          <w:color w:val="1E293B"/>
          <w:sz w:val="22"/>
        </w:rPr>
        <w:t xml:space="preserve"> inline formatting.</w:t>
      </w:r>
    </w:p>
    <w:p>
      <w:pPr>
        <w:widowControl/>
        <w:numPr>
          <w:ilvl w:val="0"/>
          <w:numId w:val="11"/>
        </w:numPr>
        <w:spacing w:before="120" w:after="4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Bullet one</w:t>
      </w:r>
    </w:p>
    <w:p>
      <w:pPr>
        <w:widowControl/>
        <w:numPr>
          <w:ilvl w:val="0"/>
          <w:numId w:val="11"/>
        </w:numPr>
        <w:spacing w:before="40" w:after="4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 xml:space="preserve">Bullet two with </w:t>
      </w:r>
      <w:r>
        <w:rPr>
          <w:rFonts w:ascii="JetBrains Mono" w:hAnsi="JetBrains Mono" w:cs="JetBrains Mono" w:eastAsia="JetBrains Mono"/>
          <w:b w:val="0"/>
          <w:i w:val="0"/>
          <w:color w:val="1E293B"/>
          <w:sz w:val="20"/>
        </w:rPr>
        <w:t>inline code</w:t>
      </w:r>
    </w:p>
    <w:p>
      <w:pPr>
        <w:widowControl/>
        <w:numPr>
          <w:ilvl w:val="0"/>
          <w:numId w:val="11"/>
        </w:numPr>
        <w:spacing w:before="40" w:after="12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Bullet three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Section Two — Numbered</w:t>
      </w:r>
    </w:p>
    <w:p>
      <w:pPr>
        <w:widowControl/>
        <w:numPr>
          <w:ilvl w:val="0"/>
          <w:numId w:val="12"/>
        </w:numPr>
        <w:spacing w:before="120" w:after="4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First numbered item</w:t>
      </w:r>
    </w:p>
    <w:p>
      <w:pPr>
        <w:widowControl/>
        <w:numPr>
          <w:ilvl w:val="0"/>
          <w:numId w:val="12"/>
        </w:numPr>
        <w:spacing w:before="40" w:after="4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Second numbered item</w:t>
      </w:r>
    </w:p>
    <w:p>
      <w:pPr>
        <w:widowControl/>
        <w:numPr>
          <w:ilvl w:val="0"/>
          <w:numId w:val="12"/>
        </w:numPr>
        <w:spacing w:before="40" w:after="12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Third numbered item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Section Three — Table</w:t>
      </w:r>
    </w:p>
    <w:p>
      <w:pPr>
        <w:spacing w:before="0" w:after="240" w:line="20" w:lineRule="exact"/>
      </w:pPr>
      <w:r>
        <w:rPr>
          <w:sz w:val="2"/>
        </w:rPr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7201"/>
        <w:gridCol w:w="1127"/>
        <w:gridCol w:w="1027"/>
      </w:tblGrid>
      <w:tr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34AF"/>
            <w:vAlign w:val="center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34AF"/>
            <w:vAlign w:val="center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/>
                <w:i w:val="0"/>
                <w:color w:val="FFFFFF"/>
                <w:sz w:val="20"/>
              </w:rPr>
              <w:t>Q1 2026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34AF"/>
            <w:vAlign w:val="center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Revenue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€1.2M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€1.5M</w:t>
            </w:r>
          </w:p>
        </w:tc>
      </w:tr>
      <w:tr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Pipeline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€4.5M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€5.0M</w:t>
            </w:r>
          </w:p>
        </w:tc>
      </w:tr>
      <w:tr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Headcount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12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15</w:t>
            </w:r>
          </w:p>
        </w:tc>
      </w:tr>
    </w:tbl>
    <w:p>
      <w:pPr>
        <w:spacing w:before="240" w:after="0" w:line="20" w:lineRule="exact"/>
      </w:pPr>
      <w:r>
        <w:rPr>
          <w:sz w:val="2"/>
        </w:rPr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Section Four — Blockquote</w:t>
      </w:r>
    </w:p>
    <w:p>
      <w:pPr>
        <w:widowControl/>
        <w:ind w:left="567"/>
      </w:pPr>
      <w:r>
        <w:rPr>
          <w:rFonts w:ascii="Inter" w:hAnsi="Inter" w:cs="Arial" w:eastAsia="Arial"/>
          <w:b w:val="0"/>
          <w:i/>
          <w:color w:val="64748B"/>
          <w:sz w:val="22"/>
        </w:rPr>
        <w:t>This is a blockquote used to verify italic + left indent rendering.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Section Five — Alphabetic sub-list</w:t>
      </w:r>
    </w:p>
    <w:p>
      <w:pPr>
        <w:widowControl/>
        <w:spacing w:line="330" w:lineRule="exact" w:after="12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The agreement includes:</w:t>
      </w:r>
    </w:p>
    <w:p>
      <w:pPr>
        <w:widowControl/>
        <w:numPr>
          <w:ilvl w:val="0"/>
          <w:numId w:val="13"/>
        </w:numPr>
        <w:spacing w:before="120" w:after="40" w:line="330" w:lineRule="exact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first condition</w:t>
      </w:r>
    </w:p>
    <w:p>
      <w:pPr>
        <w:widowControl/>
        <w:numPr>
          <w:ilvl w:val="0"/>
          <w:numId w:val="13"/>
        </w:numPr>
        <w:spacing w:before="40" w:after="40" w:line="330" w:lineRule="exact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second condition</w:t>
      </w:r>
    </w:p>
    <w:p>
      <w:pPr>
        <w:widowControl/>
        <w:numPr>
          <w:ilvl w:val="0"/>
          <w:numId w:val="13"/>
        </w:numPr>
        <w:spacing w:before="40" w:after="120" w:line="330" w:lineRule="exact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third condition</w:t>
      </w:r>
    </w:p>
    <w:p>
      <w:pPr>
        <w:widowControl/>
        <w:spacing w:line="330" w:lineRule="exact" w:after="12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with the following roman sub-clauses:</w:t>
      </w:r>
    </w:p>
    <w:p>
      <w:pPr>
        <w:widowControl/>
        <w:numPr>
          <w:ilvl w:val="0"/>
          <w:numId w:val="14"/>
        </w:numPr>
        <w:spacing w:before="120" w:after="40" w:line="330" w:lineRule="exact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sub-condition one</w:t>
      </w:r>
    </w:p>
    <w:p>
      <w:pPr>
        <w:widowControl/>
        <w:numPr>
          <w:ilvl w:val="0"/>
          <w:numId w:val="14"/>
        </w:numPr>
        <w:spacing w:before="40" w:after="120" w:line="330" w:lineRule="exact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sub-condition two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98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4748B"/>
        <w:sz w:val="14"/>
      </w:rPr>
      <w:t>Digital Energy Group AG  ·  Baarerstrasse 43, 6300 Zug, Switzerland  ·  CHE-408.639.320  ·  digital-energy.group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</w:pPr>
    <w:r>
      <w:drawing>
        <wp:inline xmlns:a="http://schemas.openxmlformats.org/drawingml/2006/main" xmlns:pic="http://schemas.openxmlformats.org/drawingml/2006/picture">
          <wp:extent cx="766742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_Logo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6742" cy="288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Inter" w:hAnsi="Inter"/>
        <w:color w:val="64748B"/>
        <w:sz w:val="18"/>
      </w:rPr>
      <w:t>Test Markdown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nsid w:val="DE000064"/>
    <w:multiLevelType w:val="singleLevel"/>
    <w:tmpl w:val="DE10006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101">
    <w:nsid w:val="DE000065"/>
    <w:multiLevelType w:val="singleLevel"/>
    <w:tmpl w:val="DE100065"/>
    <w:lvl w:ilvl="0">
      <w:start w:val="1"/>
      <w:numFmt w:val="lowerRoman"/>
      <w:lvlText w:val="(%1)"/>
      <w:lvlJc w:val="left"/>
      <w:pPr>
        <w:tabs>
          <w:tab w:val="num" w:pos="480"/>
        </w:tabs>
        <w:ind w:left="480" w:hanging="480"/>
      </w:pPr>
    </w:lvl>
  </w:abstractNum>
  <w:abstractNum w:abstractNumId="102">
    <w:nsid w:val="DE000066"/>
    <w:multiLevelType w:val="singleLevel"/>
    <w:tmpl w:val="DE1000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3">
    <w:nsid w:val="DE000067"/>
    <w:multiLevelType w:val="singleLevel"/>
    <w:tmpl w:val="DE10006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4">
    <w:nsid w:val="DE000068"/>
    <w:multiLevelType w:val="multilevel"/>
    <w:tmpl w:val="DE1000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4"/>
    <w:lvlOverride w:ilvl="0">
      <w:startOverride w:val="1"/>
    </w:lvlOverride>
  </w:num>
  <w:num w:numId="11">
    <w:abstractNumId w:val="103"/>
    <w:lvlOverride w:ilvl="0">
      <w:startOverride w:val="1"/>
    </w:lvlOverride>
  </w:num>
  <w:num w:numId="12">
    <w:abstractNumId w:val="102"/>
    <w:lvlOverride w:ilvl="0">
      <w:startOverride w:val="1"/>
    </w:lvlOverride>
  </w:num>
  <w:num w:numId="13">
    <w:abstractNumId w:val="100"/>
    <w:lvlOverride w:ilvl="0">
      <w:startOverride w:val="1"/>
    </w:lvlOverride>
  </w:num>
  <w:num w:numId="14">
    <w:abstractNumId w:val="1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Markdown Report</dc:title>
  <dc:subject/>
  <dc:creator>Digital Energy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