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B40C" w14:textId="77777777" w:rsidR="00E94176" w:rsidRDefault="00E94176">
      <w:pPr>
        <w:spacing w:after="400"/>
      </w:pPr>
    </w:p>
    <w:p w14:paraId="2FF423C0" w14:textId="77777777" w:rsidR="00E94176" w:rsidRDefault="00000000">
      <w:pPr>
        <w:spacing w:after="80"/>
        <w:jc w:val="center"/>
      </w:pPr>
      <w:r>
        <w:rPr>
          <w:b/>
          <w:bCs/>
          <w:sz w:val="44"/>
          <w:szCs w:val="44"/>
        </w:rPr>
        <w:t>Binding Heads of Terms</w:t>
      </w:r>
    </w:p>
    <w:p w14:paraId="440C4C19" w14:textId="77777777" w:rsidR="00E94176" w:rsidRDefault="00000000">
      <w:pPr>
        <w:spacing w:after="300"/>
        <w:jc w:val="center"/>
      </w:pPr>
      <w:r>
        <w:rPr>
          <w:i/>
          <w:iCs/>
          <w:sz w:val="32"/>
          <w:szCs w:val="32"/>
        </w:rPr>
        <w:t>(Bindende Contractvoorwaarden)</w:t>
      </w:r>
    </w:p>
    <w:p w14:paraId="26D042A3" w14:textId="77777777" w:rsidR="00E94176" w:rsidRDefault="00000000">
      <w:pPr>
        <w:spacing w:after="80"/>
        <w:jc w:val="center"/>
      </w:pPr>
      <w:r>
        <w:rPr>
          <w:sz w:val="22"/>
          <w:szCs w:val="22"/>
        </w:rPr>
        <w:t>for / voor</w:t>
      </w:r>
    </w:p>
    <w:p w14:paraId="1E991BBE" w14:textId="77777777" w:rsidR="00E94176" w:rsidRDefault="00000000">
      <w:pPr>
        <w:spacing w:after="300"/>
        <w:jc w:val="center"/>
      </w:pPr>
      <w:r>
        <w:rPr>
          <w:b/>
          <w:bCs/>
          <w:sz w:val="32"/>
          <w:szCs w:val="32"/>
        </w:rPr>
        <w:t>Digital Energy Center Project</w:t>
      </w:r>
    </w:p>
    <w:p w14:paraId="72CA0829" w14:textId="77777777" w:rsidR="00E94176" w:rsidRDefault="00000000">
      <w:pPr>
        <w:spacing w:after="150"/>
        <w:jc w:val="center"/>
      </w:pPr>
      <w:r>
        <w:rPr>
          <w:sz w:val="22"/>
          <w:szCs w:val="22"/>
        </w:rPr>
        <w:t>between / tussen</w:t>
      </w:r>
    </w:p>
    <w:p w14:paraId="4BA7F951" w14:textId="77777777" w:rsidR="00E94176" w:rsidRDefault="00000000">
      <w:pPr>
        <w:spacing w:after="80"/>
        <w:jc w:val="center"/>
      </w:pPr>
      <w:r>
        <w:rPr>
          <w:b/>
          <w:bCs/>
          <w:sz w:val="28"/>
          <w:szCs w:val="28"/>
        </w:rPr>
        <w:t>Digital Energy Group AG</w:t>
      </w:r>
    </w:p>
    <w:p w14:paraId="06146BFA" w14:textId="77777777" w:rsidR="00E94176" w:rsidRDefault="00000000">
      <w:pPr>
        <w:spacing w:after="150"/>
        <w:jc w:val="center"/>
      </w:pPr>
      <w:r>
        <w:rPr>
          <w:sz w:val="22"/>
          <w:szCs w:val="22"/>
        </w:rPr>
        <w:t>and / en</w:t>
      </w:r>
    </w:p>
    <w:p w14:paraId="587EF73D" w14:textId="77777777" w:rsidR="00E94176" w:rsidRDefault="00000000">
      <w:pPr>
        <w:spacing w:after="300"/>
        <w:jc w:val="center"/>
      </w:pPr>
      <w:r>
        <w:rPr>
          <w:b/>
          <w:bCs/>
          <w:sz w:val="28"/>
          <w:szCs w:val="28"/>
          <w:highlight w:val="yellow"/>
        </w:rPr>
        <w:t>[Grower — See Annex A, Item A.1]</w:t>
      </w:r>
    </w:p>
    <w:p w14:paraId="19DFB974" w14:textId="77777777" w:rsidR="00E94176"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2"/>
        <w:gridCol w:w="5232"/>
      </w:tblGrid>
      <w:tr w:rsidR="00E94176" w14:paraId="2EDDB9D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6DA45E6" w14:textId="77777777" w:rsidR="00E94176" w:rsidRDefault="00000000">
            <w:r>
              <w:rPr>
                <w:b/>
                <w:bCs/>
                <w:sz w:val="20"/>
                <w:szCs w:val="20"/>
              </w:rPr>
              <w:lastRenderedPageBreak/>
              <w:t>English</w:t>
            </w:r>
          </w:p>
        </w:tc>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EB84937" w14:textId="77777777" w:rsidR="00E94176" w:rsidRDefault="00000000">
            <w:r>
              <w:rPr>
                <w:b/>
                <w:bCs/>
                <w:sz w:val="20"/>
                <w:szCs w:val="20"/>
              </w:rPr>
              <w:t>Dutch</w:t>
            </w:r>
          </w:p>
        </w:tc>
      </w:tr>
      <w:tr w:rsidR="00E94176" w14:paraId="78789A2B"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B2E63EA" w14:textId="77777777" w:rsidR="00E94176" w:rsidRDefault="00000000">
            <w:r>
              <w:rPr>
                <w:b/>
                <w:bCs/>
                <w:sz w:val="20"/>
                <w:szCs w:val="20"/>
              </w:rPr>
              <w:t>1. Parties</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DBBCB72" w14:textId="77777777" w:rsidR="00E94176" w:rsidRDefault="00000000">
            <w:r>
              <w:rPr>
                <w:b/>
                <w:bCs/>
                <w:sz w:val="20"/>
                <w:szCs w:val="20"/>
              </w:rPr>
              <w:t>1. Partijen</w:t>
            </w:r>
          </w:p>
        </w:tc>
      </w:tr>
      <w:tr w:rsidR="00E94176" w14:paraId="6EB38058"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BF67F2" w14:textId="77777777" w:rsidR="00E94176" w:rsidRDefault="00000000">
            <w:pPr>
              <w:spacing w:after="50"/>
            </w:pPr>
            <w:r>
              <w:rPr>
                <w:b/>
                <w:bCs/>
              </w:rPr>
              <w:t xml:space="preserve">1.1 </w:t>
            </w:r>
            <w:r>
              <w:t>Digital Energy Group AG, a company incorporated under Swiss law, registered under CHE-408.639.320, with its registered office at Baarerstrasse 43, 6300 Zug, Switzerland, including its permitted successors and assigns ("</w:t>
            </w:r>
            <w:r>
              <w:rPr>
                <w:b/>
                <w:bCs/>
              </w:rPr>
              <w:t>Digital Energy</w:t>
            </w:r>
            <w:r>
              <w:t>").</w:t>
            </w:r>
          </w:p>
          <w:p w14:paraId="5B038036" w14:textId="77777777" w:rsidR="00E94176" w:rsidRDefault="00000000">
            <w:pPr>
              <w:spacing w:after="50"/>
            </w:pPr>
            <w:r>
              <w:rPr>
                <w:b/>
                <w:bCs/>
              </w:rPr>
              <w:t xml:space="preserve">1.2 </w:t>
            </w:r>
            <w:r>
              <w:t>The company identified in Annex A, Item A.1, a Dutch private limited company (</w:t>
            </w:r>
            <w:r>
              <w:rPr>
                <w:i/>
                <w:iCs/>
              </w:rPr>
              <w:t>besloten vennootschap</w:t>
            </w:r>
            <w:r>
              <w:t>), registered with the Trade Register (</w:t>
            </w:r>
            <w:r>
              <w:rPr>
                <w:i/>
                <w:iCs/>
              </w:rPr>
              <w:t>Kamer van Koophandel</w:t>
            </w:r>
            <w:r>
              <w:t>) under the number in Item A.2, with its registered office at the address in Item A.3, including its permitted successors and assigns ("</w:t>
            </w:r>
            <w:r>
              <w:rPr>
                <w:b/>
                <w:bCs/>
              </w:rPr>
              <w:t>Grower</w:t>
            </w:r>
            <w:r>
              <w:t>").</w:t>
            </w:r>
          </w:p>
          <w:p w14:paraId="305A7488" w14:textId="77777777" w:rsidR="00E94176" w:rsidRDefault="00000000">
            <w:r>
              <w:rPr>
                <w:b/>
                <w:bCs/>
              </w:rPr>
              <w:t xml:space="preserve">1.3 </w:t>
            </w:r>
            <w:r>
              <w:t>Digital Energy and the Grower are each referred to as a "</w:t>
            </w:r>
            <w:r>
              <w:rPr>
                <w:b/>
                <w:bCs/>
              </w:rPr>
              <w:t>Party</w:t>
            </w:r>
            <w:r>
              <w:t>" and together as the "</w:t>
            </w:r>
            <w:r>
              <w:rPr>
                <w:b/>
                <w:bCs/>
              </w:rPr>
              <w:t>Parties</w:t>
            </w:r>
            <w: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3541E0" w14:textId="77777777" w:rsidR="00E94176" w:rsidRDefault="00000000">
            <w:pPr>
              <w:spacing w:after="50"/>
            </w:pPr>
            <w:r>
              <w:rPr>
                <w:b/>
                <w:bCs/>
              </w:rPr>
              <w:t xml:space="preserve">1.1 </w:t>
            </w:r>
            <w:r>
              <w:t>Digital Energy Group AG, een vennootschap opgericht naar Zwitsers recht, geregistreerd onder CHE-408.639.320, met statutaire zetel aan Baarerstrasse 43, 6300 Zug, Zwitserland, met inbegrip van haar toegestane rechtsopvolgers en rechtverkrijgenden ("</w:t>
            </w:r>
            <w:r>
              <w:rPr>
                <w:b/>
                <w:bCs/>
              </w:rPr>
              <w:t>Digital Energy</w:t>
            </w:r>
            <w:r>
              <w:t>").</w:t>
            </w:r>
          </w:p>
          <w:p w14:paraId="2B2CF842" w14:textId="77777777" w:rsidR="00E94176" w:rsidRDefault="00000000">
            <w:pPr>
              <w:spacing w:after="50"/>
            </w:pPr>
            <w:r>
              <w:rPr>
                <w:b/>
                <w:bCs/>
              </w:rPr>
              <w:t xml:space="preserve">1.2 </w:t>
            </w:r>
            <w:r>
              <w:t>De vennootschap vermeld in Bijlage A, Punt A.1, een besloten vennootschap met beperkte aansprakelijkheid, ingeschreven bij de Kamer van Koophandel onder het nummer in Punt A.2, met statutaire zetel op het adres in Punt A.3, met inbegrip van haar toegestane rechtsopvolgers en rechtverkrijgenden ("</w:t>
            </w:r>
            <w:r>
              <w:rPr>
                <w:b/>
                <w:bCs/>
              </w:rPr>
              <w:t>Teler</w:t>
            </w:r>
            <w:r>
              <w:t>").</w:t>
            </w:r>
          </w:p>
          <w:p w14:paraId="773CB332" w14:textId="77777777" w:rsidR="00E94176" w:rsidRDefault="00000000">
            <w:r>
              <w:rPr>
                <w:b/>
                <w:bCs/>
              </w:rPr>
              <w:t xml:space="preserve">1.3 </w:t>
            </w:r>
            <w:r>
              <w:t>Digital Energy en de Teler worden afzonderlijk aangeduid als "</w:t>
            </w:r>
            <w:r>
              <w:rPr>
                <w:b/>
                <w:bCs/>
              </w:rPr>
              <w:t>Partij</w:t>
            </w:r>
            <w:r>
              <w:t>" en gezamenlijk als "</w:t>
            </w:r>
            <w:r>
              <w:rPr>
                <w:b/>
                <w:bCs/>
              </w:rPr>
              <w:t>Partijen</w:t>
            </w:r>
            <w:r>
              <w:t>".</w:t>
            </w:r>
          </w:p>
        </w:tc>
      </w:tr>
      <w:tr w:rsidR="00E94176" w14:paraId="376428CC"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774FA17B" w14:textId="77777777" w:rsidR="00E94176" w:rsidRDefault="00000000">
            <w:r>
              <w:rPr>
                <w:b/>
                <w:bCs/>
                <w:sz w:val="20"/>
                <w:szCs w:val="20"/>
              </w:rPr>
              <w:t>2. Recitals</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44F2F314" w14:textId="77777777" w:rsidR="00E94176" w:rsidRDefault="00000000">
            <w:r>
              <w:rPr>
                <w:b/>
                <w:bCs/>
                <w:sz w:val="20"/>
                <w:szCs w:val="20"/>
              </w:rPr>
              <w:t>2. Overwegingen</w:t>
            </w:r>
          </w:p>
        </w:tc>
      </w:tr>
      <w:tr w:rsidR="00E94176" w14:paraId="2851D326"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7DEE7B" w14:textId="77777777" w:rsidR="00E94176" w:rsidRDefault="00000000">
            <w:pPr>
              <w:spacing w:after="50"/>
            </w:pPr>
            <w:r>
              <w:rPr>
                <w:b/>
                <w:bCs/>
              </w:rPr>
              <w:t xml:space="preserve">2.1 </w:t>
            </w:r>
            <w:r>
              <w:t>The Grower owns and operates a greenhouse facility at the location specified in Annex A, Item A.7, with a current size per Item A.8 and planned expansion per Items A.9–A.10, used for the cultivation specified in Item A.11 and requiring industrial-scale heating for horticultural operations.</w:t>
            </w:r>
          </w:p>
          <w:p w14:paraId="3232AC64" w14:textId="77777777" w:rsidR="00E94176" w:rsidRDefault="00000000">
            <w:r>
              <w:rPr>
                <w:b/>
                <w:bCs/>
              </w:rPr>
              <w:t xml:space="preserve">2.2 </w:t>
            </w:r>
            <w:r>
              <w:t>Digital Energy has developed the Digital Energy Center ("</w:t>
            </w:r>
            <w:r>
              <w:rPr>
                <w:b/>
                <w:bCs/>
              </w:rPr>
              <w:t>DEC</w:t>
            </w:r>
            <w:r>
              <w:t>"), which captures and reuses waste heat from AI-computing data centers.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C4BA6" w14:textId="77777777" w:rsidR="00E94176" w:rsidRDefault="00000000">
            <w:pPr>
              <w:spacing w:after="50"/>
            </w:pPr>
            <w:r>
              <w:rPr>
                <w:b/>
                <w:bCs/>
              </w:rPr>
              <w:t xml:space="preserve">2.1 </w:t>
            </w:r>
            <w:r>
              <w:t>De Teler bezit en exploiteert een glastuinbouwbedrijf op de locatie vermeld in Bijlage A, Punt A.7, met een huidige oppervlakte conform Punt A.8 en geplande uitbreiding conform Punten A.9–A.10, gebruikt voor de teelt vermeld in Punt A.11 en waarvoor industriële tuinbouwverwarming nodig is.</w:t>
            </w:r>
          </w:p>
          <w:p w14:paraId="3BBEF88B" w14:textId="77777777" w:rsidR="00E94176" w:rsidRDefault="00000000">
            <w:r>
              <w:rPr>
                <w:b/>
                <w:bCs/>
              </w:rPr>
              <w:t xml:space="preserve">2.2 </w:t>
            </w:r>
            <w:r>
              <w:t>Digital Energy heeft het Digital Energy Center ("</w:t>
            </w:r>
            <w:r>
              <w:rPr>
                <w:b/>
                <w:bCs/>
              </w:rPr>
              <w:t>DEC</w:t>
            </w:r>
            <w:r>
              <w:t>") ontwikkeld, dat restwarmte van AI-datacenters opvangt en hergebruikt.</w:t>
            </w:r>
          </w:p>
        </w:tc>
      </w:tr>
      <w:tr w:rsidR="00E94176" w14:paraId="3794DDF4"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661E2CCC" w14:textId="77777777" w:rsidR="00E94176" w:rsidRDefault="00000000">
            <w:r>
              <w:rPr>
                <w:b/>
                <w:bCs/>
                <w:sz w:val="20"/>
                <w:szCs w:val="20"/>
              </w:rPr>
              <w:t>3. Binding Nature and Exclusivity</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2EA97FB4" w14:textId="77777777" w:rsidR="00E94176" w:rsidRDefault="00000000">
            <w:r>
              <w:rPr>
                <w:b/>
                <w:bCs/>
                <w:sz w:val="20"/>
                <w:szCs w:val="20"/>
              </w:rPr>
              <w:t>3. Bindende Aard en Exclusiviteit</w:t>
            </w:r>
          </w:p>
        </w:tc>
      </w:tr>
      <w:tr w:rsidR="00E94176" w14:paraId="6CC48FF0"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3B101" w14:textId="77777777" w:rsidR="00E94176" w:rsidRDefault="00000000">
            <w:pPr>
              <w:spacing w:after="50"/>
            </w:pPr>
            <w:r>
              <w:rPr>
                <w:b/>
                <w:bCs/>
              </w:rPr>
              <w:t xml:space="preserve">3.1 Binding Effect. </w:t>
            </w:r>
            <w:r>
              <w:t>These Heads of Terms ("</w:t>
            </w:r>
            <w:r>
              <w:rPr>
                <w:b/>
                <w:bCs/>
              </w:rPr>
              <w:t>HoT</w:t>
            </w:r>
            <w:r>
              <w:t>") constitute a legally binding agreement. The Parties shall negotiate, prepare, and execute definitive agreements ("</w:t>
            </w:r>
            <w:r>
              <w:rPr>
                <w:b/>
                <w:bCs/>
              </w:rPr>
              <w:t>Agreements</w:t>
            </w:r>
            <w:r>
              <w:t>") in good faith and in accordance with the terms herein.</w:t>
            </w:r>
          </w:p>
          <w:p w14:paraId="3F7A6BA0" w14:textId="77777777" w:rsidR="00E94176" w:rsidRDefault="00000000">
            <w:r>
              <w:rPr>
                <w:b/>
                <w:bCs/>
              </w:rPr>
              <w:t xml:space="preserve">3.2 Obligation to Sign. </w:t>
            </w:r>
            <w:r>
              <w:t>Both Parties commit to finalize and sign the Agreements before expiry of the Exclusivity Period, unless a Valid Withdrawal Event occurs and is properly invoked in accordance with Section 3.4.</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FA10E" w14:textId="77777777" w:rsidR="00E94176" w:rsidRDefault="00000000">
            <w:pPr>
              <w:spacing w:after="50"/>
            </w:pPr>
            <w:r>
              <w:rPr>
                <w:b/>
                <w:bCs/>
              </w:rPr>
              <w:t xml:space="preserve">3.1 Bindend Karakter. </w:t>
            </w:r>
            <w:r>
              <w:t>Deze Contractvoorwaarden ("</w:t>
            </w:r>
            <w:r>
              <w:rPr>
                <w:b/>
                <w:bCs/>
              </w:rPr>
              <w:t>HoT</w:t>
            </w:r>
            <w:r>
              <w:t>") vormen een juridisch bindende overeenkomst. De Partijen zullen te goeder trouw en overeenkomstig de hierin opgenomen voorwaarden definitieve overeenkomsten ("</w:t>
            </w:r>
            <w:r>
              <w:rPr>
                <w:b/>
                <w:bCs/>
              </w:rPr>
              <w:t>Overeenkomsten</w:t>
            </w:r>
            <w:r>
              <w:t>") onderhandelen, voorbereiden en uitvoeren.</w:t>
            </w:r>
          </w:p>
          <w:p w14:paraId="79527E4F" w14:textId="77777777" w:rsidR="00E94176" w:rsidRDefault="00000000">
            <w:r>
              <w:rPr>
                <w:b/>
                <w:bCs/>
              </w:rPr>
              <w:t xml:space="preserve">3.2 Ondertekeningsverplichting. </w:t>
            </w:r>
            <w:r>
              <w:t>Beide Partijen verplichten zich de Overeenkomsten te finaliseren en te ondertekenen vóór het verstrijken van de Exclusiviteitsperiode, tenzij een Geldige Terugtrekkingsgrond zich voordoet en naar behoren wordt ingeroepen overeenkomstig Artikel 3.4.</w:t>
            </w:r>
          </w:p>
        </w:tc>
      </w:tr>
      <w:tr w:rsidR="00E94176" w14:paraId="7C6E70E7"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D2D1F6" w14:textId="77777777" w:rsidR="00E94176" w:rsidRDefault="00000000">
            <w:r>
              <w:rPr>
                <w:b/>
                <w:bCs/>
              </w:rPr>
              <w:t xml:space="preserve">3.3 Valid Withdrawal Events. </w:t>
            </w:r>
            <w:r>
              <w:t>A "</w:t>
            </w:r>
            <w:r>
              <w:rPr>
                <w:b/>
                <w:bCs/>
              </w:rPr>
              <w:t>Valid Withdrawal Event</w:t>
            </w:r>
            <w:r>
              <w:t>" means any of the following circumstances, to the extent not already addressed herein and not caused by the withdrawing Party's breach: (a) failure to secure financing on terms consistent with the Project's financial assumptions; (b) an increase in Project costs exceeding 20% of the budgeted costs as at the Effective Date; (c) failure to obtain necessary regulatory approvals or permits; (d) failure to obtain DSO (</w:t>
            </w:r>
            <w:r>
              <w:rPr>
                <w:i/>
                <w:iCs/>
              </w:rPr>
              <w:t>netbeheerder</w:t>
            </w:r>
            <w:r>
              <w:t>) authorization; or (e) failure to obtain SDE++ subsidy.</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DBA3B" w14:textId="77777777" w:rsidR="00E94176" w:rsidRDefault="00000000">
            <w:r>
              <w:rPr>
                <w:b/>
                <w:bCs/>
              </w:rPr>
              <w:t xml:space="preserve">3.3 Geldige Terugtrekkingsgronden. </w:t>
            </w:r>
            <w:r>
              <w:t>Een "</w:t>
            </w:r>
            <w:r>
              <w:rPr>
                <w:b/>
                <w:bCs/>
              </w:rPr>
              <w:t>Geldige Terugtrekkingsgrond</w:t>
            </w:r>
            <w:r>
              <w:t>" betekent een van de volgende omstandigheden, voor zover niet reeds hierin geadresseerd en niet veroorzaakt door een tekortkoming van de zich terugtrekkende Partij: (a) het niet verkrijgen van financiering op voorwaarden die consistent zijn met de financiële uitgangspunten van het Project; (b) een stijging van de Projectkosten met meer dan 20% van de begrote kosten per de Ingangsdatum; (c) het niet verkrijgen van noodzakelijke goedkeuringen of vergunningen; (d) het niet verkrijgen van goedkeuring van de netbeheerder ("</w:t>
            </w:r>
            <w:r>
              <w:rPr>
                <w:b/>
                <w:bCs/>
              </w:rPr>
              <w:t>DSO</w:t>
            </w:r>
            <w:r>
              <w:t>"); of (e) het niet verkrijgen van SDE++-subsidie.</w:t>
            </w:r>
          </w:p>
        </w:tc>
      </w:tr>
      <w:tr w:rsidR="00E94176" w14:paraId="46FD1F1C"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EE3758" w14:textId="77777777" w:rsidR="00E94176" w:rsidRDefault="00000000">
            <w:pPr>
              <w:spacing w:after="50"/>
            </w:pPr>
            <w:r>
              <w:rPr>
                <w:b/>
                <w:bCs/>
              </w:rPr>
              <w:t xml:space="preserve">3.4 Withdrawal Procedure. </w:t>
            </w:r>
            <w:r>
              <w:t>A Party invoking a Valid Withdrawal Event shall: (a) provide written notice to the other Party within fourteen (14) days of becoming aware of such event, together with reasonable supporting evidence; and (b) if the event is capable of remedy, first use commercially reasonable efforts to remedy it within thirty (30) days before withdrawing.</w:t>
            </w:r>
          </w:p>
          <w:p w14:paraId="54CDF453" w14:textId="77777777" w:rsidR="00E94176" w:rsidRDefault="00000000">
            <w:r>
              <w:rPr>
                <w:b/>
                <w:bCs/>
              </w:rPr>
              <w:t xml:space="preserve">3.5 Withdrawal Consequences. </w:t>
            </w:r>
            <w:r>
              <w:t>Upon valid invocation of a Valid Withdrawal Event in accordance with Section 3.4, the affected Party may terminate these HoT by written notice. Upon such termination, neither Party shall have further obligations hereunder, except that Sections 7 (Confidentiality) and 8 (General Provisions) shall survive.</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2E752" w14:textId="77777777" w:rsidR="00E94176" w:rsidRDefault="00000000">
            <w:pPr>
              <w:spacing w:after="50"/>
            </w:pPr>
            <w:r>
              <w:rPr>
                <w:b/>
                <w:bCs/>
              </w:rPr>
              <w:t xml:space="preserve">3.4 Terugtrekkingsprocedure. </w:t>
            </w:r>
            <w:r>
              <w:t>Een Partij die een Geldige Terugtrekkingsgrond inroept, dient: (a) de andere Partij binnen veertien (14) dagen na kennisneming van een dergelijke gebeurtenis schriftelijk in kennis te stellen, samen met redelijke ondersteunende documentatie; en (b) indien de gebeurtenis voor herstel vatbaar is, eerst gedurende dertig (30) dagen commercieel redelijke inspanningen te verrichten om deze te verhelpen alvorens zich terug te trekken.</w:t>
            </w:r>
          </w:p>
          <w:p w14:paraId="62112674" w14:textId="77777777" w:rsidR="00E94176" w:rsidRDefault="00000000">
            <w:r>
              <w:rPr>
                <w:b/>
                <w:bCs/>
              </w:rPr>
              <w:t xml:space="preserve">3.5 Gevolgen van Terugtrekking. </w:t>
            </w:r>
            <w:r>
              <w:t>Bij geldige inroeping van een Geldige Terugtrekkingsgrond overeenkomstig Artikel 3.4, kan de betrokken Partij deze HoT beëindigen door middel van schriftelijke kennisgeving. Na een dergelijke beëindiging hebben de Partijen geen verdere verplichtingen uit hoofde hiervan, met dien verstande dat Artikel 7 (Vertrouwelijkheid) en Artikel 8 (Algemene Bepalingen) van kracht blijven.</w:t>
            </w:r>
          </w:p>
        </w:tc>
      </w:tr>
      <w:tr w:rsidR="00E94176" w14:paraId="08DBDEC3"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F4F62" w14:textId="77777777" w:rsidR="00E94176" w:rsidRDefault="00000000">
            <w:r>
              <w:rPr>
                <w:b/>
                <w:bCs/>
              </w:rPr>
              <w:lastRenderedPageBreak/>
              <w:t xml:space="preserve">3.6 Exclusivity Period. </w:t>
            </w:r>
            <w:r>
              <w:t>These HoT take effect on the date of signature by both Parties ("</w:t>
            </w:r>
            <w:r>
              <w:rPr>
                <w:b/>
                <w:bCs/>
              </w:rPr>
              <w:t>Effective Date</w:t>
            </w:r>
            <w:r>
              <w:t>") and remain in force until the earlier of: (a) one (1) calendar year from the Effective Date; or (b) execution of the Agreements (the "</w:t>
            </w:r>
            <w:r>
              <w:rPr>
                <w:b/>
                <w:bCs/>
              </w:rPr>
              <w:t>Exclusivity Period</w:t>
            </w:r>
            <w: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B5571E" w14:textId="77777777" w:rsidR="00E94176" w:rsidRDefault="00000000">
            <w:r>
              <w:rPr>
                <w:b/>
                <w:bCs/>
              </w:rPr>
              <w:t xml:space="preserve">3.6 Exclusiviteitsperiode. </w:t>
            </w:r>
            <w:r>
              <w:t>Deze HoT worden van kracht op de datum van ondertekening door beide Partijen ("</w:t>
            </w:r>
            <w:r>
              <w:rPr>
                <w:b/>
                <w:bCs/>
              </w:rPr>
              <w:t>Ingangsdatum</w:t>
            </w:r>
            <w:r>
              <w:t>") en blijven van kracht tot de vroegste van: (a) één (1) kalenderjaar na de Ingangsdatum; of (b) ondertekening van de Overeenkomsten (de "</w:t>
            </w:r>
            <w:r>
              <w:rPr>
                <w:b/>
                <w:bCs/>
              </w:rPr>
              <w:t>Exclusiviteitsperiode</w:t>
            </w:r>
            <w:r>
              <w:t>").</w:t>
            </w:r>
          </w:p>
        </w:tc>
      </w:tr>
      <w:tr w:rsidR="00E94176" w14:paraId="7DDEA310"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FD8F8A" w14:textId="77777777" w:rsidR="00E94176" w:rsidRDefault="00000000">
            <w:pPr>
              <w:spacing w:after="50"/>
            </w:pPr>
            <w:r>
              <w:rPr>
                <w:b/>
                <w:bCs/>
              </w:rPr>
              <w:t xml:space="preserve">3.7 Grower Exclusivity. </w:t>
            </w:r>
            <w:r>
              <w:t>During the Exclusivity Period, the Grower shall not: (a) enter into any agreement or arrangement that conflicts with, or materially prejudices, the Project; (b) reduce the electrical grid capacity available for this Project; or (c) take any action preventing or delaying realization of a secondary allocation point (</w:t>
            </w:r>
            <w:r>
              <w:rPr>
                <w:i/>
                <w:iCs/>
              </w:rPr>
              <w:t>secundair allocatiepunt</w:t>
            </w:r>
            <w:r>
              <w:t>, "</w:t>
            </w:r>
            <w:r>
              <w:rPr>
                <w:b/>
                <w:bCs/>
              </w:rPr>
              <w:t>SAP</w:t>
            </w:r>
            <w:r>
              <w:t>") for Digital Energy's benefit.</w:t>
            </w:r>
          </w:p>
          <w:p w14:paraId="1B78A3E3" w14:textId="77777777" w:rsidR="00E94176" w:rsidRDefault="00000000">
            <w:r>
              <w:rPr>
                <w:b/>
                <w:bCs/>
              </w:rPr>
              <w:t xml:space="preserve">3.8 Breach of Exclusivity. </w:t>
            </w:r>
            <w:r>
              <w:t>Any breach by the Grower of Section 3.7 shall entitle Digital Energy to: (a) seek specific performance; (b) terminate these HoT with immediate effect and recover its documented costs and expenses incurred in connection with the Project; and/or (c) claim damages for losses suffered.</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3ED97" w14:textId="77777777" w:rsidR="00E94176" w:rsidRDefault="00000000">
            <w:pPr>
              <w:spacing w:after="50"/>
            </w:pPr>
            <w:r>
              <w:rPr>
                <w:b/>
                <w:bCs/>
              </w:rPr>
              <w:t xml:space="preserve">3.7 Exclusiviteit van de Teler. </w:t>
            </w:r>
            <w:r>
              <w:t>Gedurende de Exclusiviteitsperiode zal de Teler niet: (a) enige overeenkomst of regeling aangaan die in strijd is met, of wezenlijk afbreuk doet aan, het Project; (b) de beschikbare elektriciteitsnetcapaciteit voor dit Project verminderen; of (c) enige handeling verrichten die de realisatie van een secundair allocatiepunt ("</w:t>
            </w:r>
            <w:r>
              <w:rPr>
                <w:b/>
                <w:bCs/>
              </w:rPr>
              <w:t>SAP</w:t>
            </w:r>
            <w:r>
              <w:t>") ten behoeve van Digital Energy verhindert of vertraagt.</w:t>
            </w:r>
          </w:p>
          <w:p w14:paraId="292EA78D" w14:textId="77777777" w:rsidR="00E94176" w:rsidRDefault="00000000">
            <w:r>
              <w:rPr>
                <w:b/>
                <w:bCs/>
              </w:rPr>
              <w:t xml:space="preserve">3.8 Schending van Exclusiviteit. </w:t>
            </w:r>
            <w:r>
              <w:t>Elke schending door de Teler van Artikel 3.7 geeft Digital Energy het recht om: (a) nakoming te vorderen; (b) deze HoT met onmiddellijke ingang te beëindigen en haar gedocumenteerde kosten en uitgaven in verband met het Project terug te vorderen; en/of (c) schadevergoeding te vorderen voor geleden verliezen.</w:t>
            </w:r>
          </w:p>
        </w:tc>
      </w:tr>
      <w:tr w:rsidR="00E94176" w14:paraId="588671CD"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61228AA8" w14:textId="77777777" w:rsidR="00E94176" w:rsidRDefault="00000000">
            <w:r>
              <w:rPr>
                <w:b/>
                <w:bCs/>
                <w:sz w:val="20"/>
                <w:szCs w:val="20"/>
              </w:rPr>
              <w:t>4. Project Scope</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52E33D0" w14:textId="77777777" w:rsidR="00E94176" w:rsidRDefault="00000000">
            <w:r>
              <w:rPr>
                <w:b/>
                <w:bCs/>
                <w:sz w:val="20"/>
                <w:szCs w:val="20"/>
              </w:rPr>
              <w:t>4. Projectomvang</w:t>
            </w:r>
          </w:p>
        </w:tc>
      </w:tr>
      <w:tr w:rsidR="00E94176" w14:paraId="56115E11"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C8AB00" w14:textId="77777777" w:rsidR="00E94176" w:rsidRDefault="00000000">
            <w:pPr>
              <w:spacing w:after="50"/>
            </w:pPr>
            <w:r>
              <w:rPr>
                <w:b/>
                <w:bCs/>
              </w:rPr>
              <w:t xml:space="preserve">4.1 Objectives and Definitions. </w:t>
            </w:r>
            <w:r>
              <w:t>The project ("</w:t>
            </w:r>
            <w:r>
              <w:rPr>
                <w:b/>
                <w:bCs/>
              </w:rPr>
              <w:t>Project</w:t>
            </w:r>
            <w:r>
              <w:t>") comprises the co-location of a DEC on the Grower's property to: (a) supply heat to the greenhouse facility as more particularly described in Annex A ("</w:t>
            </w:r>
            <w:r>
              <w:rPr>
                <w:b/>
                <w:bCs/>
              </w:rPr>
              <w:t>Greenhouse</w:t>
            </w:r>
            <w:r>
              <w:t>"); and (b) potentially supply heat to third parties ("</w:t>
            </w:r>
            <w:r>
              <w:rPr>
                <w:b/>
                <w:bCs/>
              </w:rPr>
              <w:t>Heat Sales</w:t>
            </w:r>
            <w:r>
              <w:t>") via pipelines connected to the DEC.</w:t>
            </w:r>
          </w:p>
          <w:p w14:paraId="0554FD90" w14:textId="77777777" w:rsidR="00E94176" w:rsidRDefault="00000000">
            <w:pPr>
              <w:spacing w:after="50"/>
            </w:pPr>
            <w:r>
              <w:rPr>
                <w:b/>
                <w:bCs/>
              </w:rPr>
              <w:t xml:space="preserve">4.2 Project Company. </w:t>
            </w:r>
            <w:r>
              <w:t>Digital Energy shall incorporate a Dutch private limited company as the special-purpose vehicle for the Project ("</w:t>
            </w:r>
            <w:r>
              <w:rPr>
                <w:b/>
                <w:bCs/>
              </w:rPr>
              <w:t>ProjectBV</w:t>
            </w:r>
            <w:r>
              <w:t>") within sixty (60) days of the Effective Date. All Agreements shall be entered into by, or assigned to, the ProjectBV.</w:t>
            </w:r>
          </w:p>
          <w:p w14:paraId="289039A2" w14:textId="77777777" w:rsidR="00E94176" w:rsidRDefault="00000000">
            <w:pPr>
              <w:spacing w:after="50"/>
            </w:pPr>
            <w:r>
              <w:rPr>
                <w:b/>
                <w:bCs/>
              </w:rPr>
              <w:t xml:space="preserve">4.3 Costs. </w:t>
            </w:r>
            <w:r>
              <w:t>Each Party bears its own costs under these HoT and the Agreements. Digital Energy finances and manages the ProjectBV.</w:t>
            </w:r>
          </w:p>
          <w:p w14:paraId="3FFFB7CB" w14:textId="77777777" w:rsidR="00E94176" w:rsidRDefault="00000000">
            <w:r>
              <w:rPr>
                <w:b/>
                <w:bCs/>
              </w:rPr>
              <w:t xml:space="preserve">4.4 Digital Energy Responsibilities. </w:t>
            </w:r>
            <w:r>
              <w:t>Digital Energy (through the ProjectBV) is responsible for all DEC aspects: planning, design, procurement, installation, commissioning, operation, maintenance, decommissioning, and removal at Agreement expiry (collectively, "</w:t>
            </w:r>
            <w:r>
              <w:rPr>
                <w:b/>
                <w:bCs/>
              </w:rPr>
              <w:t>Develop and Maintain</w:t>
            </w:r>
            <w: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3ACC93" w14:textId="77777777" w:rsidR="00E94176" w:rsidRDefault="00000000">
            <w:pPr>
              <w:spacing w:after="50"/>
            </w:pPr>
            <w:r>
              <w:rPr>
                <w:b/>
                <w:bCs/>
              </w:rPr>
              <w:t xml:space="preserve">4.1 Doelstellingen en Definities. </w:t>
            </w:r>
            <w:r>
              <w:t>Het project ("</w:t>
            </w:r>
            <w:r>
              <w:rPr>
                <w:b/>
                <w:bCs/>
              </w:rPr>
              <w:t>Project</w:t>
            </w:r>
            <w:r>
              <w:t>") omvat de co-locatie van een DEC op het terrein van de Teler voor: (a) het leveren van warmte aan het glastuinbouwbedrijf zoals nader omschreven in Bijlage A ("</w:t>
            </w:r>
            <w:r>
              <w:rPr>
                <w:b/>
                <w:bCs/>
              </w:rPr>
              <w:t>Kas</w:t>
            </w:r>
            <w:r>
              <w:t>"); en (b) het mogelijk leveren van warmte aan derden ("</w:t>
            </w:r>
            <w:r>
              <w:rPr>
                <w:b/>
                <w:bCs/>
              </w:rPr>
              <w:t>Warmteverkoop</w:t>
            </w:r>
            <w:r>
              <w:t>") via leidingen aangesloten op het DEC.</w:t>
            </w:r>
          </w:p>
          <w:p w14:paraId="7AC6F778" w14:textId="77777777" w:rsidR="00E94176" w:rsidRDefault="00000000">
            <w:pPr>
              <w:spacing w:after="50"/>
            </w:pPr>
            <w:r>
              <w:rPr>
                <w:b/>
                <w:bCs/>
              </w:rPr>
              <w:t xml:space="preserve">4.2 Projectvennootschap. </w:t>
            </w:r>
            <w:r>
              <w:t>Digital Energy zal binnen zestig (60) dagen na de Ingangsdatum een Nederlandse besloten vennootschap oprichten als special purpose vehicle voor het Project ("</w:t>
            </w:r>
            <w:r>
              <w:rPr>
                <w:b/>
                <w:bCs/>
              </w:rPr>
              <w:t>ProjectBV</w:t>
            </w:r>
            <w:r>
              <w:t>"). Alle Overeenkomsten worden aangegaan door, of overgedragen aan, de ProjectBV.</w:t>
            </w:r>
          </w:p>
          <w:p w14:paraId="3E10AF27" w14:textId="77777777" w:rsidR="00E94176" w:rsidRDefault="00000000">
            <w:pPr>
              <w:spacing w:after="50"/>
            </w:pPr>
            <w:r>
              <w:rPr>
                <w:b/>
                <w:bCs/>
              </w:rPr>
              <w:t xml:space="preserve">4.3 Kosten. </w:t>
            </w:r>
            <w:r>
              <w:t>Elke Partij draagt haar eigen kosten uit hoofde van deze HoT en de Overeenkomsten. Digital Energy financiert en beheert de ProjectBV.</w:t>
            </w:r>
          </w:p>
          <w:p w14:paraId="211C4F0D" w14:textId="77777777" w:rsidR="00E94176" w:rsidRDefault="00000000">
            <w:r>
              <w:rPr>
                <w:b/>
                <w:bCs/>
              </w:rPr>
              <w:t xml:space="preserve">4.4 Verantwoordelijkheden van Digital Energy. </w:t>
            </w:r>
            <w:r>
              <w:t>Digital Energy (via de ProjectBV) is verantwoordelijk voor alle DEC-aspecten: planning, ontwerp, inkoop, installatie, ingebruikname, exploitatie, onderhoud, ontmanteling en verwijdering bij het einde van de Overeenkomsten (gezamenlijk "</w:t>
            </w:r>
            <w:r>
              <w:rPr>
                <w:b/>
                <w:bCs/>
              </w:rPr>
              <w:t>Ontwikkelen en Onderhouden</w:t>
            </w:r>
            <w:r>
              <w:t>").</w:t>
            </w:r>
          </w:p>
        </w:tc>
      </w:tr>
      <w:tr w:rsidR="00E94176" w14:paraId="519D2EC6"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2A2CA" w14:textId="77777777" w:rsidR="00E94176" w:rsidRDefault="00000000">
            <w:r>
              <w:rPr>
                <w:b/>
                <w:bCs/>
              </w:rPr>
              <w:t xml:space="preserve">4.5 DEC Components. </w:t>
            </w:r>
            <w:r>
              <w:t xml:space="preserve">The DEC shall include at minimum: (a) </w:t>
            </w:r>
            <w:r>
              <w:rPr>
                <w:b/>
                <w:bCs/>
              </w:rPr>
              <w:t xml:space="preserve">Electrical: </w:t>
            </w:r>
            <w:r>
              <w:t xml:space="preserve">step-down transformers; low-voltage distribution panels and cables; power distribution units (PDUs); uninterruptible power supplies (UPS). (b) </w:t>
            </w:r>
            <w:r>
              <w:rPr>
                <w:b/>
                <w:bCs/>
              </w:rPr>
              <w:t xml:space="preserve">Energy Storage: </w:t>
            </w:r>
            <w:r>
              <w:t xml:space="preserve">battery energy storage systems (BESS) for backup power and energy cost optimization. (c) </w:t>
            </w:r>
            <w:r>
              <w:rPr>
                <w:b/>
                <w:bCs/>
              </w:rPr>
              <w:t xml:space="preserve">Thermal: </w:t>
            </w:r>
            <w:r>
              <w:t xml:space="preserve">coolant distribution units (CDUs); heat exchangers; dry coolers. (d) </w:t>
            </w:r>
            <w:r>
              <w:rPr>
                <w:b/>
                <w:bCs/>
              </w:rPr>
              <w:t xml:space="preserve">Computing: </w:t>
            </w:r>
            <w:r>
              <w:t xml:space="preserve">servers, GPUs, ASICs; fiber optic connectivity; routers, switches, firewalls. (e) </w:t>
            </w:r>
            <w:r>
              <w:rPr>
                <w:b/>
                <w:bCs/>
              </w:rPr>
              <w:t xml:space="preserve">Mechanical: </w:t>
            </w:r>
            <w:r>
              <w:t>equipment racks; containerized enclosures or buildings; foundations; gas connections; water connections.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C1FCF" w14:textId="77777777" w:rsidR="00E94176" w:rsidRDefault="00000000">
            <w:r>
              <w:rPr>
                <w:b/>
                <w:bCs/>
              </w:rPr>
              <w:t xml:space="preserve">4.5 DEC-componenten. </w:t>
            </w:r>
            <w:r>
              <w:t xml:space="preserve">Het DEC omvat minimaal: (a) </w:t>
            </w:r>
            <w:r>
              <w:rPr>
                <w:b/>
                <w:bCs/>
              </w:rPr>
              <w:t xml:space="preserve">Elektrisch: </w:t>
            </w:r>
            <w:r>
              <w:t xml:space="preserve">step-down transformatoren; laagspanningsverdeelpanelen en -kabels; power distribution units (PDU's); noodstroomvoorzieningen (UPS). (b) </w:t>
            </w:r>
            <w:r>
              <w:rPr>
                <w:b/>
                <w:bCs/>
              </w:rPr>
              <w:t xml:space="preserve">Energieopslag: </w:t>
            </w:r>
            <w:r>
              <w:t xml:space="preserve">batterijopslagsystemen (BESS) voor noodstroomvoorziening en optimalisatie van energiekosten. (c) </w:t>
            </w:r>
            <w:r>
              <w:rPr>
                <w:b/>
                <w:bCs/>
              </w:rPr>
              <w:t xml:space="preserve">Thermisch: </w:t>
            </w:r>
            <w:r>
              <w:t xml:space="preserve">koelmiddeldistributie-eenheden (CDU's); warmtewisselaars; droge koelers. (d) </w:t>
            </w:r>
            <w:r>
              <w:rPr>
                <w:b/>
                <w:bCs/>
              </w:rPr>
              <w:t xml:space="preserve">Computing: </w:t>
            </w:r>
            <w:r>
              <w:t xml:space="preserve">servers, GPU's, ASIC's; glasvezelconnectiviteit; routers, switches, firewalls. (e) </w:t>
            </w:r>
            <w:r>
              <w:rPr>
                <w:b/>
                <w:bCs/>
              </w:rPr>
              <w:t xml:space="preserve">Mechanisch: </w:t>
            </w:r>
            <w:r>
              <w:t>apparatuurrekken; gecontaineriseerde behuizingen of gebouwen; funderingen; gasaansluitingen; wateraansluitingen.</w:t>
            </w:r>
          </w:p>
        </w:tc>
      </w:tr>
      <w:tr w:rsidR="00E94176" w14:paraId="11883E5C"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85552" w14:textId="77777777" w:rsidR="00E94176" w:rsidRDefault="00000000">
            <w:pPr>
              <w:spacing w:after="50"/>
            </w:pPr>
            <w:r>
              <w:rPr>
                <w:b/>
                <w:bCs/>
              </w:rPr>
              <w:t xml:space="preserve">4.6 Base Electrical Connection. </w:t>
            </w:r>
            <w:r>
              <w:t>(a) The connection point where the medium-voltage supply interfaces with the DEC's step-down transformers is the "</w:t>
            </w:r>
            <w:r>
              <w:rPr>
                <w:b/>
                <w:bCs/>
              </w:rPr>
              <w:t>Base DEC Electrical Connection Point</w:t>
            </w:r>
            <w:r>
              <w:t xml:space="preserve">". (b) The </w:t>
            </w:r>
            <w:r>
              <w:rPr>
                <w:b/>
                <w:bCs/>
              </w:rPr>
              <w:t>Grower</w:t>
            </w:r>
            <w:r>
              <w:t xml:space="preserve"> shall Develop and Maintain the medium-voltage infrastructure from its existing connection to the Base DEC Electrical Connection Point, not exceeding the length specified in Annex A, Item D.7. Any costs for infrastructure exceeding this length shall be borne by the ProjectBV. (c) The </w:t>
            </w:r>
            <w:r>
              <w:rPr>
                <w:b/>
                <w:bCs/>
              </w:rPr>
              <w:t>ProjectBV</w:t>
            </w:r>
            <w:r>
              <w:t xml:space="preserve"> shall Develop and Maintain all infrastructure from the Base DEC Electrical Connection Point to the DEC, including transformers and low-voltage systems ("</w:t>
            </w:r>
            <w:r>
              <w:rPr>
                <w:b/>
                <w:bCs/>
              </w:rPr>
              <w:t>Base DEC Electrical Connection</w:t>
            </w:r>
            <w:r>
              <w:t>").</w:t>
            </w:r>
          </w:p>
          <w:p w14:paraId="3E8DFA23" w14:textId="77777777" w:rsidR="00E94176" w:rsidRDefault="00000000">
            <w:r>
              <w:rPr>
                <w:b/>
                <w:bCs/>
              </w:rPr>
              <w:lastRenderedPageBreak/>
              <w:t xml:space="preserve">4.7 Future Electrical Connection. </w:t>
            </w:r>
            <w:r>
              <w:t>(a) The Parties shall negotiate in good faith and agree on the feasibility, financing, design, construction, and maintenance of any upgraded connection ("</w:t>
            </w:r>
            <w:r>
              <w:rPr>
                <w:b/>
                <w:bCs/>
              </w:rPr>
              <w:t>Future DEC Electrical Connection</w:t>
            </w:r>
            <w:r>
              <w:t>") using the Grower's infrastructure or primary allocation point (</w:t>
            </w:r>
            <w:r>
              <w:rPr>
                <w:i/>
                <w:iCs/>
              </w:rPr>
              <w:t>primair allocatiepunt</w:t>
            </w:r>
            <w:r>
              <w:t>, "</w:t>
            </w:r>
            <w:r>
              <w:rPr>
                <w:b/>
                <w:bCs/>
              </w:rPr>
              <w:t>PAP</w:t>
            </w:r>
            <w:r>
              <w:t>"). (b) Ownership, control, maintenance, usage rights, and liabilities for the Future DEC Electrical Connection shall be allocated pro rata based on each Party's documented capital contribution, to the extent permitted by law. Capital contributions shall be determined in the Agreements.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1F843" w14:textId="77777777" w:rsidR="00E94176" w:rsidRDefault="00000000">
            <w:pPr>
              <w:spacing w:after="50"/>
            </w:pPr>
            <w:r>
              <w:rPr>
                <w:b/>
                <w:bCs/>
              </w:rPr>
              <w:lastRenderedPageBreak/>
              <w:t xml:space="preserve">4.6 Basis Elektrische Aansluiting. </w:t>
            </w:r>
            <w:r>
              <w:t>(a) Het aansluitpunt waar de middenspanningstoevoer verbinding maakt met de step-down transformatoren van het DEC is het "</w:t>
            </w:r>
            <w:r>
              <w:rPr>
                <w:b/>
                <w:bCs/>
              </w:rPr>
              <w:t>Basis DEC Elektrisch Aansluitpunt</w:t>
            </w:r>
            <w:r>
              <w:t xml:space="preserve">". (b) De </w:t>
            </w:r>
            <w:r>
              <w:rPr>
                <w:b/>
                <w:bCs/>
              </w:rPr>
              <w:t>Teler</w:t>
            </w:r>
            <w:r>
              <w:t xml:space="preserve"> zal de middenspanningsinfrastructuur Ontwikkelen en Onderhouden vanaf haar bestaande aansluiting tot aan het Basis DEC Elektrisch Aansluitpunt, met een lengte van maximaal de lengte vermeld in Bijlage A, Punt D.7. Eventuele kosten voor infrastructuur die deze lengte overschrijdt, komen voor rekening van de ProjectBV. (c) De </w:t>
            </w:r>
            <w:r>
              <w:rPr>
                <w:b/>
                <w:bCs/>
              </w:rPr>
              <w:t>ProjectBV</w:t>
            </w:r>
            <w:r>
              <w:t xml:space="preserve"> zal alle infrastructuur Ontwikkelen en Onderhouden vanaf het Basis DEC Elektrisch Aansluitpunt tot aan het DEC, inclusief </w:t>
            </w:r>
            <w:r>
              <w:lastRenderedPageBreak/>
              <w:t>transformatoren en laagspanningssystemen ("</w:t>
            </w:r>
            <w:r>
              <w:rPr>
                <w:b/>
                <w:bCs/>
              </w:rPr>
              <w:t>Basis DEC Elektrische Aansluiting</w:t>
            </w:r>
            <w:r>
              <w:t>").</w:t>
            </w:r>
          </w:p>
          <w:p w14:paraId="175E2398" w14:textId="77777777" w:rsidR="00E94176" w:rsidRDefault="00000000">
            <w:r>
              <w:rPr>
                <w:b/>
                <w:bCs/>
              </w:rPr>
              <w:t xml:space="preserve">4.7 Toekomstige Elektrische Aansluiting. </w:t>
            </w:r>
            <w:r>
              <w:t>(a) De Partijen zullen te goeder trouw onderhandelen en overeenstemming bereiken over de haalbaarheid, financiering, ontwerp, bouw en onderhoud van een eventuele verzwaarde aansluiting ("</w:t>
            </w:r>
            <w:r>
              <w:rPr>
                <w:b/>
                <w:bCs/>
              </w:rPr>
              <w:t>Toekomstige DEC Elektrische Aansluiting</w:t>
            </w:r>
            <w:r>
              <w:t>") met gebruikmaking van de infrastructuur van de Teler of het primair allocatiepunt ("</w:t>
            </w:r>
            <w:r>
              <w:rPr>
                <w:b/>
                <w:bCs/>
              </w:rPr>
              <w:t>PAP</w:t>
            </w:r>
            <w:r>
              <w:t>"). (b) Eigendom, controle, onderhoud, gebruiksrechten en aansprakelijkheden voor de Toekomstige DEC Elektrische Aansluiting worden pro rata verdeeld op basis van de gedocumenteerde kapitaalinbreng van elke Partij, voor zover wettelijk toegestaan. Kapitaalinbreng wordt vastgesteld in de Overeenkomsten.</w:t>
            </w:r>
          </w:p>
        </w:tc>
      </w:tr>
      <w:tr w:rsidR="00E94176" w14:paraId="5905452A"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CD157B" w14:textId="77777777" w:rsidR="00E94176" w:rsidRDefault="00000000">
            <w:pPr>
              <w:spacing w:after="50"/>
            </w:pPr>
            <w:r>
              <w:rPr>
                <w:b/>
                <w:bCs/>
              </w:rPr>
              <w:lastRenderedPageBreak/>
              <w:t xml:space="preserve">4.8 Heat Transfer. </w:t>
            </w:r>
            <w:r>
              <w:t>(a) The ProjectBV shall establish a heat transfer point ("</w:t>
            </w:r>
            <w:r>
              <w:rPr>
                <w:b/>
                <w:bCs/>
              </w:rPr>
              <w:t>DEC Heat Transfer Point</w:t>
            </w:r>
            <w:r>
              <w:t xml:space="preserve">") on the secondary side of the DEC's heat exchangers, at the isolation valves connecting to the Grower's Heat Pipeline. (b) The </w:t>
            </w:r>
            <w:r>
              <w:rPr>
                <w:b/>
                <w:bCs/>
              </w:rPr>
              <w:t>Grower</w:t>
            </w:r>
            <w:r>
              <w:t xml:space="preserve"> shall Develop and Maintain the pipeline from the DEC Heat Transfer Point to the Greenhouse boiler room ("</w:t>
            </w:r>
            <w:r>
              <w:rPr>
                <w:b/>
                <w:bCs/>
              </w:rPr>
              <w:t>Grower's Heat Pipeline</w:t>
            </w:r>
            <w:r>
              <w:t>").</w:t>
            </w:r>
          </w:p>
          <w:p w14:paraId="00BDE328" w14:textId="77777777" w:rsidR="00E94176" w:rsidRDefault="00000000">
            <w:pPr>
              <w:spacing w:after="50"/>
            </w:pPr>
            <w:r>
              <w:rPr>
                <w:b/>
                <w:bCs/>
              </w:rPr>
              <w:t xml:space="preserve">4.9 Third-Party Distribution. </w:t>
            </w:r>
            <w:r>
              <w:t>The Parties shall negotiate in good faith and agree on the feasibility, financing, design, construction, and maintenance of pipelines (other than the Grower's Heat Pipeline) for Heat Sales to third parties ("</w:t>
            </w:r>
            <w:r>
              <w:rPr>
                <w:b/>
                <w:bCs/>
              </w:rPr>
              <w:t>DEC Heat Distribution Pipeline</w:t>
            </w:r>
            <w:r>
              <w:t>").</w:t>
            </w:r>
          </w:p>
          <w:p w14:paraId="0FC03659" w14:textId="77777777" w:rsidR="00E94176" w:rsidRDefault="00000000">
            <w:r>
              <w:rPr>
                <w:b/>
                <w:bCs/>
              </w:rPr>
              <w:t xml:space="preserve">4.10 Optional Provisions. </w:t>
            </w:r>
            <w:r>
              <w:t xml:space="preserve">If indicated as "Include" in Annex A, Items F.1–F.2: (a) </w:t>
            </w:r>
            <w:r>
              <w:rPr>
                <w:b/>
                <w:bCs/>
              </w:rPr>
              <w:t xml:space="preserve">CHP Lease: </w:t>
            </w:r>
            <w:r>
              <w:t>Digital Energy shall lease the Grower's combined heat and power unit (</w:t>
            </w:r>
            <w:r>
              <w:rPr>
                <w:i/>
                <w:iCs/>
              </w:rPr>
              <w:t>warmtekrachtkoppeling</w:t>
            </w:r>
            <w:r>
              <w:t>, "</w:t>
            </w:r>
            <w:r>
              <w:rPr>
                <w:b/>
                <w:bCs/>
              </w:rPr>
              <w:t>CHP</w:t>
            </w:r>
            <w:r>
              <w:t xml:space="preserve">") for the fee specified in Item F.1a. (b) </w:t>
            </w:r>
            <w:r>
              <w:rPr>
                <w:b/>
                <w:bCs/>
              </w:rPr>
              <w:t xml:space="preserve">Grower Co-Investment: </w:t>
            </w:r>
            <w:r>
              <w:t>The Grower may elect to co-invest up to the percentage specified in Item F.2a of Project costs in cash, in exchange for a pro-rata share of ProjectBV profits. This election must be exercised before Agreement execution. No voting rights shall attach to such investment.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F1AC61" w14:textId="77777777" w:rsidR="00E94176" w:rsidRDefault="00000000">
            <w:pPr>
              <w:spacing w:after="50"/>
            </w:pPr>
            <w:r>
              <w:rPr>
                <w:b/>
                <w:bCs/>
              </w:rPr>
              <w:t xml:space="preserve">4.8 Warmteoverdracht. </w:t>
            </w:r>
            <w:r>
              <w:t>(a) De ProjectBV zal een warmteoverdrachtspunt ("</w:t>
            </w:r>
            <w:r>
              <w:rPr>
                <w:b/>
                <w:bCs/>
              </w:rPr>
              <w:t>DEC Warmteoverdrachtspunt</w:t>
            </w:r>
            <w:r>
              <w:t xml:space="preserve">") realiseren aan de secundaire zijde van de warmtewisselaars van het DEC, bij de afsluiters die verbonden zijn met de Warmteleiding van de Teler. (b) De </w:t>
            </w:r>
            <w:r>
              <w:rPr>
                <w:b/>
                <w:bCs/>
              </w:rPr>
              <w:t>Teler</w:t>
            </w:r>
            <w:r>
              <w:t xml:space="preserve"> zal de leiding Ontwikkelen en Onderhouden vanaf het DEC Warmteoverdrachtspunt naar de ketelruimte van de Kas ("</w:t>
            </w:r>
            <w:r>
              <w:rPr>
                <w:b/>
                <w:bCs/>
              </w:rPr>
              <w:t>Warmteleiding van de Teler</w:t>
            </w:r>
            <w:r>
              <w:t>").</w:t>
            </w:r>
          </w:p>
          <w:p w14:paraId="616EE57B" w14:textId="77777777" w:rsidR="00E94176" w:rsidRDefault="00000000">
            <w:pPr>
              <w:spacing w:after="50"/>
            </w:pPr>
            <w:r>
              <w:rPr>
                <w:b/>
                <w:bCs/>
              </w:rPr>
              <w:t xml:space="preserve">4.9 Distributie aan Derden. </w:t>
            </w:r>
            <w:r>
              <w:t>De Partijen zullen te goeder trouw onderhandelen en overeenstemming bereiken over de haalbaarheid, financiering, ontwerp, bouw en onderhoud van leidingen (anders dan de Warmteleiding van de Teler) voor Warmteverkoop aan derden ("</w:t>
            </w:r>
            <w:r>
              <w:rPr>
                <w:b/>
                <w:bCs/>
              </w:rPr>
              <w:t>DEC Warmtedistributieleiding</w:t>
            </w:r>
            <w:r>
              <w:t>").</w:t>
            </w:r>
          </w:p>
          <w:p w14:paraId="766698EA" w14:textId="77777777" w:rsidR="00E94176" w:rsidRDefault="00000000">
            <w:r>
              <w:rPr>
                <w:b/>
                <w:bCs/>
              </w:rPr>
              <w:t xml:space="preserve">4.10 Optionele Bepalingen. </w:t>
            </w:r>
            <w:r>
              <w:t xml:space="preserve">Indien aangegeven als "Opnemen" in Bijlage A, Punten F.1–F.2: (a) </w:t>
            </w:r>
            <w:r>
              <w:rPr>
                <w:b/>
                <w:bCs/>
              </w:rPr>
              <w:t xml:space="preserve">WKK-Lease: </w:t>
            </w:r>
            <w:r>
              <w:t>Digital Energy zal de warmtekrachtkoppeling ("</w:t>
            </w:r>
            <w:r>
              <w:rPr>
                <w:b/>
                <w:bCs/>
              </w:rPr>
              <w:t>WKK</w:t>
            </w:r>
            <w:r>
              <w:t xml:space="preserve">") van de Teler leasen voor de vergoeding vermeld in Punt F.1a. (b) </w:t>
            </w:r>
            <w:r>
              <w:rPr>
                <w:b/>
                <w:bCs/>
              </w:rPr>
              <w:t xml:space="preserve">Co-Investering Teler: </w:t>
            </w:r>
            <w:r>
              <w:t>De Teler kan ervoor kiezen tot het percentage vermeld in Punt F.2a van de Projectkosten in contanten te co-investeren, in ruil voor een pro rata aandeel in de winsten van de ProjectBV. Deze keuze moet worden gemaakt vóór ondertekening van de Overeenkomsten. Aan een dergelijke investering zijn geen stemrechten verbonden.</w:t>
            </w:r>
          </w:p>
        </w:tc>
      </w:tr>
      <w:tr w:rsidR="00E94176" w14:paraId="50295898"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3A3B3559" w14:textId="77777777" w:rsidR="00E94176" w:rsidRDefault="00000000">
            <w:r>
              <w:rPr>
                <w:b/>
                <w:bCs/>
                <w:sz w:val="20"/>
                <w:szCs w:val="20"/>
              </w:rPr>
              <w:t>5. Agreements</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C7A700D" w14:textId="77777777" w:rsidR="00E94176" w:rsidRDefault="00000000">
            <w:r>
              <w:rPr>
                <w:b/>
                <w:bCs/>
                <w:sz w:val="20"/>
                <w:szCs w:val="20"/>
              </w:rPr>
              <w:t>5. Overeenkomsten</w:t>
            </w:r>
          </w:p>
        </w:tc>
      </w:tr>
      <w:tr w:rsidR="00E94176" w14:paraId="0560933B"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8B00F" w14:textId="77777777" w:rsidR="00E94176" w:rsidRDefault="00000000">
            <w:pPr>
              <w:spacing w:after="50"/>
            </w:pPr>
            <w:r>
              <w:rPr>
                <w:b/>
                <w:bCs/>
              </w:rPr>
              <w:t xml:space="preserve">5.1 Parties and Term. </w:t>
            </w:r>
            <w:r>
              <w:t>(a) The Agreements shall be between ProjectBV and the Grower. (b) Initial term: thirty (30) years from execution. (c) Automatic renewal for successive periods of five (5) years each, unless either Party gives written termination notice at least five (5) years before expiry of the then-current term.</w:t>
            </w:r>
          </w:p>
          <w:p w14:paraId="62C71E6B" w14:textId="77777777" w:rsidR="00E94176" w:rsidRDefault="00000000">
            <w:r>
              <w:rPr>
                <w:b/>
                <w:bCs/>
              </w:rPr>
              <w:t xml:space="preserve">5.2 Negotiation Principles. </w:t>
            </w:r>
            <w:r>
              <w:t>The Parties shall negotiate the Agreements in good faith and on commercially reasonable terms, ensuring long-term stability, continuity, and investment security for ProjectBV. The Parties may agree to term extensions, a right of first refusal ("</w:t>
            </w:r>
            <w:r>
              <w:rPr>
                <w:b/>
                <w:bCs/>
              </w:rPr>
              <w:t>ROFR</w:t>
            </w:r>
            <w:r>
              <w:t>"), or acquisition conditions.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6C917" w14:textId="77777777" w:rsidR="00E94176" w:rsidRDefault="00000000">
            <w:pPr>
              <w:spacing w:after="50"/>
            </w:pPr>
            <w:r>
              <w:rPr>
                <w:b/>
                <w:bCs/>
              </w:rPr>
              <w:t xml:space="preserve">5.1 Partijen en Looptijd. </w:t>
            </w:r>
            <w:r>
              <w:t>(a) De Overeenkomsten worden gesloten tussen de ProjectBV en de Teler. (b) Initiële looptijd: dertig (30) jaar vanaf ondertekening. (c) Automatische verlenging met opeenvolgende perioden van vijf (5) jaar, tenzij een van de Partijen ten minste vijf (5) jaar voor het verstrijken van de dan lopende termijn schriftelijk opzegt.</w:t>
            </w:r>
          </w:p>
          <w:p w14:paraId="2FBD1F25" w14:textId="77777777" w:rsidR="00E94176" w:rsidRDefault="00000000">
            <w:r>
              <w:rPr>
                <w:b/>
                <w:bCs/>
              </w:rPr>
              <w:t xml:space="preserve">5.2 Onderhandelingsprincipes. </w:t>
            </w:r>
            <w:r>
              <w:t>De Partijen zullen te goeder trouw en op commercieel redelijke voorwaarden over de Overeenkomsten onderhandelen, waarbij lange-termijn stabiliteit, continuïteit en investeringszekerheid voor de ProjectBV wordt gewaarborgd. De Partijen kunnen overeenstemming bereiken over termijnverlengingen, een voorkeursrecht ("</w:t>
            </w:r>
            <w:r>
              <w:rPr>
                <w:b/>
                <w:bCs/>
              </w:rPr>
              <w:t>ROFR</w:t>
            </w:r>
            <w:r>
              <w:t>"), of overnamevoorwaarden.</w:t>
            </w:r>
          </w:p>
        </w:tc>
      </w:tr>
      <w:tr w:rsidR="00E94176" w14:paraId="691CBC07"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CE82B" w14:textId="77777777" w:rsidR="00E94176" w:rsidRDefault="00000000">
            <w:r>
              <w:rPr>
                <w:b/>
                <w:bCs/>
              </w:rPr>
              <w:t xml:space="preserve">5.3 ProjectBV Obligations. </w:t>
            </w:r>
            <w:r>
              <w:t xml:space="preserve">(a) </w:t>
            </w:r>
            <w:r>
              <w:rPr>
                <w:b/>
                <w:bCs/>
              </w:rPr>
              <w:t xml:space="preserve">Electrical Connection: </w:t>
            </w:r>
            <w:r>
              <w:t xml:space="preserve">Provide the Base DEC Electrical Connection. (b) </w:t>
            </w:r>
            <w:r>
              <w:rPr>
                <w:b/>
                <w:bCs/>
              </w:rPr>
              <w:t xml:space="preserve">Heat Supply: </w:t>
            </w:r>
            <w:r>
              <w:t>Supply heat at the DEC Heat Transfer Point: (i) target outlet temperature per Annex A, Item C.1, ±5%; (ii) contingent on the Grower maintaining a return temperature ensuring ΔT of at least 15°C; if the Grower fails to maintain the required return temperature, the ProjectBV's obligation to meet the target outlet temperature shall be suspended to that extent; (iii) delivery basis: delivered-as-produced ("</w:t>
            </w:r>
            <w:r>
              <w:rPr>
                <w:b/>
                <w:bCs/>
              </w:rPr>
              <w:t>DAP</w:t>
            </w:r>
            <w:r>
              <w:t xml:space="preserve">"), using commercially reasonable efforts; and (iv) price per Item C.4. (c) </w:t>
            </w:r>
            <w:r>
              <w:rPr>
                <w:b/>
                <w:bCs/>
              </w:rPr>
              <w:t xml:space="preserve">Third-Party Heat: </w:t>
            </w:r>
            <w:r>
              <w:t>Subject to DEC Heat Distribution Pipeline availability, the ProjectBV may deliver heat to third parties.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639A21" w14:textId="77777777" w:rsidR="00E94176" w:rsidRDefault="00000000">
            <w:r>
              <w:rPr>
                <w:b/>
                <w:bCs/>
              </w:rPr>
              <w:t xml:space="preserve">5.3 Verplichtingen van de ProjectBV. </w:t>
            </w:r>
            <w:r>
              <w:t xml:space="preserve">(a) </w:t>
            </w:r>
            <w:r>
              <w:rPr>
                <w:b/>
                <w:bCs/>
              </w:rPr>
              <w:t xml:space="preserve">Elektrische Aansluiting: </w:t>
            </w:r>
            <w:r>
              <w:t xml:space="preserve">De Basis DEC Elektrische Aansluiting verzorgen. (b) </w:t>
            </w:r>
            <w:r>
              <w:rPr>
                <w:b/>
                <w:bCs/>
              </w:rPr>
              <w:t xml:space="preserve">Warmtelevering: </w:t>
            </w:r>
            <w:r>
              <w:t>Warmte leveren bij het DEC Warmteoverdrachtspunt: (i) beoogde afgiftetemperatuur conform Bijlage A, Punt C.1, ±5%; (ii) afhankelijk van het handhaven door de Teler van een retourtemperatuur die een ΔT van ten minste 15°C waarborgt; indien de Teler de vereiste retourtemperatuur niet handhaaft, wordt de verplichting van de ProjectBV om de beoogde afgiftetemperatuur te halen in zoverre opgeschort; (iii) leveringsbasis: geleverd-als-geproduceerd ("</w:t>
            </w:r>
            <w:r>
              <w:rPr>
                <w:b/>
                <w:bCs/>
              </w:rPr>
              <w:t>DAP</w:t>
            </w:r>
            <w:r>
              <w:t xml:space="preserve">"), met commercieel redelijke inspanningen; en (iv) prijs conform Punt C.4. (c) </w:t>
            </w:r>
            <w:r>
              <w:rPr>
                <w:b/>
                <w:bCs/>
              </w:rPr>
              <w:t xml:space="preserve">Warmte aan Derden: </w:t>
            </w:r>
            <w:r>
              <w:t xml:space="preserve">Onder voorbehoud van beschikbaarheid van de DEC </w:t>
            </w:r>
            <w:r>
              <w:lastRenderedPageBreak/>
              <w:t>Warmtedistributieleiding, mag de ProjectBV warmte leveren aan derden.</w:t>
            </w:r>
          </w:p>
        </w:tc>
      </w:tr>
      <w:tr w:rsidR="00E94176" w14:paraId="6E9F0BDF"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642CB" w14:textId="77777777" w:rsidR="00E94176" w:rsidRDefault="00000000">
            <w:r>
              <w:rPr>
                <w:b/>
                <w:bCs/>
              </w:rPr>
              <w:lastRenderedPageBreak/>
              <w:t xml:space="preserve">5.4 Grower Obligations. </w:t>
            </w:r>
            <w:r>
              <w:t xml:space="preserve">(a) </w:t>
            </w:r>
            <w:r>
              <w:rPr>
                <w:b/>
                <w:bCs/>
              </w:rPr>
              <w:t xml:space="preserve">Infrastructure: </w:t>
            </w:r>
            <w:r>
              <w:t xml:space="preserve">Provide a fully functional Grower's Heat Pipeline and Base DEC Electrical Connection Point. (b) </w:t>
            </w:r>
            <w:r>
              <w:rPr>
                <w:b/>
                <w:bCs/>
              </w:rPr>
              <w:t xml:space="preserve">Base Project Connection: </w:t>
            </w:r>
            <w:r>
              <w:t>Make available an existing grid connection dedicated to the Project ("</w:t>
            </w:r>
            <w:r>
              <w:rPr>
                <w:b/>
                <w:bCs/>
              </w:rPr>
              <w:t>Base Project Connection</w:t>
            </w:r>
            <w:r>
              <w:t>"), comprising the capacities specified in Annex A, Items B.7–B.9 ("</w:t>
            </w:r>
            <w:r>
              <w:rPr>
                <w:b/>
                <w:bCs/>
              </w:rPr>
              <w:t>Base Connection Capacity</w:t>
            </w:r>
            <w:r>
              <w:t>", "</w:t>
            </w:r>
            <w:r>
              <w:rPr>
                <w:b/>
                <w:bCs/>
              </w:rPr>
              <w:t>Base Import Capacity</w:t>
            </w:r>
            <w:r>
              <w:t>", and "</w:t>
            </w:r>
            <w:r>
              <w:rPr>
                <w:b/>
                <w:bCs/>
              </w:rPr>
              <w:t>Base Export Capacity</w:t>
            </w:r>
            <w:r>
              <w:t xml:space="preserve">"). (c) </w:t>
            </w:r>
            <w:r>
              <w:rPr>
                <w:b/>
                <w:bCs/>
              </w:rPr>
              <w:t xml:space="preserve">Future Project Connection: </w:t>
            </w:r>
            <w:r>
              <w:t>Subject to DSO approval, apply for and make available a future grid connection ("</w:t>
            </w:r>
            <w:r>
              <w:rPr>
                <w:b/>
                <w:bCs/>
              </w:rPr>
              <w:t>Future Project Connection</w:t>
            </w:r>
            <w:r>
              <w:t>"), expected to comprise the capacities in Items B.10–B.12 ("</w:t>
            </w:r>
            <w:r>
              <w:rPr>
                <w:b/>
                <w:bCs/>
              </w:rPr>
              <w:t>Future Connection Capacity</w:t>
            </w:r>
            <w:r>
              <w:t>", "</w:t>
            </w:r>
            <w:r>
              <w:rPr>
                <w:b/>
                <w:bCs/>
              </w:rPr>
              <w:t>Future Import Capacity</w:t>
            </w:r>
            <w:r>
              <w:t>", and "</w:t>
            </w:r>
            <w:r>
              <w:rPr>
                <w:b/>
                <w:bCs/>
              </w:rPr>
              <w:t>Future Export Capacity</w:t>
            </w:r>
            <w:r>
              <w:t xml:space="preserve">"). (d) </w:t>
            </w:r>
            <w:r>
              <w:rPr>
                <w:b/>
                <w:bCs/>
              </w:rPr>
              <w:t xml:space="preserve">DSO Costs: </w:t>
            </w:r>
            <w:r>
              <w:t>ProjectBV bears DSO costs for the Future Project Connection, provided: (i) the Grower submits the application only after Agreement execution, or with prior written consent; and (ii) costs incurred before ProjectBV incorporation are reimbursed within the period in Item E.2, plus interest at EURIBOR + 2% from the due date if payment is late.</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1D2EF4" w14:textId="77777777" w:rsidR="00E94176" w:rsidRDefault="00000000">
            <w:r>
              <w:rPr>
                <w:b/>
                <w:bCs/>
              </w:rPr>
              <w:t xml:space="preserve">5.4 Verplichtingen van de Teler. </w:t>
            </w:r>
            <w:r>
              <w:t xml:space="preserve">(a) </w:t>
            </w:r>
            <w:r>
              <w:rPr>
                <w:b/>
                <w:bCs/>
              </w:rPr>
              <w:t xml:space="preserve">Infrastructuur: </w:t>
            </w:r>
            <w:r>
              <w:t xml:space="preserve">Een volledig functionele Warmteleiding van de Teler en Basis DEC Elektrisch Aansluitpunt beschikbaar stellen. (b) </w:t>
            </w:r>
            <w:r>
              <w:rPr>
                <w:b/>
                <w:bCs/>
              </w:rPr>
              <w:t xml:space="preserve">Basis Projectaansluiting: </w:t>
            </w:r>
            <w:r>
              <w:t>Een bestaande netaansluiting beschikbaar stellen voor het Project ("</w:t>
            </w:r>
            <w:r>
              <w:rPr>
                <w:b/>
                <w:bCs/>
              </w:rPr>
              <w:t>Basis Projectaansluiting</w:t>
            </w:r>
            <w:r>
              <w:t>"), bestaande uit de capaciteiten vermeld in Bijlage A, Punten B.7–B.9 ("</w:t>
            </w:r>
            <w:r>
              <w:rPr>
                <w:b/>
                <w:bCs/>
              </w:rPr>
              <w:t>Basis Aansluitcapaciteit</w:t>
            </w:r>
            <w:r>
              <w:t>", "</w:t>
            </w:r>
            <w:r>
              <w:rPr>
                <w:b/>
                <w:bCs/>
              </w:rPr>
              <w:t>Basis Importcapaciteit</w:t>
            </w:r>
            <w:r>
              <w:t>", en "</w:t>
            </w:r>
            <w:r>
              <w:rPr>
                <w:b/>
                <w:bCs/>
              </w:rPr>
              <w:t>Basis Exportcapaciteit</w:t>
            </w:r>
            <w:r>
              <w:t xml:space="preserve">"). (c) </w:t>
            </w:r>
            <w:r>
              <w:rPr>
                <w:b/>
                <w:bCs/>
              </w:rPr>
              <w:t xml:space="preserve">Toekomstige Projectaansluiting: </w:t>
            </w:r>
            <w:r>
              <w:t>Onder voorbehoud van DSO-goedkeuring, aanvragen en beschikbaar stellen van een toekomstige netaansluiting ("</w:t>
            </w:r>
            <w:r>
              <w:rPr>
                <w:b/>
                <w:bCs/>
              </w:rPr>
              <w:t>Toekomstige Projectaansluiting</w:t>
            </w:r>
            <w:r>
              <w:t>"), naar verwachting bestaande uit de capaciteiten in Punten B.10–B.12 ("</w:t>
            </w:r>
            <w:r>
              <w:rPr>
                <w:b/>
                <w:bCs/>
              </w:rPr>
              <w:t>Toekomstige Aansluitcapaciteit</w:t>
            </w:r>
            <w:r>
              <w:t>", "</w:t>
            </w:r>
            <w:r>
              <w:rPr>
                <w:b/>
                <w:bCs/>
              </w:rPr>
              <w:t>Toekomstige Importcapaciteit</w:t>
            </w:r>
            <w:r>
              <w:t>", en "</w:t>
            </w:r>
            <w:r>
              <w:rPr>
                <w:b/>
                <w:bCs/>
              </w:rPr>
              <w:t>Toekomstige Exportcapaciteit</w:t>
            </w:r>
            <w:r>
              <w:t xml:space="preserve">"). (d) </w:t>
            </w:r>
            <w:r>
              <w:rPr>
                <w:b/>
                <w:bCs/>
              </w:rPr>
              <w:t xml:space="preserve">DSO-kosten: </w:t>
            </w:r>
            <w:r>
              <w:t>De ProjectBV draagt de DSO-kosten voor de Toekomstige Projectaansluiting, mits: (i) de Teler de aanvraag pas indient na ondertekening van de Overeenkomsten, of met voorafgaande schriftelijke toestemming; en (ii) kosten gemaakt vóór oprichting van de ProjectBV worden vergoed binnen de termijn in Punt E.2, vermeerderd met rente van EURIBOR + 2% vanaf de vervaldatum bij te late betaling.</w:t>
            </w:r>
          </w:p>
        </w:tc>
      </w:tr>
      <w:tr w:rsidR="00E94176" w14:paraId="4F12AE1D"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763EB" w14:textId="77777777" w:rsidR="00E94176" w:rsidRDefault="00000000">
            <w:r>
              <w:rPr>
                <w:b/>
                <w:bCs/>
              </w:rPr>
              <w:t xml:space="preserve">5.4(e) SAP Configuration. </w:t>
            </w:r>
            <w:r>
              <w:t>The Grower shall facilitate SAP realization and submit necessary DSO applications for grid or ATO (</w:t>
            </w:r>
            <w:r>
              <w:rPr>
                <w:i/>
                <w:iCs/>
              </w:rPr>
              <w:t>Aansluit- en Transportovereenkomst</w:t>
            </w:r>
            <w:r>
              <w:t xml:space="preserve">) reconfiguration. Priority: (i) </w:t>
            </w:r>
            <w:r>
              <w:rPr>
                <w:b/>
                <w:bCs/>
              </w:rPr>
              <w:t xml:space="preserve">Cable Pooling: </w:t>
            </w:r>
            <w:r>
              <w:t xml:space="preserve">SAP registered in ProjectBV's name, governed by a Cable Pooling agreement, enabling ProjectBV to contract its own electricity supplier; (ii) </w:t>
            </w:r>
            <w:r>
              <w:rPr>
                <w:b/>
                <w:bCs/>
              </w:rPr>
              <w:t xml:space="preserve">MLOEA: </w:t>
            </w:r>
            <w:r>
              <w:t>If cable pooling is not approved, SAP in the Grower's name under MLOEA (</w:t>
            </w:r>
            <w:r>
              <w:rPr>
                <w:i/>
                <w:iCs/>
              </w:rPr>
              <w:t>meerdere leveranciers op één aansluiting</w:t>
            </w:r>
            <w:r>
              <w:t xml:space="preserve">), with contractual provisions ensuring ProjectBV access; or (iii) </w:t>
            </w:r>
            <w:r>
              <w:rPr>
                <w:b/>
                <w:bCs/>
              </w:rPr>
              <w:t xml:space="preserve">Alternative: </w:t>
            </w:r>
            <w:r>
              <w:t>If neither is feasible, the Grower shall facilitate ProjectBV's use through a capacity allocation agreement on terms to be negotiated in good faith.</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11C97" w14:textId="77777777" w:rsidR="00E94176" w:rsidRDefault="00000000">
            <w:r>
              <w:rPr>
                <w:b/>
                <w:bCs/>
              </w:rPr>
              <w:t xml:space="preserve">5.4(e) SAP-configuratie. </w:t>
            </w:r>
            <w:r>
              <w:t xml:space="preserve">De Teler zal de SAP-realisatie faciliteren en de benodigde DSO-aanvragen indienen voor herconfiguratie van het net of de ATO (Aansluit- en Transportovereenkomst). Volgorde: (i) </w:t>
            </w:r>
            <w:r>
              <w:rPr>
                <w:b/>
                <w:bCs/>
              </w:rPr>
              <w:t xml:space="preserve">Cable Pooling: </w:t>
            </w:r>
            <w:r>
              <w:t xml:space="preserve">SAP geregistreerd op naam van de ProjectBV, beheerst door een Cable Pooling-overeenkomst, waardoor de ProjectBV haar eigen elektriciteitsleverancier kan contracteren; (ii) </w:t>
            </w:r>
            <w:r>
              <w:rPr>
                <w:b/>
                <w:bCs/>
              </w:rPr>
              <w:t xml:space="preserve">MLOEA: </w:t>
            </w:r>
            <w:r>
              <w:t xml:space="preserve">Indien cable pooling niet wordt goedgekeurd, SAP op naam van de Teler onder MLOEA (meerdere leveranciers op één aansluiting), met contractuele bepalingen die toegang voor de ProjectBV waarborgen; of (iii) </w:t>
            </w:r>
            <w:r>
              <w:rPr>
                <w:b/>
                <w:bCs/>
              </w:rPr>
              <w:t xml:space="preserve">Alternatief: </w:t>
            </w:r>
            <w:r>
              <w:t>Indien geen van beide haalbaar is, zal de Teler het gebruik door de ProjectBV faciliteren via een capaciteitsallocatieovereenkomst op voorwaarden die te goeder trouw worden onderhandeld.</w:t>
            </w:r>
          </w:p>
        </w:tc>
      </w:tr>
      <w:tr w:rsidR="00E94176" w14:paraId="76FE9126"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E5F89" w14:textId="77777777" w:rsidR="00E94176" w:rsidRDefault="00000000">
            <w:r>
              <w:rPr>
                <w:b/>
                <w:bCs/>
              </w:rPr>
              <w:t xml:space="preserve">5.5 Land Rights. </w:t>
            </w:r>
            <w:r>
              <w:t xml:space="preserve">(a) </w:t>
            </w:r>
            <w:r>
              <w:rPr>
                <w:b/>
                <w:bCs/>
              </w:rPr>
              <w:t xml:space="preserve">Grant: </w:t>
            </w:r>
            <w:r>
              <w:t xml:space="preserve">The Grower shall provide land for the DEC for no additional fee or payment. (b) </w:t>
            </w:r>
            <w:r>
              <w:rPr>
                <w:b/>
                <w:bCs/>
              </w:rPr>
              <w:t xml:space="preserve">Legal Form: </w:t>
            </w:r>
            <w:r>
              <w:t>The Grower shall grant (or procure the grant of) a right of superficies (</w:t>
            </w:r>
            <w:r>
              <w:rPr>
                <w:i/>
                <w:iCs/>
              </w:rPr>
              <w:t>opstalrecht</w:t>
            </w:r>
            <w:r>
              <w:t>) and/or enter into a Right in Rem Agreement ("</w:t>
            </w:r>
            <w:r>
              <w:rPr>
                <w:b/>
                <w:bCs/>
              </w:rPr>
              <w:t>ZRO</w:t>
            </w:r>
            <w:r>
              <w:t xml:space="preserve">", </w:t>
            </w:r>
            <w:r>
              <w:rPr>
                <w:i/>
                <w:iCs/>
              </w:rPr>
              <w:t>Zakelijk Recht Overeenkomst</w:t>
            </w:r>
            <w:r>
              <w:t xml:space="preserve">) enabling DEC construction, operation, and maintenance. (c) </w:t>
            </w:r>
            <w:r>
              <w:rPr>
                <w:b/>
                <w:bCs/>
              </w:rPr>
              <w:t xml:space="preserve">Area: </w:t>
            </w:r>
            <w:r>
              <w:t xml:space="preserve">Approximately the area per MW specified in Annex A, Item D.5, for the combined Base Connection Capacity and Future Connection Capacity. (d) </w:t>
            </w:r>
            <w:r>
              <w:rPr>
                <w:b/>
                <w:bCs/>
              </w:rPr>
              <w:t xml:space="preserve">Establishment: </w:t>
            </w:r>
            <w:r>
              <w:t>The right of superficies shall be established by notarial deed, with easements (</w:t>
            </w:r>
            <w:r>
              <w:rPr>
                <w:i/>
                <w:iCs/>
              </w:rPr>
              <w:t>erfdienstbaarheden</w:t>
            </w:r>
            <w:r>
              <w:t xml:space="preserve">) if necessary. (e) </w:t>
            </w:r>
            <w:r>
              <w:rPr>
                <w:b/>
                <w:bCs/>
              </w:rPr>
              <w:t xml:space="preserve">Extension: </w:t>
            </w:r>
            <w:r>
              <w:t xml:space="preserve">The Grower shall cooperate in creating additional land rights if Future Connection Capacity becomes available. (f) </w:t>
            </w:r>
            <w:r>
              <w:rPr>
                <w:b/>
                <w:bCs/>
              </w:rPr>
              <w:t xml:space="preserve">Zoning: </w:t>
            </w:r>
            <w:r>
              <w:t>The Parties shall cooperate to ensure compliance with applicable zoning (</w:t>
            </w:r>
            <w:r>
              <w:rPr>
                <w:i/>
                <w:iCs/>
              </w:rPr>
              <w:t>bestemmingsplan</w:t>
            </w:r>
            <w:r>
              <w:t xml:space="preserve">) per Item D.4. (g) </w:t>
            </w:r>
            <w:r>
              <w:rPr>
                <w:b/>
                <w:bCs/>
              </w:rPr>
              <w:t xml:space="preserve">Third-Party Consents: </w:t>
            </w:r>
            <w:r>
              <w:t>If the Grower is not the landowner or does not have unencumbered title, the landowner ("</w:t>
            </w:r>
            <w:r>
              <w:rPr>
                <w:b/>
                <w:bCs/>
              </w:rPr>
              <w:t>Landowner</w:t>
            </w:r>
            <w:r>
              <w:t>") and/or land financier ("</w:t>
            </w:r>
            <w:r>
              <w:rPr>
                <w:b/>
                <w:bCs/>
              </w:rPr>
              <w:t>Land Financier</w:t>
            </w:r>
            <w:r>
              <w:t>") shall co-sign the Agreements.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3CBCF" w14:textId="77777777" w:rsidR="00E94176" w:rsidRDefault="00000000">
            <w:r>
              <w:rPr>
                <w:b/>
                <w:bCs/>
              </w:rPr>
              <w:t xml:space="preserve">5.5 Grondrechten. </w:t>
            </w:r>
            <w:r>
              <w:t xml:space="preserve">(a) </w:t>
            </w:r>
            <w:r>
              <w:rPr>
                <w:b/>
                <w:bCs/>
              </w:rPr>
              <w:t xml:space="preserve">Verlening: </w:t>
            </w:r>
            <w:r>
              <w:t xml:space="preserve">De Teler stelt grond beschikbaar voor het DEC zonder aanvullende vergoeding of betaling. (b) </w:t>
            </w:r>
            <w:r>
              <w:rPr>
                <w:b/>
                <w:bCs/>
              </w:rPr>
              <w:t xml:space="preserve">Juridische Vorm: </w:t>
            </w:r>
            <w:r>
              <w:t>De Teler zal een recht van opstal verlenen (of doen verlenen) en/of een Zakelijk Recht Overeenkomst ("</w:t>
            </w:r>
            <w:r>
              <w:rPr>
                <w:b/>
                <w:bCs/>
              </w:rPr>
              <w:t>ZRO</w:t>
            </w:r>
            <w:r>
              <w:t xml:space="preserve">") aangaan die de bouw, exploitatie en onderhoud van het DEC mogelijk maakt. (c) </w:t>
            </w:r>
            <w:r>
              <w:rPr>
                <w:b/>
                <w:bCs/>
              </w:rPr>
              <w:t xml:space="preserve">Oppervlakte: </w:t>
            </w:r>
            <w:r>
              <w:t xml:space="preserve">Circa de oppervlakte per MW vermeld in Bijlage A, Punt D.5, voor de gecombineerde Basis Aansluitcapaciteit en Toekomstige Aansluitcapaciteit. (d) </w:t>
            </w:r>
            <w:r>
              <w:rPr>
                <w:b/>
                <w:bCs/>
              </w:rPr>
              <w:t xml:space="preserve">Vestiging: </w:t>
            </w:r>
            <w:r>
              <w:t xml:space="preserve">Het recht van opstal wordt bij notariële akte gevestigd, met erfdienstbaarheden indien nodig. (e) </w:t>
            </w:r>
            <w:r>
              <w:rPr>
                <w:b/>
                <w:bCs/>
              </w:rPr>
              <w:t xml:space="preserve">Uitbreiding: </w:t>
            </w:r>
            <w:r>
              <w:t xml:space="preserve">De Teler zal meewerken aan het vestigen van aanvullende grondrechten indien Toekomstige Aansluitcapaciteit beschikbaar komt. (f) </w:t>
            </w:r>
            <w:r>
              <w:rPr>
                <w:b/>
                <w:bCs/>
              </w:rPr>
              <w:t xml:space="preserve">Bestemmingsplan: </w:t>
            </w:r>
            <w:r>
              <w:t xml:space="preserve">De Partijen werken samen om naleving van het toepasselijke bestemmingsplan conform Punt D.4 te waarborgen. (g) </w:t>
            </w:r>
            <w:r>
              <w:rPr>
                <w:b/>
                <w:bCs/>
              </w:rPr>
              <w:t xml:space="preserve">Toestemmingen van Derden: </w:t>
            </w:r>
            <w:r>
              <w:t>Indien de Teler niet de grondeigenaar is of geen onbezwaarde titel heeft, dient de grondeigenaar ("</w:t>
            </w:r>
            <w:r>
              <w:rPr>
                <w:b/>
                <w:bCs/>
              </w:rPr>
              <w:t>Grondeigenaar</w:t>
            </w:r>
            <w:r>
              <w:t>") en/of grondfinancier ("</w:t>
            </w:r>
            <w:r>
              <w:rPr>
                <w:b/>
                <w:bCs/>
              </w:rPr>
              <w:t>Grondfinancier</w:t>
            </w:r>
            <w:r>
              <w:t>") de Overeenkomsten mede te ondertekenen.</w:t>
            </w:r>
          </w:p>
        </w:tc>
      </w:tr>
      <w:tr w:rsidR="00E94176" w14:paraId="533AA85B"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134D8D" w14:textId="77777777" w:rsidR="00E94176" w:rsidRDefault="00000000">
            <w:pPr>
              <w:spacing w:after="50"/>
            </w:pPr>
            <w:r>
              <w:rPr>
                <w:b/>
                <w:bCs/>
              </w:rPr>
              <w:t xml:space="preserve">5.6 Operational Flexibility. </w:t>
            </w:r>
            <w:r>
              <w:t>(a) The Parties shall cooperate to maximize DEC uptime and efficiency. (b) ProjectBV may curtail or suspend operations upon fourteen (14) days' prior written notice if adverse market conditions, equipment failure, regulatory constraints, or other circumstances make operation commercially unviable, provided ProjectBV demonstrates to the Grower's reasonable satisfaction that such circumstances existed. Any curtailment exceeding ninety (90) consecutive days requires the Grower's prior written consent.</w:t>
            </w:r>
          </w:p>
          <w:p w14:paraId="4292DF88" w14:textId="77777777" w:rsidR="00E94176" w:rsidRDefault="00000000">
            <w:r>
              <w:rPr>
                <w:b/>
                <w:bCs/>
              </w:rPr>
              <w:lastRenderedPageBreak/>
              <w:t xml:space="preserve">5.7 Subsidy Cooperation. </w:t>
            </w:r>
            <w:r>
              <w:t>The Parties shall cooperate in good faith to apply for and secure SDE++ and other applicable subsidies for the Project's benefit. The Parties shall submit the SDE++ application within the next available application window following the Effective Date.</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963EEC" w14:textId="77777777" w:rsidR="00E94176" w:rsidRDefault="00000000">
            <w:pPr>
              <w:spacing w:after="50"/>
            </w:pPr>
            <w:r>
              <w:rPr>
                <w:b/>
                <w:bCs/>
              </w:rPr>
              <w:lastRenderedPageBreak/>
              <w:t xml:space="preserve">5.6 Operationele Flexibiliteit. </w:t>
            </w:r>
            <w:r>
              <w:t xml:space="preserve">(a) De Partijen werken samen om de uptime en efficiëntie van het DEC te maximaliseren. (b) De ProjectBV mag de activiteiten inkorten of opschorten na veertien (14) dagen voorafgaande schriftelijke kennisgeving indien ongunstige marktomstandigheden, apparatuurstoringen, regelgevende beperkingen of andere omstandigheden de exploitatie commercieel onhaalbaar maken, mits de ProjectBV naar redelijke tevredenheid van de Teler aantoont dat dergelijke omstandigheden bestonden. Elke inkorting van meer </w:t>
            </w:r>
            <w:r>
              <w:lastRenderedPageBreak/>
              <w:t>dan negentig (90) opeenvolgende dagen vereist voorafgaande schriftelijke toestemming van de Teler.</w:t>
            </w:r>
          </w:p>
          <w:p w14:paraId="79F8A764" w14:textId="77777777" w:rsidR="00E94176" w:rsidRDefault="00000000">
            <w:r>
              <w:rPr>
                <w:b/>
                <w:bCs/>
              </w:rPr>
              <w:t xml:space="preserve">5.7 Subsidiesamenwerking. </w:t>
            </w:r>
            <w:r>
              <w:t>De Partijen werken te goeder trouw samen om SDE++ en andere toepasselijke subsidies aan te vragen en te verkrijgen ten behoeve van het Project. De Partijen dienen de SDE++-aanvraag in binnen de eerstvolgende beschikbare aanvraagperiode na de Ingangsdatum.</w:t>
            </w:r>
          </w:p>
        </w:tc>
      </w:tr>
      <w:tr w:rsidR="00E94176" w14:paraId="6294337C"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C597CA9" w14:textId="77777777" w:rsidR="00E94176" w:rsidRDefault="00000000">
            <w:r>
              <w:rPr>
                <w:b/>
                <w:bCs/>
                <w:sz w:val="20"/>
                <w:szCs w:val="20"/>
              </w:rPr>
              <w:lastRenderedPageBreak/>
              <w:t>6. Costs and Revenues</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60100B73" w14:textId="77777777" w:rsidR="00E94176" w:rsidRDefault="00000000">
            <w:r>
              <w:rPr>
                <w:b/>
                <w:bCs/>
                <w:sz w:val="20"/>
                <w:szCs w:val="20"/>
              </w:rPr>
              <w:t>6. Kosten en Opbrengsten</w:t>
            </w:r>
          </w:p>
        </w:tc>
      </w:tr>
      <w:tr w:rsidR="00E94176" w14:paraId="50BABE1E"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880DC9" w14:textId="77777777" w:rsidR="00E94176" w:rsidRDefault="00000000">
            <w:pPr>
              <w:spacing w:after="50"/>
            </w:pPr>
            <w:r>
              <w:rPr>
                <w:b/>
                <w:bCs/>
              </w:rPr>
              <w:t xml:space="preserve">6.1 DEC Costs and Revenues. </w:t>
            </w:r>
            <w:r>
              <w:t>ProjectBV bears all costs and retains all revenues directly attributable to the DEC ("</w:t>
            </w:r>
            <w:r>
              <w:rPr>
                <w:b/>
                <w:bCs/>
              </w:rPr>
              <w:t>DEC Costs</w:t>
            </w:r>
            <w:r>
              <w:t>" and "</w:t>
            </w:r>
            <w:r>
              <w:rPr>
                <w:b/>
                <w:bCs/>
              </w:rPr>
              <w:t>DEC Revenues</w:t>
            </w:r>
            <w:r>
              <w:t>"), including without limitation: (a) energy costs, including revenue from negative-priced electricity consumption; (b) energy tax (</w:t>
            </w:r>
            <w:r>
              <w:rPr>
                <w:i/>
                <w:iCs/>
              </w:rPr>
              <w:t>Energiebelasting</w:t>
            </w:r>
            <w:r>
              <w:t>, "</w:t>
            </w:r>
            <w:r>
              <w:rPr>
                <w:b/>
                <w:bCs/>
              </w:rPr>
              <w:t>EB</w:t>
            </w:r>
            <w:r>
              <w:t>"); the Parties shall evaluate combined EB volumes per Item C.5; (c) DSO grid charges: fixed ("</w:t>
            </w:r>
            <w:r>
              <w:rPr>
                <w:b/>
                <w:bCs/>
              </w:rPr>
              <w:t>kW-Contract</w:t>
            </w:r>
            <w:r>
              <w:t>") and variable ("</w:t>
            </w:r>
            <w:r>
              <w:rPr>
                <w:b/>
                <w:bCs/>
              </w:rPr>
              <w:t>kW-Max</w:t>
            </w:r>
            <w:r>
              <w:t>"); (d) energy trading (PPAs, OTC, day-ahead/intraday markets); (e) ancillary services (FCR, aFRR, mFRR); and (f) grid services (capacity-limiting contracts, redispatch, congestion management).</w:t>
            </w:r>
          </w:p>
          <w:p w14:paraId="0085CDE3" w14:textId="77777777" w:rsidR="00E94176" w:rsidRDefault="00000000">
            <w:pPr>
              <w:spacing w:after="50"/>
            </w:pPr>
            <w:r>
              <w:rPr>
                <w:b/>
                <w:bCs/>
              </w:rPr>
              <w:t xml:space="preserve">6.2 Greenhouse Costs and Revenues. </w:t>
            </w:r>
            <w:r>
              <w:t>The Grower bears all costs and retains all revenues directly attributable to the Greenhouse ("</w:t>
            </w:r>
            <w:r>
              <w:rPr>
                <w:b/>
                <w:bCs/>
              </w:rPr>
              <w:t>Greenhouse Costs</w:t>
            </w:r>
            <w:r>
              <w:t>" and "</w:t>
            </w:r>
            <w:r>
              <w:rPr>
                <w:b/>
                <w:bCs/>
              </w:rPr>
              <w:t>Greenhouse Revenues</w:t>
            </w:r>
            <w:r>
              <w:t>").</w:t>
            </w:r>
          </w:p>
          <w:p w14:paraId="2838263A" w14:textId="77777777" w:rsidR="00E94176" w:rsidRDefault="00000000">
            <w:pPr>
              <w:spacing w:after="50"/>
            </w:pPr>
            <w:r>
              <w:rPr>
                <w:b/>
                <w:bCs/>
              </w:rPr>
              <w:t xml:space="preserve">6.3 Heat Sales Sharing. </w:t>
            </w:r>
            <w:r>
              <w:t>Net income from third-party Heat Sales (excluding heat to the Grower) is shared per Annex A, Item E.1. "</w:t>
            </w:r>
            <w:r>
              <w:rPr>
                <w:b/>
                <w:bCs/>
              </w:rPr>
              <w:t>Net income</w:t>
            </w:r>
            <w:r>
              <w:t>" means gross revenues minus distribution costs (maintenance, pumping, and applicable taxes on heat sales, excluding corporate income tax), which costs are also shared in the same proportion.</w:t>
            </w:r>
          </w:p>
          <w:p w14:paraId="0D1F51B9" w14:textId="77777777" w:rsidR="00E94176" w:rsidRDefault="00000000">
            <w:pPr>
              <w:spacing w:after="50"/>
            </w:pPr>
            <w:r>
              <w:rPr>
                <w:b/>
                <w:bCs/>
              </w:rPr>
              <w:t xml:space="preserve">6.4 Billing Pass-Through. </w:t>
            </w:r>
            <w:r>
              <w:t>If SAP configuration requires one Party to receive invoices or revenues intended for the other, such amounts shall be reimbursed within the period in Item E.2.</w:t>
            </w:r>
          </w:p>
          <w:p w14:paraId="058ECC3D" w14:textId="77777777" w:rsidR="00E94176" w:rsidRDefault="00000000">
            <w:pPr>
              <w:spacing w:after="50"/>
            </w:pPr>
            <w:r>
              <w:rPr>
                <w:b/>
                <w:bCs/>
              </w:rPr>
              <w:t xml:space="preserve">6.5 Audit Rights. </w:t>
            </w:r>
            <w:r>
              <w:t>Each Party may, upon thirty (30) days' notice, audit the other Party's records relating to shared costs and revenues under this Section 6, at the auditing Party's expense. Audits shall be conducted during normal business hours and not more than once per calendar year.</w:t>
            </w:r>
          </w:p>
          <w:p w14:paraId="523DE776" w14:textId="77777777" w:rsidR="00E94176" w:rsidRDefault="00000000">
            <w:r>
              <w:rPr>
                <w:b/>
                <w:bCs/>
              </w:rPr>
              <w:t xml:space="preserve">6.6 Disputed Amounts. </w:t>
            </w:r>
            <w:r>
              <w:t>If a Party disputes an invoice, it shall pay the undisputed amount and notify the other Party of the dispute within fourteen (14) days. The Parties shall resolve the dispute in accordance with Section 8.5.</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E56AE7" w14:textId="77777777" w:rsidR="00E94176" w:rsidRDefault="00000000">
            <w:pPr>
              <w:spacing w:after="50"/>
            </w:pPr>
            <w:r>
              <w:rPr>
                <w:b/>
                <w:bCs/>
              </w:rPr>
              <w:t xml:space="preserve">6.1 DEC-kosten en -opbrengsten. </w:t>
            </w:r>
            <w:r>
              <w:t>De ProjectBV draagt alle kosten en behoudt alle opbrengsten die rechtstreeks aan het DEC zijn toe te rekenen ("</w:t>
            </w:r>
            <w:r>
              <w:rPr>
                <w:b/>
                <w:bCs/>
              </w:rPr>
              <w:t>DEC-kosten</w:t>
            </w:r>
            <w:r>
              <w:t>" en "</w:t>
            </w:r>
            <w:r>
              <w:rPr>
                <w:b/>
                <w:bCs/>
              </w:rPr>
              <w:t>DEC-opbrengsten</w:t>
            </w:r>
            <w:r>
              <w:t>"), waaronder: (a) energiekosten, inclusief opbrengsten uit het verbruik van negatief geprijsde elektriciteit; (b) Energiebelasting ("</w:t>
            </w:r>
            <w:r>
              <w:rPr>
                <w:b/>
                <w:bCs/>
              </w:rPr>
              <w:t>EB</w:t>
            </w:r>
            <w:r>
              <w:t>"); de Partijen evalueren gecombineerde EB-volumes conform Punt C.5; (c) DSO-netkosten: vast ("</w:t>
            </w:r>
            <w:r>
              <w:rPr>
                <w:b/>
                <w:bCs/>
              </w:rPr>
              <w:t>kW-Contract</w:t>
            </w:r>
            <w:r>
              <w:t>") en variabel ("</w:t>
            </w:r>
            <w:r>
              <w:rPr>
                <w:b/>
                <w:bCs/>
              </w:rPr>
              <w:t>kW-Max</w:t>
            </w:r>
            <w:r>
              <w:t>"); (d) energiehandel (PPA's, OTC, day-ahead/intraday markten); (e) systeemdiensten (FCR, aFRR, mFRR); en (f) netdiensten (capaciteitsbeperkende contracten, redispatch, congestiebeheer).</w:t>
            </w:r>
          </w:p>
          <w:p w14:paraId="1B42F7A9" w14:textId="77777777" w:rsidR="00E94176" w:rsidRDefault="00000000">
            <w:pPr>
              <w:spacing w:after="50"/>
            </w:pPr>
            <w:r>
              <w:rPr>
                <w:b/>
                <w:bCs/>
              </w:rPr>
              <w:t xml:space="preserve">6.2 Kaskosten en -opbrengsten. </w:t>
            </w:r>
            <w:r>
              <w:t>De Teler draagt alle kosten en behoudt alle opbrengsten die rechtstreeks aan de Kas zijn toe te rekenen ("</w:t>
            </w:r>
            <w:r>
              <w:rPr>
                <w:b/>
                <w:bCs/>
              </w:rPr>
              <w:t>Kaskosten</w:t>
            </w:r>
            <w:r>
              <w:t>" en "</w:t>
            </w:r>
            <w:r>
              <w:rPr>
                <w:b/>
                <w:bCs/>
              </w:rPr>
              <w:t>Kasopbrengsten</w:t>
            </w:r>
            <w:r>
              <w:t>").</w:t>
            </w:r>
          </w:p>
          <w:p w14:paraId="7323DCC4" w14:textId="77777777" w:rsidR="00E94176" w:rsidRDefault="00000000">
            <w:pPr>
              <w:spacing w:after="50"/>
            </w:pPr>
            <w:r>
              <w:rPr>
                <w:b/>
                <w:bCs/>
              </w:rPr>
              <w:t xml:space="preserve">6.3 Verdeling Warmteverkoop. </w:t>
            </w:r>
            <w:r>
              <w:t>Netto-inkomsten uit Warmteverkoop aan derden (exclusief warmte aan de Teler) worden verdeeld conform Bijlage A, Punt E.1. "</w:t>
            </w:r>
            <w:r>
              <w:rPr>
                <w:b/>
                <w:bCs/>
              </w:rPr>
              <w:t>Netto-inkomsten</w:t>
            </w:r>
            <w:r>
              <w:t>" betekent bruto-opbrengsten minus distributiekosten (onderhoud, pompen, en toepasselijke belastingen op warmteverkoop, exclusief vennootschapsbelasting), welke kosten ook in dezelfde verhouding worden verdeeld.</w:t>
            </w:r>
          </w:p>
          <w:p w14:paraId="41D94B41" w14:textId="77777777" w:rsidR="00E94176" w:rsidRDefault="00000000">
            <w:pPr>
              <w:spacing w:after="50"/>
            </w:pPr>
            <w:r>
              <w:rPr>
                <w:b/>
                <w:bCs/>
              </w:rPr>
              <w:t xml:space="preserve">6.4 Doorbelasting. </w:t>
            </w:r>
            <w:r>
              <w:t>Indien de SAP-configuratie vereist dat een Partij facturen of opbrengsten ontvangt die bestemd zijn voor de andere Partij, worden dergelijke bedragen vergoed binnen de termijn in Punt E.2.</w:t>
            </w:r>
          </w:p>
          <w:p w14:paraId="4828E6C9" w14:textId="77777777" w:rsidR="00E94176" w:rsidRDefault="00000000">
            <w:pPr>
              <w:spacing w:after="50"/>
            </w:pPr>
            <w:r>
              <w:rPr>
                <w:b/>
                <w:bCs/>
              </w:rPr>
              <w:t xml:space="preserve">6.5 Auditrechten. </w:t>
            </w:r>
            <w:r>
              <w:t>Elke Partij kan, na dertig (30) dagen kennisgeving, de administratie van de andere Partij met betrekking tot gedeelde kosten en opbrengsten onder dit Artikel 6 controleren, op kosten van de auditerende Partij. Audits worden uitgevoerd tijdens normale kantooruren en niet meer dan eenmaal per kalenderjaar.</w:t>
            </w:r>
          </w:p>
          <w:p w14:paraId="642A959E" w14:textId="77777777" w:rsidR="00E94176" w:rsidRDefault="00000000">
            <w:r>
              <w:rPr>
                <w:b/>
                <w:bCs/>
              </w:rPr>
              <w:t xml:space="preserve">6.6 Betwiste Bedragen. </w:t>
            </w:r>
            <w:r>
              <w:t>Indien een Partij een factuur betwist, betaalt zij het onbetwiste bedrag en stelt zij de andere Partij binnen veertien (14) dagen van het geschil in kennis. De Partijen lossen het geschil op overeenkomstig Artikel 8.5.</w:t>
            </w:r>
          </w:p>
        </w:tc>
      </w:tr>
      <w:tr w:rsidR="00E94176" w14:paraId="0694A801"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271C5812" w14:textId="77777777" w:rsidR="00E94176" w:rsidRDefault="00000000">
            <w:r>
              <w:rPr>
                <w:b/>
                <w:bCs/>
                <w:sz w:val="20"/>
                <w:szCs w:val="20"/>
              </w:rPr>
              <w:t>7. Confidentiality</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56B75D9" w14:textId="77777777" w:rsidR="00E94176" w:rsidRDefault="00000000">
            <w:r>
              <w:rPr>
                <w:b/>
                <w:bCs/>
                <w:sz w:val="20"/>
                <w:szCs w:val="20"/>
              </w:rPr>
              <w:t>7. Vertrouwelijkheid</w:t>
            </w:r>
          </w:p>
        </w:tc>
      </w:tr>
      <w:tr w:rsidR="00E94176" w14:paraId="3825687B"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FDDB40" w14:textId="77777777" w:rsidR="00E94176" w:rsidRDefault="00000000">
            <w:pPr>
              <w:spacing w:after="50"/>
            </w:pPr>
            <w:r>
              <w:rPr>
                <w:b/>
                <w:bCs/>
              </w:rPr>
              <w:t xml:space="preserve">7.1 Obligation. </w:t>
            </w:r>
            <w:r>
              <w:t>Each Party shall keep strictly confidential these HoT and all information disclosed in connection with the Project ("</w:t>
            </w:r>
            <w:r>
              <w:rPr>
                <w:b/>
                <w:bCs/>
              </w:rPr>
              <w:t>Confidential Information</w:t>
            </w:r>
            <w:r>
              <w:t>").</w:t>
            </w:r>
          </w:p>
          <w:p w14:paraId="18D0D229" w14:textId="77777777" w:rsidR="00E94176" w:rsidRDefault="00000000">
            <w:pPr>
              <w:spacing w:after="50"/>
            </w:pPr>
            <w:r>
              <w:rPr>
                <w:b/>
                <w:bCs/>
              </w:rPr>
              <w:t xml:space="preserve">7.2 Permitted Disclosures. </w:t>
            </w:r>
            <w:r>
              <w:t>Disclosure is permitted: (a) as required by law, court order, or regulatory authority; (b) to affiliates, financiers, and professional advisors (legal, technical, commercial) on a need-to-know basis, if bound by confidentiality obligations no less protective than this Section 7; (c) for inclusion in subsidy applications, regulatory filings, or permit applications, to the extent required; or (d) with prior written consent.</w:t>
            </w:r>
          </w:p>
          <w:p w14:paraId="1E1B334E" w14:textId="77777777" w:rsidR="00E94176" w:rsidRDefault="00000000">
            <w:pPr>
              <w:spacing w:after="50"/>
            </w:pPr>
            <w:r>
              <w:rPr>
                <w:b/>
                <w:bCs/>
              </w:rPr>
              <w:t xml:space="preserve">7.3 Exclusions. </w:t>
            </w:r>
            <w:r>
              <w:t>Confidential Information excludes information that: (a) enters the public domain other than through breach by the receiving Party; (b) was known to the receiving Party before disclosure; (c) is independently developed by the receiving Party; or (d) is received from a third party without breach of any confidentiality obligation owed to the disclosing Party.</w:t>
            </w:r>
          </w:p>
          <w:p w14:paraId="148C0AF5" w14:textId="77777777" w:rsidR="00E94176" w:rsidRDefault="00000000">
            <w:pPr>
              <w:spacing w:after="50"/>
            </w:pPr>
            <w:r>
              <w:rPr>
                <w:b/>
                <w:bCs/>
              </w:rPr>
              <w:lastRenderedPageBreak/>
              <w:t xml:space="preserve">7.4 Return of Information. </w:t>
            </w:r>
            <w:r>
              <w:t>Upon termination, each Party shall return or destroy Confidential Information of the other Party upon request, except to the extent retention is required by law or for bona fide record-keeping purposes.</w:t>
            </w:r>
          </w:p>
          <w:p w14:paraId="5B8D27C1" w14:textId="77777777" w:rsidR="00E94176" w:rsidRDefault="00000000">
            <w:r>
              <w:rPr>
                <w:b/>
                <w:bCs/>
              </w:rPr>
              <w:t xml:space="preserve">7.5 Duration. </w:t>
            </w:r>
            <w:r>
              <w:t>These obligations continue for two (2) years after termination of these HoT.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3AED48" w14:textId="77777777" w:rsidR="00E94176" w:rsidRDefault="00000000">
            <w:pPr>
              <w:spacing w:after="50"/>
            </w:pPr>
            <w:r>
              <w:rPr>
                <w:b/>
                <w:bCs/>
              </w:rPr>
              <w:lastRenderedPageBreak/>
              <w:t xml:space="preserve">7.1 Verplichting. </w:t>
            </w:r>
            <w:r>
              <w:t>Elke Partij houdt deze HoT en alle informatie die in verband met het Project wordt verstrekt strikt vertrouwelijk ("</w:t>
            </w:r>
            <w:r>
              <w:rPr>
                <w:b/>
                <w:bCs/>
              </w:rPr>
              <w:t>Vertrouwelijke Informatie</w:t>
            </w:r>
            <w:r>
              <w:t>").</w:t>
            </w:r>
          </w:p>
          <w:p w14:paraId="5CADB8A6" w14:textId="77777777" w:rsidR="00E94176" w:rsidRDefault="00000000">
            <w:pPr>
              <w:spacing w:after="50"/>
            </w:pPr>
            <w:r>
              <w:rPr>
                <w:b/>
                <w:bCs/>
              </w:rPr>
              <w:t xml:space="preserve">7.2 Toegestane Openbaarmakingen. </w:t>
            </w:r>
            <w:r>
              <w:t>Openbaarmaking is toegestaan: (a) indien vereist door wet, rechterlijk bevel, of toezichthoudende instantie; (b) aan gelieerde ondernemingen, financiers, en professionele adviseurs (juridisch, technisch, commercieel) op need-to-know basis, indien gebonden door geheimhoudingsverplichtingen die niet minder beschermend zijn dan dit Artikel 7; (c) voor opname in subsidieaanvragen, regelgevende dossiers, of vergunningaanvragen, voor zover vereist; of (d) met voorafgaande schriftelijke toestemming.</w:t>
            </w:r>
          </w:p>
          <w:p w14:paraId="0F919BD0" w14:textId="77777777" w:rsidR="00E94176" w:rsidRDefault="00000000">
            <w:pPr>
              <w:spacing w:after="50"/>
            </w:pPr>
            <w:r>
              <w:rPr>
                <w:b/>
                <w:bCs/>
              </w:rPr>
              <w:t xml:space="preserve">7.3 Uitzonderingen. </w:t>
            </w:r>
            <w:r>
              <w:t xml:space="preserve">Vertrouwelijke Informatie omvat niet informatie die: (a) openbaar wordt anders dan door schending door de ontvangende Partij; (b) de ontvangende Partij reeds bekend was vóór openbaarmaking; (c) zelfstandig is ontwikkeld door de ontvangende Partij; of (d) is ontvangen van </w:t>
            </w:r>
            <w:r>
              <w:lastRenderedPageBreak/>
              <w:t>een derde zonder schending van enige geheimhoudingsverplichting jegens de verstrekkende Partij.</w:t>
            </w:r>
          </w:p>
          <w:p w14:paraId="6013366E" w14:textId="77777777" w:rsidR="00E94176" w:rsidRDefault="00000000">
            <w:pPr>
              <w:spacing w:after="50"/>
            </w:pPr>
            <w:r>
              <w:rPr>
                <w:b/>
                <w:bCs/>
              </w:rPr>
              <w:t xml:space="preserve">7.4 Teruggave van Informatie. </w:t>
            </w:r>
            <w:r>
              <w:t>Bij beëindiging zal elke Partij op verzoek Vertrouwelijke Informatie van de andere Partij retourneren of vernietigen, behalve voor zover bewaring wettelijk vereist is of voor legitieme archiveringsdoeleinden.</w:t>
            </w:r>
          </w:p>
          <w:p w14:paraId="5C1BF8D2" w14:textId="77777777" w:rsidR="00E94176" w:rsidRDefault="00000000">
            <w:r>
              <w:rPr>
                <w:b/>
                <w:bCs/>
              </w:rPr>
              <w:t xml:space="preserve">7.5 Duur. </w:t>
            </w:r>
            <w:r>
              <w:t>Deze verplichtingen blijven van kracht gedurende twee (2) jaar na beëindiging van deze HoT.</w:t>
            </w:r>
          </w:p>
        </w:tc>
      </w:tr>
      <w:tr w:rsidR="00E94176" w14:paraId="667631C8"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0E260882" w14:textId="77777777" w:rsidR="00E94176" w:rsidRDefault="00000000">
            <w:r>
              <w:rPr>
                <w:b/>
                <w:bCs/>
                <w:sz w:val="20"/>
                <w:szCs w:val="20"/>
              </w:rPr>
              <w:lastRenderedPageBreak/>
              <w:t>8. General Provisions</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Mar>
              <w:top w:w="70" w:type="dxa"/>
              <w:left w:w="100" w:type="dxa"/>
              <w:bottom w:w="70" w:type="dxa"/>
              <w:right w:w="100" w:type="dxa"/>
            </w:tcMar>
          </w:tcPr>
          <w:p w14:paraId="64212430" w14:textId="77777777" w:rsidR="00E94176" w:rsidRDefault="00000000">
            <w:r>
              <w:rPr>
                <w:b/>
                <w:bCs/>
                <w:sz w:val="20"/>
                <w:szCs w:val="20"/>
              </w:rPr>
              <w:t>8. Algemene Bepalingen</w:t>
            </w:r>
          </w:p>
        </w:tc>
      </w:tr>
      <w:tr w:rsidR="00E94176" w14:paraId="64FA2D10"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60B885" w14:textId="77777777" w:rsidR="00E94176" w:rsidRDefault="00000000">
            <w:pPr>
              <w:spacing w:after="50"/>
            </w:pPr>
            <w:r>
              <w:rPr>
                <w:b/>
                <w:bCs/>
              </w:rPr>
              <w:t xml:space="preserve">8.1 Costs. </w:t>
            </w:r>
            <w:r>
              <w:t>Each Party bears its own costs in negotiating and preparing these HoT and the Agreements.</w:t>
            </w:r>
          </w:p>
          <w:p w14:paraId="1C93B19E" w14:textId="77777777" w:rsidR="00E94176" w:rsidRDefault="00000000">
            <w:pPr>
              <w:spacing w:after="50"/>
            </w:pPr>
            <w:r>
              <w:rPr>
                <w:b/>
                <w:bCs/>
              </w:rPr>
              <w:t xml:space="preserve">8.2 Assignment. </w:t>
            </w:r>
            <w:r>
              <w:t>(a) Neither Party may assign or transfer any rights or obligations without prior written consent. (b) Exception: Digital Energy may assign to ProjectBV upon incorporation. Digital Energy shall remain jointly and severally liable for ProjectBV's obligations until the Agreements are executed, at which point Digital Energy shall be released.</w:t>
            </w:r>
          </w:p>
          <w:p w14:paraId="6911B211" w14:textId="77777777" w:rsidR="00E94176" w:rsidRDefault="00000000">
            <w:pPr>
              <w:spacing w:after="50"/>
            </w:pPr>
            <w:r>
              <w:rPr>
                <w:b/>
                <w:bCs/>
              </w:rPr>
              <w:t xml:space="preserve">8.3 Governing Law. </w:t>
            </w:r>
            <w:r>
              <w:t>These HoT and the Agreements are governed by Dutch law.</w:t>
            </w:r>
          </w:p>
          <w:p w14:paraId="66E934CD" w14:textId="77777777" w:rsidR="00E94176" w:rsidRDefault="00000000">
            <w:pPr>
              <w:spacing w:after="50"/>
            </w:pPr>
            <w:r>
              <w:rPr>
                <w:b/>
                <w:bCs/>
              </w:rPr>
              <w:t xml:space="preserve">8.4 Jurisdiction. </w:t>
            </w:r>
            <w:r>
              <w:t>Disputes are submitted exclusively to the District Court of Amsterdam (</w:t>
            </w:r>
            <w:r>
              <w:rPr>
                <w:i/>
                <w:iCs/>
              </w:rPr>
              <w:t>Rechtbank Amsterdam</w:t>
            </w:r>
            <w:r>
              <w:t>).</w:t>
            </w:r>
          </w:p>
          <w:p w14:paraId="1B9B9BA1" w14:textId="77777777" w:rsidR="00E94176" w:rsidRDefault="00000000">
            <w:pPr>
              <w:spacing w:after="50"/>
            </w:pPr>
            <w:r>
              <w:rPr>
                <w:b/>
                <w:bCs/>
              </w:rPr>
              <w:t xml:space="preserve">8.5 Dispute Resolution. </w:t>
            </w:r>
            <w:r>
              <w:t>Before initiating court proceedings, the Parties shall attempt to resolve disputes through good faith negotiations between senior executives for at least fifteen (15) business days.</w:t>
            </w:r>
          </w:p>
          <w:p w14:paraId="3BAE2C55" w14:textId="77777777" w:rsidR="00E94176" w:rsidRDefault="00000000">
            <w:pPr>
              <w:spacing w:after="50"/>
            </w:pPr>
            <w:r>
              <w:rPr>
                <w:b/>
                <w:bCs/>
              </w:rPr>
              <w:t xml:space="preserve">8.6 Entire Agreement. </w:t>
            </w:r>
            <w:r>
              <w:t>These HoT constitute the entire agreement on this subject matter and supersede all prior negotiations and representations, except in the case of fraud or fraudulent misrepresentation.</w:t>
            </w:r>
          </w:p>
          <w:p w14:paraId="23E77F3D" w14:textId="77777777" w:rsidR="00E94176" w:rsidRDefault="00000000">
            <w:r>
              <w:rPr>
                <w:b/>
                <w:bCs/>
              </w:rPr>
              <w:t xml:space="preserve">8.7 Amendments. </w:t>
            </w:r>
            <w:r>
              <w:t>Amendments require written agreement signed by both Parties.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091025" w14:textId="77777777" w:rsidR="00E94176" w:rsidRDefault="00000000">
            <w:pPr>
              <w:spacing w:after="50"/>
            </w:pPr>
            <w:r>
              <w:rPr>
                <w:b/>
                <w:bCs/>
              </w:rPr>
              <w:t xml:space="preserve">8.1 Kosten. </w:t>
            </w:r>
            <w:r>
              <w:t>Elke Partij draagt haar eigen kosten voor het onderhandelen en opstellen van deze HoT en de Overeenkomsten.</w:t>
            </w:r>
          </w:p>
          <w:p w14:paraId="0DBD0BC6" w14:textId="77777777" w:rsidR="00E94176" w:rsidRDefault="00000000">
            <w:pPr>
              <w:spacing w:after="50"/>
            </w:pPr>
            <w:r>
              <w:rPr>
                <w:b/>
                <w:bCs/>
              </w:rPr>
              <w:t xml:space="preserve">8.2 Overdracht. </w:t>
            </w:r>
            <w:r>
              <w:t>(a) Geen van de Partijen mag rechten of verplichtingen overdragen of cederen zonder voorafgaande schriftelijke toestemming. (b) Uitzondering: Digital Energy mag overdragen aan de ProjectBV na oprichting. Digital Energy blijft hoofdelijk aansprakelijk voor de verplichtingen van de ProjectBV totdat de Overeenkomsten zijn ondertekend, waarna Digital Energy wordt ontslagen.</w:t>
            </w:r>
          </w:p>
          <w:p w14:paraId="2879647B" w14:textId="77777777" w:rsidR="00E94176" w:rsidRDefault="00000000">
            <w:pPr>
              <w:spacing w:after="50"/>
            </w:pPr>
            <w:r>
              <w:rPr>
                <w:b/>
                <w:bCs/>
              </w:rPr>
              <w:t xml:space="preserve">8.3 Toepasselijk Recht. </w:t>
            </w:r>
            <w:r>
              <w:t>Op deze HoT en de Overeenkomsten is Nederlands recht van toepassing.</w:t>
            </w:r>
          </w:p>
          <w:p w14:paraId="541079FB" w14:textId="77777777" w:rsidR="00E94176" w:rsidRDefault="00000000">
            <w:pPr>
              <w:spacing w:after="50"/>
            </w:pPr>
            <w:r>
              <w:rPr>
                <w:b/>
                <w:bCs/>
              </w:rPr>
              <w:t xml:space="preserve">8.4 Bevoegde Rechter. </w:t>
            </w:r>
            <w:r>
              <w:t>Geschillen worden exclusief voorgelegd aan de Rechtbank Amsterdam.</w:t>
            </w:r>
          </w:p>
          <w:p w14:paraId="17246DF9" w14:textId="77777777" w:rsidR="00E94176" w:rsidRDefault="00000000">
            <w:pPr>
              <w:spacing w:after="50"/>
            </w:pPr>
            <w:r>
              <w:rPr>
                <w:b/>
                <w:bCs/>
              </w:rPr>
              <w:t xml:space="preserve">8.5 Geschillenbeslechting. </w:t>
            </w:r>
            <w:r>
              <w:t>Alvorens een gerechtelijke procedure te starten, trachten de Partijen geschillen op te lossen door te goeder trouw te onderhandelen tussen senior leidinggevenden gedurende ten minste vijftien (15) werkdagen.</w:t>
            </w:r>
          </w:p>
          <w:p w14:paraId="6B9BB07D" w14:textId="77777777" w:rsidR="00E94176" w:rsidRDefault="00000000">
            <w:pPr>
              <w:spacing w:after="50"/>
            </w:pPr>
            <w:r>
              <w:rPr>
                <w:b/>
                <w:bCs/>
              </w:rPr>
              <w:t xml:space="preserve">8.6 Volledige Overeenkomst. </w:t>
            </w:r>
            <w:r>
              <w:t>Deze HoT vormen de volledige overeenkomst over dit onderwerp en vervangen alle eerdere onderhandelingen en verklaringen, behalve in geval van fraude of frauduleuze misleiding.</w:t>
            </w:r>
          </w:p>
          <w:p w14:paraId="4ECE8CBE" w14:textId="77777777" w:rsidR="00E94176" w:rsidRDefault="00000000">
            <w:r>
              <w:rPr>
                <w:b/>
                <w:bCs/>
              </w:rPr>
              <w:t xml:space="preserve">8.7 Wijzigingen. </w:t>
            </w:r>
            <w:r>
              <w:t>Wijzigingen vereisen schriftelijke overeenstemming ondertekend door beide Partijen.</w:t>
            </w:r>
          </w:p>
        </w:tc>
      </w:tr>
      <w:tr w:rsidR="00E94176" w14:paraId="6F06E90F" w14:textId="77777777">
        <w:tblPrEx>
          <w:tblCellMar>
            <w:top w:w="0" w:type="dxa"/>
            <w:bottom w:w="0" w:type="dxa"/>
          </w:tblCellMar>
        </w:tblPrEx>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9FA90F" w14:textId="77777777" w:rsidR="00E94176" w:rsidRDefault="00000000">
            <w:pPr>
              <w:spacing w:after="50"/>
            </w:pPr>
            <w:r>
              <w:rPr>
                <w:b/>
                <w:bCs/>
              </w:rPr>
              <w:t xml:space="preserve">8.8 Waiver. </w:t>
            </w:r>
            <w:r>
              <w:t>No failure or delay in exercising any right shall operate as a waiver thereof, nor shall any single exercise preclude further exercise.</w:t>
            </w:r>
          </w:p>
          <w:p w14:paraId="44259404" w14:textId="77777777" w:rsidR="00E94176" w:rsidRDefault="00000000">
            <w:pPr>
              <w:spacing w:after="50"/>
            </w:pPr>
            <w:r>
              <w:rPr>
                <w:b/>
                <w:bCs/>
              </w:rPr>
              <w:t xml:space="preserve">8.9 Severability. </w:t>
            </w:r>
            <w:r>
              <w:t>If any provision is held invalid or unenforceable, the remaining provisions continue in full force. The Parties shall negotiate in good faith to replace the invalid provision with a valid provision achieving substantially the same effect.</w:t>
            </w:r>
          </w:p>
          <w:p w14:paraId="70AC491F" w14:textId="77777777" w:rsidR="00E94176" w:rsidRDefault="00000000">
            <w:pPr>
              <w:spacing w:after="50"/>
            </w:pPr>
            <w:r>
              <w:rPr>
                <w:b/>
                <w:bCs/>
              </w:rPr>
              <w:t xml:space="preserve">8.10 Force Majeure. </w:t>
            </w:r>
            <w:r>
              <w:t>Neither Party is liable for failure to perform due to events beyond its reasonable control, provided the affected Party: (a) notifies the other promptly; (b) uses commercially reasonable efforts to mitigate; and (c) resumes performance as soon as reasonably practicable.</w:t>
            </w:r>
          </w:p>
          <w:p w14:paraId="1C7E2B24" w14:textId="77777777" w:rsidR="00E94176" w:rsidRDefault="00000000">
            <w:pPr>
              <w:spacing w:after="50"/>
            </w:pPr>
            <w:r>
              <w:rPr>
                <w:b/>
                <w:bCs/>
              </w:rPr>
              <w:t xml:space="preserve">8.11 Notices. </w:t>
            </w:r>
            <w:r>
              <w:t>Notices must be in writing to the addresses in Annex A, Section G. Notices by email are deemed received on the next business day; notices by courier are deemed received upon confirmed delivery.</w:t>
            </w:r>
          </w:p>
          <w:p w14:paraId="2F49C7BD" w14:textId="77777777" w:rsidR="00E94176" w:rsidRDefault="00000000">
            <w:pPr>
              <w:spacing w:after="50"/>
            </w:pPr>
            <w:r>
              <w:rPr>
                <w:b/>
                <w:bCs/>
              </w:rPr>
              <w:t xml:space="preserve">8.12 Third Party Rights. </w:t>
            </w:r>
            <w:r>
              <w:t>These HoT do not confer any rights on third parties, except that ProjectBV (once incorporated) may enforce rights granted to it herein.</w:t>
            </w:r>
          </w:p>
          <w:p w14:paraId="3C807853" w14:textId="77777777" w:rsidR="00E94176" w:rsidRDefault="00000000">
            <w:r>
              <w:rPr>
                <w:b/>
                <w:bCs/>
              </w:rPr>
              <w:t xml:space="preserve">8.13 Counterparts. </w:t>
            </w:r>
            <w:r>
              <w:t>These HoT may be executed in counterparts, each deemed an original, together constituting one agreement. Electronic signatures have the same legal effect as original signatures.</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4D9C0" w14:textId="77777777" w:rsidR="00E94176" w:rsidRDefault="00000000">
            <w:pPr>
              <w:spacing w:after="50"/>
            </w:pPr>
            <w:r>
              <w:rPr>
                <w:b/>
                <w:bCs/>
              </w:rPr>
              <w:t xml:space="preserve">8.8 Afstand van Recht. </w:t>
            </w:r>
            <w:r>
              <w:t>Het niet of vertraagd uitoefenen van enig recht houdt geen afstand daarvan in, noch zal enige eenmalige uitoefening verdere uitoefening uitsluiten.</w:t>
            </w:r>
          </w:p>
          <w:p w14:paraId="14726D2D" w14:textId="77777777" w:rsidR="00E94176" w:rsidRDefault="00000000">
            <w:pPr>
              <w:spacing w:after="50"/>
            </w:pPr>
            <w:r>
              <w:rPr>
                <w:b/>
                <w:bCs/>
              </w:rPr>
              <w:t xml:space="preserve">8.9 Scheidbaarheid. </w:t>
            </w:r>
            <w:r>
              <w:t>Indien enige bepaling ongeldig of niet-afdwingbaar wordt geacht, blijven de overige bepalingen volledig van kracht. De Partijen onderhandelen te goeder trouw om de ongeldige bepaling te vervangen door een geldige bepaling met in wezen hetzelfde effect.</w:t>
            </w:r>
          </w:p>
          <w:p w14:paraId="04D30356" w14:textId="77777777" w:rsidR="00E94176" w:rsidRDefault="00000000">
            <w:pPr>
              <w:spacing w:after="50"/>
            </w:pPr>
            <w:r>
              <w:rPr>
                <w:b/>
                <w:bCs/>
              </w:rPr>
              <w:t xml:space="preserve">8.10 Overmacht. </w:t>
            </w:r>
            <w:r>
              <w:t>Geen van de Partijen is aansprakelijk voor het niet nakomen van verplichtingen als gevolg van gebeurtenissen buiten haar redelijke controle, mits de getroffen Partij: (a) de andere Partij onverwijld informeert; (b) commercieel redelijke inspanningen levert om de gevolgen te beperken; en (c) de nakoming zo spoedig als redelijkerwijs mogelijk hervat.</w:t>
            </w:r>
          </w:p>
          <w:p w14:paraId="2E339F42" w14:textId="77777777" w:rsidR="00E94176" w:rsidRDefault="00000000">
            <w:pPr>
              <w:spacing w:after="50"/>
            </w:pPr>
            <w:r>
              <w:rPr>
                <w:b/>
                <w:bCs/>
              </w:rPr>
              <w:t xml:space="preserve">8.11 Kennisgevingen. </w:t>
            </w:r>
            <w:r>
              <w:t>Kennisgevingen dienen schriftelijk te geschieden aan de adressen in Bijlage A, Sectie G. Kennisgevingen per e-mail worden geacht te zijn ontvangen op de volgende werkdag; kennisgevingen per koerier worden geacht te zijn ontvangen bij bevestigde aflevering.</w:t>
            </w:r>
          </w:p>
          <w:p w14:paraId="0D71767B" w14:textId="77777777" w:rsidR="00E94176" w:rsidRDefault="00000000">
            <w:pPr>
              <w:spacing w:after="50"/>
            </w:pPr>
            <w:r>
              <w:rPr>
                <w:b/>
                <w:bCs/>
              </w:rPr>
              <w:t xml:space="preserve">8.12 Rechten van Derden. </w:t>
            </w:r>
            <w:r>
              <w:t>Deze HoT verlenen geen rechten aan derden, behalve dat de ProjectBV (na oprichting) de aan haar hierin verleende rechten kan afdwingen.</w:t>
            </w:r>
          </w:p>
          <w:p w14:paraId="54DAF572" w14:textId="77777777" w:rsidR="00E94176" w:rsidRDefault="00000000">
            <w:r>
              <w:rPr>
                <w:b/>
                <w:bCs/>
              </w:rPr>
              <w:t xml:space="preserve">8.13 Exemplaren. </w:t>
            </w:r>
            <w:r>
              <w:t>Deze HoT kunnen in meerdere exemplaren worden ondertekend, waarbij elk exemplaar als origineel geldt en alle exemplaren samen één overeenkomst vormen. Elektronische handtekeningen hebben dezelfde rechtskracht als originele handtekeningen.</w:t>
            </w:r>
          </w:p>
        </w:tc>
      </w:tr>
    </w:tbl>
    <w:p w14:paraId="7727CBB3" w14:textId="77777777" w:rsidR="00E94176" w:rsidRDefault="00000000">
      <w:pPr>
        <w:spacing w:before="300" w:after="150"/>
      </w:pPr>
      <w:r>
        <w:rPr>
          <w:b/>
          <w:bCs/>
          <w:sz w:val="22"/>
          <w:szCs w:val="22"/>
        </w:rPr>
        <w:t>9. Execution / Ondertekening</w:t>
      </w:r>
    </w:p>
    <w:p w14:paraId="4CBE7768" w14:textId="77777777" w:rsidR="00E94176" w:rsidRDefault="00000000">
      <w:pPr>
        <w:spacing w:after="150"/>
      </w:pPr>
      <w:r>
        <w:lastRenderedPageBreak/>
        <w:t xml:space="preserve">Each signatory represents and warrants that they have full authority to execute these HoT on behalf of the Party they represent. / </w:t>
      </w:r>
      <w:r>
        <w:rPr>
          <w:i/>
          <w:iCs/>
        </w:rPr>
        <w:t>Elke ondertekenaar verklaart en garandeert dat hij/zij volledig bevoegd is om deze HoT te ondertekenen namens de Partij die hij/zij vertegenwoordigt.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7"/>
        <w:gridCol w:w="5327"/>
      </w:tblGrid>
      <w:tr w:rsidR="00E94176" w14:paraId="4B1CC84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41F7A17B" w14:textId="77777777" w:rsidR="00E94176" w:rsidRDefault="00000000">
            <w:pPr>
              <w:spacing w:after="40"/>
            </w:pPr>
            <w:r>
              <w:rPr>
                <w:b/>
                <w:bCs/>
              </w:rPr>
              <w:t>DIGITAL ENERGY GROUP AG</w:t>
            </w:r>
          </w:p>
          <w:p w14:paraId="53FAB736" w14:textId="77777777" w:rsidR="00E94176" w:rsidRDefault="00000000">
            <w:pPr>
              <w:spacing w:before="120" w:after="40"/>
            </w:pPr>
            <w:r>
              <w:t>________________________________</w:t>
            </w:r>
          </w:p>
          <w:p w14:paraId="5453700D" w14:textId="77777777" w:rsidR="00E94176" w:rsidRDefault="00000000">
            <w:pPr>
              <w:spacing w:after="30"/>
            </w:pPr>
            <w:r>
              <w:rPr>
                <w:sz w:val="16"/>
                <w:szCs w:val="16"/>
              </w:rPr>
              <w:t>Name: Jonathan Mattis Glender</w:t>
            </w:r>
          </w:p>
          <w:p w14:paraId="1FFE8FF8" w14:textId="77777777" w:rsidR="00E94176" w:rsidRDefault="00000000">
            <w:pPr>
              <w:spacing w:after="30"/>
            </w:pPr>
            <w:r>
              <w:rPr>
                <w:sz w:val="16"/>
                <w:szCs w:val="16"/>
              </w:rPr>
              <w:t>Title: Chairman of the Board</w:t>
            </w:r>
          </w:p>
          <w:p w14:paraId="03E5F07E" w14:textId="77777777" w:rsidR="00E94176" w:rsidRDefault="00000000">
            <w:r>
              <w:rPr>
                <w:sz w:val="16"/>
                <w:szCs w:val="16"/>
              </w:rPr>
              <w:t>Date:</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747CB9F" w14:textId="77777777" w:rsidR="00E94176" w:rsidRDefault="00000000">
            <w:pPr>
              <w:spacing w:after="40"/>
            </w:pPr>
            <w:r>
              <w:rPr>
                <w:b/>
                <w:bCs/>
              </w:rPr>
              <w:t xml:space="preserve">GROWER / TELER </w:t>
            </w:r>
            <w:r>
              <w:rPr>
                <w:sz w:val="16"/>
                <w:szCs w:val="16"/>
              </w:rPr>
              <w:t>[per A.1]</w:t>
            </w:r>
          </w:p>
          <w:p w14:paraId="085B4EEF" w14:textId="77777777" w:rsidR="00E94176" w:rsidRDefault="00000000">
            <w:pPr>
              <w:spacing w:before="120" w:after="40"/>
            </w:pPr>
            <w:r>
              <w:t>________________________________</w:t>
            </w:r>
          </w:p>
          <w:p w14:paraId="31EFD4D5" w14:textId="77777777" w:rsidR="00E94176" w:rsidRDefault="00000000">
            <w:pPr>
              <w:spacing w:after="30"/>
            </w:pPr>
            <w:r>
              <w:rPr>
                <w:sz w:val="16"/>
                <w:szCs w:val="16"/>
              </w:rPr>
              <w:t>Name: [per A.4]</w:t>
            </w:r>
          </w:p>
          <w:p w14:paraId="58C4B716" w14:textId="77777777" w:rsidR="00E94176" w:rsidRDefault="00000000">
            <w:pPr>
              <w:spacing w:after="30"/>
            </w:pPr>
            <w:r>
              <w:rPr>
                <w:sz w:val="16"/>
                <w:szCs w:val="16"/>
              </w:rPr>
              <w:t>Title: [per A.5]</w:t>
            </w:r>
          </w:p>
          <w:p w14:paraId="0DB09A51" w14:textId="77777777" w:rsidR="00E94176" w:rsidRDefault="00000000">
            <w:r>
              <w:rPr>
                <w:sz w:val="16"/>
                <w:szCs w:val="16"/>
              </w:rPr>
              <w:t>Date:</w:t>
            </w:r>
          </w:p>
        </w:tc>
      </w:tr>
      <w:tr w:rsidR="00E94176" w14:paraId="02891F4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2A3D18A0" w14:textId="77777777" w:rsidR="00E94176" w:rsidRDefault="00000000">
            <w:pPr>
              <w:spacing w:after="40"/>
            </w:pPr>
            <w:r>
              <w:rPr>
                <w:b/>
                <w:bCs/>
              </w:rPr>
              <w:t>LANDOWNER / GRONDEIGENAAR</w:t>
            </w:r>
          </w:p>
          <w:p w14:paraId="04E68620" w14:textId="77777777" w:rsidR="00E94176" w:rsidRDefault="00000000">
            <w:pPr>
              <w:spacing w:after="40"/>
            </w:pPr>
            <w:r>
              <w:rPr>
                <w:i/>
                <w:iCs/>
                <w:sz w:val="16"/>
                <w:szCs w:val="16"/>
              </w:rPr>
              <w:t>(if applicable / indien van toepassing)</w:t>
            </w:r>
          </w:p>
          <w:p w14:paraId="1AB41E7E" w14:textId="77777777" w:rsidR="00E94176" w:rsidRDefault="00000000">
            <w:pPr>
              <w:spacing w:before="80" w:after="40"/>
            </w:pPr>
            <w:r>
              <w:t>________________________________</w:t>
            </w:r>
          </w:p>
          <w:p w14:paraId="0B028957" w14:textId="77777777" w:rsidR="00E94176" w:rsidRDefault="00000000">
            <w:pPr>
              <w:spacing w:after="30"/>
            </w:pPr>
            <w:r>
              <w:rPr>
                <w:sz w:val="16"/>
                <w:szCs w:val="16"/>
              </w:rPr>
              <w:t>Name:</w:t>
            </w:r>
          </w:p>
          <w:p w14:paraId="7B5B7F9B" w14:textId="77777777" w:rsidR="00E94176" w:rsidRDefault="00000000">
            <w:pPr>
              <w:spacing w:after="30"/>
            </w:pPr>
            <w:r>
              <w:rPr>
                <w:sz w:val="16"/>
                <w:szCs w:val="16"/>
              </w:rPr>
              <w:t>Title:</w:t>
            </w:r>
          </w:p>
          <w:p w14:paraId="003B5593" w14:textId="77777777" w:rsidR="00E94176" w:rsidRDefault="00000000">
            <w:r>
              <w:rPr>
                <w:sz w:val="16"/>
                <w:szCs w:val="16"/>
              </w:rPr>
              <w:t>Date:</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14:paraId="7F4E8A0B" w14:textId="77777777" w:rsidR="00E94176" w:rsidRDefault="00000000">
            <w:pPr>
              <w:spacing w:after="40"/>
            </w:pPr>
            <w:r>
              <w:rPr>
                <w:b/>
                <w:bCs/>
              </w:rPr>
              <w:t>LAND FINANCIER / GRONDFINANCIER</w:t>
            </w:r>
          </w:p>
          <w:p w14:paraId="0312B732" w14:textId="77777777" w:rsidR="00E94176" w:rsidRDefault="00000000">
            <w:pPr>
              <w:spacing w:after="40"/>
            </w:pPr>
            <w:r>
              <w:rPr>
                <w:i/>
                <w:iCs/>
                <w:sz w:val="16"/>
                <w:szCs w:val="16"/>
              </w:rPr>
              <w:t>(if applicable / indien van toepassing)</w:t>
            </w:r>
          </w:p>
          <w:p w14:paraId="000AA9F2" w14:textId="77777777" w:rsidR="00E94176" w:rsidRDefault="00000000">
            <w:pPr>
              <w:spacing w:before="80" w:after="40"/>
            </w:pPr>
            <w:r>
              <w:t>________________________________</w:t>
            </w:r>
          </w:p>
          <w:p w14:paraId="342665E9" w14:textId="77777777" w:rsidR="00E94176" w:rsidRDefault="00000000">
            <w:pPr>
              <w:spacing w:after="30"/>
            </w:pPr>
            <w:r>
              <w:rPr>
                <w:sz w:val="16"/>
                <w:szCs w:val="16"/>
              </w:rPr>
              <w:t>Name:</w:t>
            </w:r>
          </w:p>
          <w:p w14:paraId="40206093" w14:textId="77777777" w:rsidR="00E94176" w:rsidRDefault="00000000">
            <w:pPr>
              <w:spacing w:after="30"/>
            </w:pPr>
            <w:r>
              <w:rPr>
                <w:sz w:val="16"/>
                <w:szCs w:val="16"/>
              </w:rPr>
              <w:t>Title:</w:t>
            </w:r>
          </w:p>
          <w:p w14:paraId="3525B478" w14:textId="77777777" w:rsidR="00E94176" w:rsidRDefault="00000000">
            <w:r>
              <w:rPr>
                <w:sz w:val="16"/>
                <w:szCs w:val="16"/>
              </w:rPr>
              <w:t>Date:</w:t>
            </w:r>
          </w:p>
        </w:tc>
      </w:tr>
    </w:tbl>
    <w:p w14:paraId="6181F621" w14:textId="77777777" w:rsidR="00E94176" w:rsidRDefault="00000000">
      <w:pPr>
        <w:spacing w:before="200"/>
      </w:pPr>
      <w:r>
        <w:rPr>
          <w:b/>
          <w:bCs/>
        </w:rPr>
        <w:t xml:space="preserve">Annex A: </w:t>
      </w:r>
      <w:r>
        <w:t>Variable Schedule (integral part) / Variabelenoverzicht (integraal onderdeel)</w:t>
      </w:r>
    </w:p>
    <w:p w14:paraId="51CC3C30" w14:textId="77777777" w:rsidR="00E94176" w:rsidRDefault="00000000">
      <w:pPr>
        <w:spacing w:before="300"/>
        <w:jc w:val="center"/>
      </w:pPr>
      <w:r>
        <w:rPr>
          <w:i/>
          <w:iCs/>
          <w:sz w:val="16"/>
          <w:szCs w:val="16"/>
        </w:rPr>
        <w:t>— End of Heads of Terms / Einde Contractvoorwaarden —</w:t>
      </w:r>
    </w:p>
    <w:sectPr w:rsidR="00E94176">
      <w:footerReference w:type="default" r:id="rId7"/>
      <w:pgSz w:w="11906" w:h="16838"/>
      <w:pgMar w:top="108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0385" w14:textId="77777777" w:rsidR="006B3C19" w:rsidRDefault="006B3C19">
      <w:r>
        <w:separator/>
      </w:r>
    </w:p>
  </w:endnote>
  <w:endnote w:type="continuationSeparator" w:id="0">
    <w:p w14:paraId="458692F2" w14:textId="77777777" w:rsidR="006B3C19" w:rsidRDefault="006B3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133F" w14:textId="77777777" w:rsidR="00E94176"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23999">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2399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C459" w14:textId="77777777" w:rsidR="006B3C19" w:rsidRDefault="006B3C19">
      <w:r>
        <w:separator/>
      </w:r>
    </w:p>
  </w:footnote>
  <w:footnote w:type="continuationSeparator" w:id="0">
    <w:p w14:paraId="5096F180" w14:textId="77777777" w:rsidR="006B3C19" w:rsidRDefault="006B3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E3308"/>
    <w:multiLevelType w:val="hybridMultilevel"/>
    <w:tmpl w:val="E7D42EB6"/>
    <w:lvl w:ilvl="0" w:tplc="7C649468">
      <w:start w:val="1"/>
      <w:numFmt w:val="bullet"/>
      <w:lvlText w:val="●"/>
      <w:lvlJc w:val="left"/>
      <w:pPr>
        <w:ind w:left="720" w:hanging="360"/>
      </w:pPr>
    </w:lvl>
    <w:lvl w:ilvl="1" w:tplc="F5D81184">
      <w:start w:val="1"/>
      <w:numFmt w:val="bullet"/>
      <w:lvlText w:val="○"/>
      <w:lvlJc w:val="left"/>
      <w:pPr>
        <w:ind w:left="1440" w:hanging="360"/>
      </w:pPr>
    </w:lvl>
    <w:lvl w:ilvl="2" w:tplc="6D025C26">
      <w:start w:val="1"/>
      <w:numFmt w:val="bullet"/>
      <w:lvlText w:val="■"/>
      <w:lvlJc w:val="left"/>
      <w:pPr>
        <w:ind w:left="2160" w:hanging="360"/>
      </w:pPr>
    </w:lvl>
    <w:lvl w:ilvl="3" w:tplc="A57C0B6A">
      <w:start w:val="1"/>
      <w:numFmt w:val="bullet"/>
      <w:lvlText w:val="●"/>
      <w:lvlJc w:val="left"/>
      <w:pPr>
        <w:ind w:left="2880" w:hanging="360"/>
      </w:pPr>
    </w:lvl>
    <w:lvl w:ilvl="4" w:tplc="3CF04224">
      <w:start w:val="1"/>
      <w:numFmt w:val="bullet"/>
      <w:lvlText w:val="○"/>
      <w:lvlJc w:val="left"/>
      <w:pPr>
        <w:ind w:left="3600" w:hanging="360"/>
      </w:pPr>
    </w:lvl>
    <w:lvl w:ilvl="5" w:tplc="B546B678">
      <w:start w:val="1"/>
      <w:numFmt w:val="bullet"/>
      <w:lvlText w:val="■"/>
      <w:lvlJc w:val="left"/>
      <w:pPr>
        <w:ind w:left="4320" w:hanging="360"/>
      </w:pPr>
    </w:lvl>
    <w:lvl w:ilvl="6" w:tplc="8886DDA8">
      <w:start w:val="1"/>
      <w:numFmt w:val="bullet"/>
      <w:lvlText w:val="●"/>
      <w:lvlJc w:val="left"/>
      <w:pPr>
        <w:ind w:left="5040" w:hanging="360"/>
      </w:pPr>
    </w:lvl>
    <w:lvl w:ilvl="7" w:tplc="1FD82DB0">
      <w:start w:val="1"/>
      <w:numFmt w:val="bullet"/>
      <w:lvlText w:val="●"/>
      <w:lvlJc w:val="left"/>
      <w:pPr>
        <w:ind w:left="5760" w:hanging="360"/>
      </w:pPr>
    </w:lvl>
    <w:lvl w:ilvl="8" w:tplc="12464ADE">
      <w:start w:val="1"/>
      <w:numFmt w:val="bullet"/>
      <w:lvlText w:val="●"/>
      <w:lvlJc w:val="left"/>
      <w:pPr>
        <w:ind w:left="6480" w:hanging="360"/>
      </w:pPr>
    </w:lvl>
  </w:abstractNum>
  <w:num w:numId="1" w16cid:durableId="2030177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176"/>
    <w:rsid w:val="006B3C19"/>
    <w:rsid w:val="00723999"/>
    <w:rsid w:val="00E94176"/>
    <w:rsid w:val="00EC477F"/>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decimalSymbol w:val="."/>
  <w:listSeparator w:val=","/>
  <w14:docId w14:val="488DC0F8"/>
  <w15:docId w15:val="{D479D48E-40E1-0E46-94C3-44E98479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CH"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5961</Words>
  <Characters>33980</Characters>
  <Application>Microsoft Office Word</Application>
  <DocSecurity>0</DocSecurity>
  <Lines>283</Lines>
  <Paragraphs>79</Paragraphs>
  <ScaleCrop>false</ScaleCrop>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2026-02-10T13:26:00Z</dcterms:created>
  <dcterms:modified xsi:type="dcterms:W3CDTF">2026-02-10T13:26:00Z</dcterms:modified>
</cp:coreProperties>
</file>