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 w:after="0"/>
      </w:pPr>
    </w:p>
    <w:p>
      <w:pPr>
        <w:spacing w:before="160" w:after="80"/>
      </w:pPr>
      <w:r>
        <w:rPr>
          <w:rFonts w:ascii="Inter" w:hAnsi="Inter" w:cs="Arial" w:eastAsia="Arial"/>
          <w:b/>
          <w:i w:val="0"/>
          <w:color w:val="0F172A"/>
          <w:sz w:val="56"/>
        </w:rPr>
        <w:t>Investment Memorandum</w:t>
      </w:r>
    </w:p>
    <w:p>
      <w:pPr>
        <w:spacing w:before="40" w:after="0"/>
      </w:pPr>
      <w:r>
        <w:rPr>
          <w:rFonts w:ascii="Inter" w:hAnsi="Inter" w:cs="Arial" w:eastAsia="Arial"/>
          <w:b w:val="0"/>
          <w:i w:val="0"/>
          <w:color w:val="1E293B"/>
          <w:sz w:val="28"/>
        </w:rPr>
        <w:t>European Sovereign AI Infrastructure</w:t>
      </w:r>
    </w:p>
    <w:p>
      <w:pPr>
        <w:spacing w:before="320" w:after="0"/>
      </w:pPr>
      <w:r>
        <w:rPr>
          <w:rFonts w:ascii="Inter" w:hAnsi="Inter" w:cs="Arial" w:eastAsia="Arial"/>
          <w:b w:val="0"/>
          <w:i w:val="0"/>
          <w:color w:val="0F172A"/>
          <w:sz w:val="22"/>
        </w:rPr>
        <w:t>17 April 2026</w:t>
      </w:r>
    </w:p>
    <w:p>
      <w:pPr>
        <w:spacing w:before="800" w:after="0"/>
      </w:pPr>
    </w:p>
    <w:p>
      <w:pPr>
        <w:spacing w:before="0" w:after="40"/>
      </w:pPr>
      <w:r>
        <w:rPr>
          <w:rFonts w:ascii="Inter" w:hAnsi="Inter" w:cs="Arial" w:eastAsia="Arial"/>
          <w:b w:val="0"/>
          <w:i w:val="0"/>
          <w:color w:val="0034AF"/>
          <w:sz w:val="20"/>
        </w:rPr>
        <w:t>Prepared by:</w:t>
      </w:r>
    </w:p>
    <w:p>
      <w:pPr>
        <w:spacing w:before="0" w:after="0"/>
      </w:pPr>
      <w:r>
        <w:rPr>
          <w:rFonts w:ascii="Inter" w:hAnsi="Inter" w:cs="Arial" w:eastAsia="Arial"/>
          <w:b/>
          <w:i w:val="0"/>
          <w:color w:val="0F172A"/>
          <w:sz w:val="22"/>
        </w:rPr>
        <w:t>Digital Energy Group AG</w:t>
      </w:r>
    </w:p>
    <w:p>
      <w:pPr>
        <w:spacing w:before="0" w:after="0"/>
      </w:pPr>
      <w:r>
        <w:rPr>
          <w:rFonts w:ascii="Inter" w:hAnsi="Inter" w:cs="Arial" w:eastAsia="Arial"/>
          <w:b w:val="0"/>
          <w:i w:val="0"/>
          <w:color w:val="0F172A"/>
          <w:sz w:val="20"/>
        </w:rPr>
        <w:t>Baarerstrasse 43, 6300 Zug, Switzerland</w:t>
      </w:r>
    </w:p>
    <w:p>
      <w:pPr>
        <w:spacing w:before="240" w:after="40"/>
      </w:pPr>
      <w:r>
        <w:rPr>
          <w:rFonts w:ascii="Inter" w:hAnsi="Inter" w:cs="Arial" w:eastAsia="Arial"/>
          <w:b w:val="0"/>
          <w:i w:val="0"/>
          <w:color w:val="0034AF"/>
          <w:sz w:val="20"/>
        </w:rPr>
        <w:t>Prepared for:</w:t>
      </w:r>
    </w:p>
    <w:p>
      <w:pPr>
        <w:spacing w:before="0" w:after="0"/>
      </w:pPr>
      <w:r>
        <w:rPr>
          <w:rFonts w:ascii="Inter" w:hAnsi="Inter" w:cs="Arial" w:eastAsia="Arial"/>
          <w:b/>
          <w:i w:val="0"/>
          <w:color w:val="0F172A"/>
          <w:sz w:val="22"/>
        </w:rPr>
        <w:t>Test Infrastructure Partners</w:t>
      </w:r>
    </w:p>
    <w:p>
      <w:pPr>
        <w:spacing w:before="800" w:after="0"/>
      </w:pPr>
    </w:p>
    <w:p>
      <w:pPr>
        <w:spacing w:before="40" w:after="40"/>
      </w:pPr>
      <w:r>
        <w:rPr>
          <w:rFonts w:ascii="Inter" w:hAnsi="Inter" w:cs="Arial" w:eastAsia="Arial"/>
          <w:b/>
          <w:i w:val="0"/>
          <w:color w:val="0034AF"/>
          <w:sz w:val="20"/>
        </w:rPr>
        <w:t xml:space="preserve">Version:  </w:t>
      </w:r>
      <w:r>
        <w:rPr>
          <w:rFonts w:ascii="Inter" w:hAnsi="Inter" w:cs="Arial" w:eastAsia="Arial"/>
          <w:b w:val="0"/>
          <w:i w:val="0"/>
          <w:color w:val="0F172A"/>
          <w:sz w:val="20"/>
        </w:rPr>
        <w:t>v1</w:t>
      </w:r>
    </w:p>
    <w:p>
      <w:pPr>
        <w:spacing w:before="40" w:after="40"/>
      </w:pPr>
      <w:r>
        <w:rPr>
          <w:rFonts w:ascii="Inter" w:hAnsi="Inter" w:cs="Arial" w:eastAsia="Arial"/>
          <w:b/>
          <w:i w:val="0"/>
          <w:color w:val="0034AF"/>
          <w:sz w:val="20"/>
        </w:rPr>
        <w:t xml:space="preserve">Classification:  </w:t>
      </w:r>
      <w:r>
        <w:rPr>
          <w:rFonts w:ascii="Inter" w:hAnsi="Inter" w:cs="Arial" w:eastAsia="Arial"/>
          <w:b w:val="0"/>
          <w:i w:val="0"/>
          <w:color w:val="0F172A"/>
          <w:sz w:val="20"/>
        </w:rPr>
        <w:t>Confidential</w:t>
      </w:r>
    </w:p>
    <w:p>
      <w:r>
        <w:br w:type="page"/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1. Executive Overview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One-page standalone summary: investment thesis, key metrics, round details, why now.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2. Asset Overview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DEC architecture: modular 4.2 MW, liquid cooling (40-140 kW/rack, PUE 1.2), heat integration, BESS, Super-Factory concept.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3. Market Dynamics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EU AI compute demand, Dutch grid congestion (60 GW queue), Wcw regulation, SDE++ subsidies, restwarmteplicht.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4. Business Model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Four fee streams: colocation (EUR/kW/month), heat (EUR/MWh + CPI), BESS, development fees. DevCo/HoldCo recycling. AG structure.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5. Pipeline &amp; Traction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14 sites, 600 MW, 12M m² greenhouse area. Pipeline table: site, location, MW, status, target FID. Lead projects: Fonti, PowerGrow.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6. Unit Economics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Per-DEC: CAPEX/MW, revenue/MW, EBITDA margin, payback, IRR. Three scenarios (conservative/base/optimistic). Source: FM v3.51.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7. Risk Factors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Grid/DSO, permitting, technology, market, regulatory, execution risks. Each with probability, impact, mitigant.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8. Financial Projections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3-5 year projections: revenue, EBITDA, cash flow, CAPEX, net debt. Three scenarios. Key assumptions stated.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9. Capital Structure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Current cap table, round terms, use of proceeds breakdown, pro forma post-raise.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10. Appendix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Site profiles, FM v3.51 outputs, team bios, glossary (Wcw, SDE++, transportschaarste, omgevingsvergunning, recht van opstal).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417" w:right="1134" w:bottom="198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4748B"/>
        <w:sz w:val="14"/>
      </w:rPr>
      <w:t>Digital Energy Group AG  ·  Baarerstrasse 43, 6300 Zug, Switzerland  ·  CHE-408.639.320  ·  digital-energy.group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4748B"/>
        <w:sz w:val="14"/>
      </w:rPr>
      <w:t>Digital Energy Group AG  ·  Baarerstrasse 43, 6300 Zug, Switzerland  ·  CHE-408.639.320  ·  digital-energy.group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50114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0114" cy="432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</w:pPr>
    <w:r>
      <w:drawing>
        <wp:inline xmlns:a="http://schemas.openxmlformats.org/drawingml/2006/main" xmlns:pic="http://schemas.openxmlformats.org/drawingml/2006/picture">
          <wp:extent cx="766742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6742" cy="288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Inter" w:hAnsi="Inter"/>
        <w:color w:val="64748B"/>
        <w:sz w:val="18"/>
      </w:rPr>
      <w:t>Investment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Memorandum</dc:title>
  <dc:subject/>
  <dc:creator>Digital Energy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