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Inter" w:hAnsi="Inter" w:cs="Arial" w:eastAsia="Arial"/>
          <w:b/>
          <w:i w:val="0"/>
          <w:color w:val="0F172A"/>
          <w:sz w:val="48"/>
        </w:rPr>
        <w:t>Test Executive Summary</w:t>
      </w:r>
    </w:p>
    <w:p>
      <w:r>
        <w:rPr>
          <w:rFonts w:ascii="Inter" w:hAnsi="Inter" w:cs="Arial" w:eastAsia="Arial"/>
          <w:b w:val="0"/>
          <w:i w:val="0"/>
          <w:color w:val="64748B"/>
          <w:sz w:val="20"/>
        </w:rPr>
        <w:t>17 April 2026</w:t>
      </w:r>
    </w:p>
    <w:p>
      <w:pPr>
        <w:spacing w:before="0" w:after="240" w:line="20" w:lineRule="exact"/>
      </w:pPr>
      <w:r>
        <w:rPr>
          <w:sz w:val="2"/>
        </w:rPr>
      </w:r>
    </w:p>
    <w:tbl>
      <w:tblPr>
        <w:tblStyle w:val="TableGrid"/>
        <w:tblW w:w="9354" w:type="dxa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34AF"/>
            <w:vAlign w:val="center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/>
                <w:i w:val="0"/>
                <w:color w:val="FFFFFF"/>
                <w:sz w:val="20"/>
              </w:rPr>
              <w:t>[Metric 1]</w:t>
            </w:r>
          </w:p>
        </w:tc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34AF"/>
            <w:vAlign w:val="center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/>
                <w:i w:val="0"/>
                <w:color w:val="FFFFFF"/>
                <w:sz w:val="20"/>
              </w:rPr>
              <w:t>[Metric 2]</w:t>
            </w:r>
          </w:p>
        </w:tc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34AF"/>
            <w:vAlign w:val="center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/>
                <w:i w:val="0"/>
                <w:color w:val="FFFFFF"/>
                <w:sz w:val="20"/>
              </w:rPr>
              <w:t>[Metric 3]</w:t>
            </w:r>
          </w:p>
        </w:tc>
      </w:tr>
      <w:tr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top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 w:val="0"/>
                <w:i w:val="0"/>
                <w:color w:val="1E293B"/>
                <w:sz w:val="20"/>
              </w:rPr>
              <w:t>[Value]</w:t>
            </w:r>
          </w:p>
        </w:tc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top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 w:val="0"/>
                <w:i w:val="0"/>
                <w:color w:val="1E293B"/>
                <w:sz w:val="20"/>
              </w:rPr>
              <w:t>[Value]</w:t>
            </w:r>
          </w:p>
        </w:tc>
        <w:tc>
          <w:tcPr>
            <w:tcW w:type="dxa" w:w="311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top"/>
          </w:tcPr>
          <w:p>
            <w:pPr>
              <w:spacing w:before="60" w:after="60"/>
            </w:pPr>
            <w:r/>
            <w:r>
              <w:rPr>
                <w:rFonts w:ascii="Inter" w:hAnsi="Inter" w:cs="Arial" w:eastAsia="Arial"/>
                <w:b w:val="0"/>
                <w:i w:val="0"/>
                <w:color w:val="1E293B"/>
                <w:sz w:val="20"/>
              </w:rPr>
              <w:t>[Value]</w:t>
            </w:r>
          </w:p>
        </w:tc>
      </w:tr>
    </w:tbl>
    <w:p>
      <w:pPr>
        <w:spacing w:before="240" w:after="0" w:line="20" w:lineRule="exact"/>
      </w:pPr>
      <w:r>
        <w:rPr>
          <w:sz w:val="2"/>
        </w:rPr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Context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[Why this document exists. 2-3 sentences setting the scene.]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Key Findings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[3-5 numbered findings, each 1-2 sentences. Lead with conclusion, then evidence.]</w:t>
      </w:r>
    </w:p>
    <w:p>
      <w:r>
        <w:br w:type="page"/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Analysis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[Supporting detail. Can include a summary table.]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Recommendation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[What to do, by when, who owns it. 3-5 sentences max.]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Next Steps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[3-5 numbered action items: action + owner + deadline.]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4748B"/>
        <w:sz w:val="14"/>
      </w:rPr>
      <w:t>Digital Energy Group AG  ·  Baarerstrasse 43, 6300 Zug, Switzerland  ·  CHE-408.639.320  ·  digital-energy.group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</w:pPr>
    <w:r>
      <w:drawing>
        <wp:inline xmlns:a="http://schemas.openxmlformats.org/drawingml/2006/main" xmlns:pic="http://schemas.openxmlformats.org/drawingml/2006/picture">
          <wp:extent cx="766742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_Logo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6742" cy="288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Inter" w:hAnsi="Inter"/>
        <w:color w:val="64748B"/>
        <w:sz w:val="18"/>
      </w:rPr>
      <w:t>Test Executive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Executive Summary</dc:title>
  <dc:subject/>
  <dc:creator>Digital Energy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