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00" w:after="0"/>
      </w:pPr>
    </w:p>
    <w:p>
      <w:pPr>
        <w:spacing w:before="160" w:after="80"/>
      </w:pPr>
      <w:r>
        <w:rPr>
          <w:rFonts w:ascii="Inter" w:hAnsi="Inter" w:cs="Arial" w:eastAsia="Arial"/>
          <w:b/>
          <w:i w:val="0"/>
          <w:color w:val="0F172A"/>
          <w:sz w:val="56"/>
        </w:rPr>
        <w:t>Investment Memorandum</w:t>
      </w:r>
    </w:p>
    <w:p>
      <w:pPr>
        <w:spacing w:before="40" w:after="0"/>
      </w:pPr>
      <w:r>
        <w:rPr>
          <w:rFonts w:ascii="Inter" w:hAnsi="Inter" w:cs="Arial" w:eastAsia="Arial"/>
          <w:b w:val="0"/>
          <w:i w:val="0"/>
          <w:color w:val="1E293B"/>
          <w:sz w:val="28"/>
        </w:rPr>
        <w:t>European Sovereign AI Infrastructure</w:t>
      </w:r>
    </w:p>
    <w:p>
      <w:pPr>
        <w:spacing w:before="320" w:after="0"/>
      </w:pPr>
      <w:r>
        <w:rPr>
          <w:rFonts w:ascii="Inter" w:hAnsi="Inter" w:cs="Arial" w:eastAsia="Arial"/>
          <w:b w:val="0"/>
          <w:i w:val="0"/>
          <w:color w:val="0F172A"/>
          <w:sz w:val="22"/>
        </w:rPr>
        <w:t>17 April 2026</w:t>
      </w:r>
    </w:p>
    <w:p>
      <w:pPr>
        <w:spacing w:before="800" w:after="0"/>
      </w:pPr>
    </w:p>
    <w:p>
      <w:pPr>
        <w:spacing w:before="0" w:after="40"/>
      </w:pPr>
      <w:r>
        <w:rPr>
          <w:rFonts w:ascii="Inter" w:hAnsi="Inter" w:cs="Arial" w:eastAsia="Arial"/>
          <w:b w:val="0"/>
          <w:i w:val="0"/>
          <w:color w:val="0034AF"/>
          <w:sz w:val="20"/>
        </w:rPr>
        <w:t>Prepared by:</w:t>
      </w:r>
    </w:p>
    <w:p>
      <w:pPr>
        <w:spacing w:before="0" w:after="0"/>
      </w:pPr>
      <w:r>
        <w:rPr>
          <w:rFonts w:ascii="Inter" w:hAnsi="Inter" w:cs="Arial" w:eastAsia="Arial"/>
          <w:b/>
          <w:i w:val="0"/>
          <w:color w:val="0F172A"/>
          <w:sz w:val="22"/>
        </w:rPr>
        <w:t>Digital Energy Group AG</w:t>
      </w:r>
    </w:p>
    <w:p>
      <w:pPr>
        <w:spacing w:before="0" w:after="0"/>
      </w:pPr>
      <w:r>
        <w:rPr>
          <w:rFonts w:ascii="Inter" w:hAnsi="Inter" w:cs="Arial" w:eastAsia="Arial"/>
          <w:b w:val="0"/>
          <w:i w:val="0"/>
          <w:color w:val="0F172A"/>
          <w:sz w:val="20"/>
        </w:rPr>
        <w:t>Baarerstrasse 43, 6300 Zug, Switzerland</w:t>
      </w:r>
    </w:p>
    <w:p>
      <w:pPr>
        <w:spacing w:before="240" w:after="40"/>
      </w:pPr>
      <w:r>
        <w:rPr>
          <w:rFonts w:ascii="Inter" w:hAnsi="Inter" w:cs="Arial" w:eastAsia="Arial"/>
          <w:b w:val="0"/>
          <w:i w:val="0"/>
          <w:color w:val="0034AF"/>
          <w:sz w:val="20"/>
        </w:rPr>
        <w:t>Prepared for:</w:t>
      </w:r>
    </w:p>
    <w:p>
      <w:pPr>
        <w:spacing w:before="0" w:after="0"/>
      </w:pPr>
      <w:r>
        <w:rPr>
          <w:rFonts w:ascii="Inter" w:hAnsi="Inter" w:cs="Arial" w:eastAsia="Arial"/>
          <w:b/>
          <w:i w:val="0"/>
          <w:color w:val="0F172A"/>
          <w:sz w:val="22"/>
        </w:rPr>
        <w:t>Test Infrastructure Partners</w:t>
      </w:r>
    </w:p>
    <w:p>
      <w:pPr>
        <w:spacing w:before="800" w:after="0"/>
      </w:pPr>
    </w:p>
    <w:p>
      <w:pPr>
        <w:spacing w:before="40" w:after="40"/>
      </w:pPr>
      <w:r>
        <w:rPr>
          <w:rFonts w:ascii="Inter" w:hAnsi="Inter" w:cs="Arial" w:eastAsia="Arial"/>
          <w:b/>
          <w:i w:val="0"/>
          <w:color w:val="0034AF"/>
          <w:sz w:val="20"/>
        </w:rPr>
        <w:t xml:space="preserve">Version:  </w:t>
      </w:r>
      <w:r>
        <w:rPr>
          <w:rFonts w:ascii="Inter" w:hAnsi="Inter" w:cs="Arial" w:eastAsia="Arial"/>
          <w:b w:val="0"/>
          <w:i w:val="0"/>
          <w:color w:val="0F172A"/>
          <w:sz w:val="20"/>
        </w:rPr>
        <w:t>v1</w:t>
      </w:r>
    </w:p>
    <w:p>
      <w:pPr>
        <w:spacing w:before="40" w:after="40"/>
      </w:pPr>
      <w:r>
        <w:rPr>
          <w:rFonts w:ascii="Inter" w:hAnsi="Inter" w:cs="Arial" w:eastAsia="Arial"/>
          <w:b/>
          <w:i w:val="0"/>
          <w:color w:val="0034AF"/>
          <w:sz w:val="20"/>
        </w:rPr>
        <w:t xml:space="preserve">Classification:  </w:t>
      </w:r>
      <w:r>
        <w:rPr>
          <w:rFonts w:ascii="Inter" w:hAnsi="Inter" w:cs="Arial" w:eastAsia="Arial"/>
          <w:b w:val="0"/>
          <w:i w:val="0"/>
          <w:color w:val="0F172A"/>
          <w:sz w:val="20"/>
        </w:rPr>
        <w:t>Confidential</w:t>
      </w:r>
    </w:p>
    <w:p>
      <w:r>
        <w:br w:type="page"/>
      </w:r>
    </w:p>
    <w:p>
      <w:pPr>
        <w:keepNext/>
        <w:spacing w:before="360" w:after="120"/>
      </w:pPr>
      <w:r>
        <w:rPr>
          <w:rFonts w:ascii="Inter" w:hAnsi="Inter" w:cs="Arial" w:eastAsia="Arial"/>
          <w:b/>
          <w:i w:val="0"/>
          <w:color w:val="0F172A"/>
          <w:sz w:val="36"/>
        </w:rPr>
        <w:t>1. Executive Overview</w:t>
      </w:r>
    </w:p>
    <w:p>
      <w:pPr>
        <w:widowControl/>
        <w:spacing w:before="0" w:after="120"/>
      </w:pPr>
      <w:r>
        <w:rPr>
          <w:rFonts w:ascii="Inter" w:hAnsi="Inter" w:cs="Arial" w:eastAsia="Arial"/>
          <w:b w:val="0"/>
          <w:i/>
          <w:color w:val="64748B"/>
          <w:sz w:val="22"/>
        </w:rPr>
        <w:t>One-page standalone summary: investment thesis, key metrics, round details, why now.</w:t>
      </w:r>
    </w:p>
    <w:p>
      <w:pPr>
        <w:keepNext/>
        <w:spacing w:before="360" w:after="120"/>
      </w:pPr>
      <w:r>
        <w:rPr>
          <w:rFonts w:ascii="Inter" w:hAnsi="Inter" w:cs="Arial" w:eastAsia="Arial"/>
          <w:b/>
          <w:i w:val="0"/>
          <w:color w:val="0F172A"/>
          <w:sz w:val="36"/>
        </w:rPr>
        <w:t>2. Asset Overview</w:t>
      </w:r>
    </w:p>
    <w:p>
      <w:pPr>
        <w:widowControl/>
        <w:spacing w:before="0" w:after="120"/>
      </w:pPr>
      <w:r>
        <w:rPr>
          <w:rFonts w:ascii="Inter" w:hAnsi="Inter" w:cs="Arial" w:eastAsia="Arial"/>
          <w:b w:val="0"/>
          <w:i/>
          <w:color w:val="64748B"/>
          <w:sz w:val="22"/>
        </w:rPr>
        <w:t>DEC architecture: modular 4.2 MW, liquid cooling (40-140 kW/rack, PUE 1.2), heat integration, BESS, Super-Factory concept.</w:t>
      </w:r>
    </w:p>
    <w:p>
      <w:pPr>
        <w:keepNext/>
        <w:spacing w:before="360" w:after="120"/>
      </w:pPr>
      <w:r>
        <w:rPr>
          <w:rFonts w:ascii="Inter" w:hAnsi="Inter" w:cs="Arial" w:eastAsia="Arial"/>
          <w:b/>
          <w:i w:val="0"/>
          <w:color w:val="0F172A"/>
          <w:sz w:val="36"/>
        </w:rPr>
        <w:t>3. Market Dynamics</w:t>
      </w:r>
    </w:p>
    <w:p>
      <w:pPr>
        <w:widowControl/>
        <w:spacing w:before="0" w:after="120"/>
      </w:pPr>
      <w:r>
        <w:rPr>
          <w:rFonts w:ascii="Inter" w:hAnsi="Inter" w:cs="Arial" w:eastAsia="Arial"/>
          <w:b w:val="0"/>
          <w:i/>
          <w:color w:val="64748B"/>
          <w:sz w:val="22"/>
        </w:rPr>
        <w:t>EU AI compute demand, Dutch grid congestion (60 GW queue), Wcw regulation, SDE++ subsidies, restwarmteplicht.</w:t>
      </w:r>
    </w:p>
    <w:p>
      <w:pPr>
        <w:keepNext/>
        <w:spacing w:before="360" w:after="120"/>
      </w:pPr>
      <w:r>
        <w:rPr>
          <w:rFonts w:ascii="Inter" w:hAnsi="Inter" w:cs="Arial" w:eastAsia="Arial"/>
          <w:b/>
          <w:i w:val="0"/>
          <w:color w:val="0F172A"/>
          <w:sz w:val="36"/>
        </w:rPr>
        <w:t>4. Business Model</w:t>
      </w:r>
    </w:p>
    <w:p>
      <w:pPr>
        <w:widowControl/>
        <w:spacing w:before="0" w:after="120"/>
      </w:pPr>
      <w:r>
        <w:rPr>
          <w:rFonts w:ascii="Inter" w:hAnsi="Inter" w:cs="Arial" w:eastAsia="Arial"/>
          <w:b w:val="0"/>
          <w:i/>
          <w:color w:val="64748B"/>
          <w:sz w:val="22"/>
        </w:rPr>
        <w:t>Four fee streams: colocation (EUR/kW/month), heat (EUR/MWh + CPI), BESS, development fees. DevCo/HoldCo recycling. AG structure.</w:t>
      </w:r>
    </w:p>
    <w:p>
      <w:pPr>
        <w:keepNext/>
        <w:spacing w:before="360" w:after="120"/>
      </w:pPr>
      <w:r>
        <w:rPr>
          <w:rFonts w:ascii="Inter" w:hAnsi="Inter" w:cs="Arial" w:eastAsia="Arial"/>
          <w:b/>
          <w:i w:val="0"/>
          <w:color w:val="0F172A"/>
          <w:sz w:val="36"/>
        </w:rPr>
        <w:t>5. Pipeline &amp; Traction</w:t>
      </w:r>
    </w:p>
    <w:p>
      <w:pPr>
        <w:widowControl/>
        <w:spacing w:before="0" w:after="120"/>
      </w:pPr>
      <w:r>
        <w:rPr>
          <w:rFonts w:ascii="Inter" w:hAnsi="Inter" w:cs="Arial" w:eastAsia="Arial"/>
          <w:b w:val="0"/>
          <w:i/>
          <w:color w:val="64748B"/>
          <w:sz w:val="22"/>
        </w:rPr>
        <w:t>14 sites, 600 MW, 12M m² greenhouse area. Pipeline table: site, location, MW, status, target FID. Lead projects: Fonti, PowerGrow.</w:t>
      </w:r>
    </w:p>
    <w:p>
      <w:pPr>
        <w:keepNext/>
        <w:spacing w:before="360" w:after="120"/>
      </w:pPr>
      <w:r>
        <w:rPr>
          <w:rFonts w:ascii="Inter" w:hAnsi="Inter" w:cs="Arial" w:eastAsia="Arial"/>
          <w:b/>
          <w:i w:val="0"/>
          <w:color w:val="0F172A"/>
          <w:sz w:val="36"/>
        </w:rPr>
        <w:t>6. Unit Economics</w:t>
      </w:r>
    </w:p>
    <w:p>
      <w:pPr>
        <w:widowControl/>
        <w:spacing w:before="0" w:after="120"/>
      </w:pPr>
      <w:r>
        <w:rPr>
          <w:rFonts w:ascii="Inter" w:hAnsi="Inter" w:cs="Arial" w:eastAsia="Arial"/>
          <w:b w:val="0"/>
          <w:i/>
          <w:color w:val="64748B"/>
          <w:sz w:val="22"/>
        </w:rPr>
        <w:t>Per-DEC: CAPEX/MW, revenue/MW, EBITDA margin, payback, IRR. Three scenarios (conservative/base/optimistic). Source: FM v3.51.</w:t>
      </w:r>
    </w:p>
    <w:p>
      <w:pPr>
        <w:keepNext/>
        <w:spacing w:before="360" w:after="120"/>
      </w:pPr>
      <w:r>
        <w:rPr>
          <w:rFonts w:ascii="Inter" w:hAnsi="Inter" w:cs="Arial" w:eastAsia="Arial"/>
          <w:b/>
          <w:i w:val="0"/>
          <w:color w:val="0F172A"/>
          <w:sz w:val="36"/>
        </w:rPr>
        <w:t>7. Risk Factors</w:t>
      </w:r>
    </w:p>
    <w:p>
      <w:pPr>
        <w:widowControl/>
        <w:spacing w:before="0" w:after="120"/>
      </w:pPr>
      <w:r>
        <w:rPr>
          <w:rFonts w:ascii="Inter" w:hAnsi="Inter" w:cs="Arial" w:eastAsia="Arial"/>
          <w:b w:val="0"/>
          <w:i/>
          <w:color w:val="64748B"/>
          <w:sz w:val="22"/>
        </w:rPr>
        <w:t>Grid/DSO, permitting, technology, market, regulatory, execution risks. Each with probability, impact, mitigant.</w:t>
      </w:r>
    </w:p>
    <w:p>
      <w:pPr>
        <w:keepNext/>
        <w:spacing w:before="360" w:after="120"/>
      </w:pPr>
      <w:r>
        <w:rPr>
          <w:rFonts w:ascii="Inter" w:hAnsi="Inter" w:cs="Arial" w:eastAsia="Arial"/>
          <w:b/>
          <w:i w:val="0"/>
          <w:color w:val="0F172A"/>
          <w:sz w:val="36"/>
        </w:rPr>
        <w:t>8. Financial Projections</w:t>
      </w:r>
    </w:p>
    <w:p>
      <w:pPr>
        <w:widowControl/>
        <w:spacing w:before="0" w:after="120"/>
      </w:pPr>
      <w:r>
        <w:rPr>
          <w:rFonts w:ascii="Inter" w:hAnsi="Inter" w:cs="Arial" w:eastAsia="Arial"/>
          <w:b w:val="0"/>
          <w:i/>
          <w:color w:val="64748B"/>
          <w:sz w:val="22"/>
        </w:rPr>
        <w:t>3-5 year projections: revenue, EBITDA, cash flow, CAPEX, net debt. Three scenarios. Key assumptions stated.</w:t>
      </w:r>
    </w:p>
    <w:p>
      <w:pPr>
        <w:keepNext/>
        <w:spacing w:before="360" w:after="120"/>
      </w:pPr>
      <w:r>
        <w:rPr>
          <w:rFonts w:ascii="Inter" w:hAnsi="Inter" w:cs="Arial" w:eastAsia="Arial"/>
          <w:b/>
          <w:i w:val="0"/>
          <w:color w:val="0F172A"/>
          <w:sz w:val="36"/>
        </w:rPr>
        <w:t>9. Capital Structure</w:t>
      </w:r>
    </w:p>
    <w:p>
      <w:pPr>
        <w:widowControl/>
        <w:spacing w:before="0" w:after="120"/>
      </w:pPr>
      <w:r>
        <w:rPr>
          <w:rFonts w:ascii="Inter" w:hAnsi="Inter" w:cs="Arial" w:eastAsia="Arial"/>
          <w:b w:val="0"/>
          <w:i/>
          <w:color w:val="64748B"/>
          <w:sz w:val="22"/>
        </w:rPr>
        <w:t>Current cap table, round terms, use of proceeds breakdown, pro forma post-raise.</w:t>
      </w:r>
    </w:p>
    <w:p>
      <w:pPr>
        <w:keepNext/>
        <w:spacing w:before="360" w:after="120"/>
      </w:pPr>
      <w:r>
        <w:rPr>
          <w:rFonts w:ascii="Inter" w:hAnsi="Inter" w:cs="Arial" w:eastAsia="Arial"/>
          <w:b/>
          <w:i w:val="0"/>
          <w:color w:val="0F172A"/>
          <w:sz w:val="36"/>
        </w:rPr>
        <w:t>10. Appendix</w:t>
      </w:r>
    </w:p>
    <w:p>
      <w:pPr>
        <w:widowControl/>
        <w:spacing w:before="0" w:after="120"/>
      </w:pPr>
      <w:r>
        <w:rPr>
          <w:rFonts w:ascii="Inter" w:hAnsi="Inter" w:cs="Arial" w:eastAsia="Arial"/>
          <w:b w:val="0"/>
          <w:i/>
          <w:color w:val="64748B"/>
          <w:sz w:val="22"/>
        </w:rPr>
        <w:t>Site profiles, FM v3.51 outputs, team bios, glossary (Wcw, SDE++, transportschaarste, omgevingsvergunning, recht van opstal).</w:t>
      </w:r>
    </w:p>
    <w:sectPr w:rsidR="00FC693F" w:rsidRPr="0006063C" w:rsidSect="00034616">
      <w:headerReference w:type="first" r:id="rId9"/>
      <w:headerReference w:type="default" r:id="rId10"/>
      <w:footerReference w:type="first" r:id="rId11"/>
      <w:footerReference w:type="default" r:id="rId12"/>
      <w:pgSz w:w="11906" w:h="16838"/>
      <w:pgMar w:top="1417" w:right="1134" w:bottom="1984" w:left="141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354" w:val="right"/>
      </w:tabs>
    </w:pPr>
    <w:r>
      <w:rPr>
        <w:rFonts w:ascii="Inter" w:hAnsi="Inter"/>
        <w:color w:val="64748B"/>
        <w:sz w:val="14"/>
      </w:rPr>
      <w:t>Digital Energy Group AG  ·  Baarerstrasse 43, 6300 Zug, Switzerland  ·  CHE-408.639.320  ·  digital-energy.group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354" w:val="right"/>
      </w:tabs>
    </w:pPr>
    <w:r>
      <w:rPr>
        <w:rFonts w:ascii="Inter" w:hAnsi="Inter"/>
        <w:color w:val="64748B"/>
        <w:sz w:val="14"/>
      </w:rPr>
      <w:t>Digital Energy Group AG  ·  Baarerstrasse 43, 6300 Zug, Switzerland  ·  CHE-408.639.320  ·  digital-energy.group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150114" cy="432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DE_Logo_Black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50114" cy="432000"/>
                  </a:xfrm>
                  <a:prstGeom prst="rect"/>
                </pic:spPr>
              </pic:pic>
            </a:graphicData>
          </a:graphic>
        </wp:inline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54" w:val="right"/>
      </w:tabs>
    </w:pPr>
    <w:r>
      <w:drawing>
        <wp:inline xmlns:a="http://schemas.openxmlformats.org/drawingml/2006/main" xmlns:pic="http://schemas.openxmlformats.org/drawingml/2006/picture">
          <wp:extent cx="766742" cy="288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DE_Logo_Black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66742" cy="288000"/>
                  </a:xfrm>
                  <a:prstGeom prst="rect"/>
                </pic:spPr>
              </pic:pic>
            </a:graphicData>
          </a:graphic>
        </wp:inline>
      </w:drawing>
    </w:r>
    <w:r>
      <w:tab/>
    </w:r>
    <w:r>
      <w:rPr>
        <w:rFonts w:ascii="Inter" w:hAnsi="Inter"/>
        <w:color w:val="64748B"/>
        <w:sz w:val="18"/>
      </w:rPr>
      <w:t>Investment Memorandum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Investment Memorandum</dc:title>
  <dc:subject/>
  <dc:creator>Digital Energy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