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AA59" w14:textId="1FF17B49" w:rsidR="00C21EA8" w:rsidRDefault="009573E5" w:rsidP="009573E5">
      <w:pPr>
        <w:pStyle w:val="Cuerpo"/>
        <w:spacing w:line="360" w:lineRule="auto"/>
        <w:rPr>
          <w:rStyle w:val="Ninguno"/>
        </w:rPr>
      </w:pPr>
      <w:bookmarkStart w:id="0" w:name="_Toc165821170"/>
      <w:bookmarkStart w:id="1" w:name="_Toc165821268"/>
      <w:bookmarkStart w:id="2" w:name="_Toc165822643"/>
      <w:r>
        <w:rPr>
          <w:rStyle w:val="Ninguno"/>
          <w:noProof/>
        </w:rPr>
        <mc:AlternateContent>
          <mc:Choice Requires="wps">
            <w:drawing>
              <wp:anchor distT="80010" distB="80010" distL="80010" distR="80010" simplePos="0" relativeHeight="251659264" behindDoc="0" locked="0" layoutInCell="1" allowOverlap="1" wp14:anchorId="3B4510D0" wp14:editId="2B930673">
                <wp:simplePos x="0" y="0"/>
                <wp:positionH relativeFrom="column">
                  <wp:posOffset>1727835</wp:posOffset>
                </wp:positionH>
                <wp:positionV relativeFrom="line">
                  <wp:posOffset>6515100</wp:posOffset>
                </wp:positionV>
                <wp:extent cx="2696210" cy="1102360"/>
                <wp:effectExtent l="0" t="0" r="0" b="0"/>
                <wp:wrapSquare wrapText="bothSides" distT="80010" distB="80010" distL="80010" distR="80010"/>
                <wp:docPr id="1073741826" name="officeArt object" descr="Cuadro de texto 2"/>
                <wp:cNvGraphicFramePr/>
                <a:graphic xmlns:a="http://schemas.openxmlformats.org/drawingml/2006/main">
                  <a:graphicData uri="http://schemas.microsoft.com/office/word/2010/wordprocessingShape">
                    <wps:wsp>
                      <wps:cNvSpPr txBox="1"/>
                      <wps:spPr>
                        <a:xfrm>
                          <a:off x="0" y="0"/>
                          <a:ext cx="2696210" cy="1102360"/>
                        </a:xfrm>
                        <a:prstGeom prst="rect">
                          <a:avLst/>
                        </a:prstGeom>
                        <a:solidFill>
                          <a:srgbClr val="FFFFFF">
                            <a:alpha val="0"/>
                          </a:srgbClr>
                        </a:solidFill>
                        <a:ln w="12700" cap="flat">
                          <a:noFill/>
                          <a:miter lim="400000"/>
                        </a:ln>
                        <a:effectLst/>
                      </wps:spPr>
                      <wps:txbx>
                        <w:txbxContent>
                          <w:p w14:paraId="271B4131" w14:textId="676E123D" w:rsidR="008D45A7" w:rsidRPr="00603F5A" w:rsidRDefault="007D7110" w:rsidP="00603F5A">
                            <w:pPr>
                              <w:pStyle w:val="Cuerpo"/>
                              <w:spacing w:after="0"/>
                              <w:rPr>
                                <w:rStyle w:val="Ninguno"/>
                                <w:rFonts w:ascii="Calibri" w:eastAsia="Calibri" w:hAnsi="Calibri" w:cs="Calibri"/>
                                <w:lang w:val="es-ES"/>
                              </w:rPr>
                            </w:pPr>
                            <w:r w:rsidRPr="00603F5A">
                              <w:rPr>
                                <w:rStyle w:val="Ninguno"/>
                                <w:rFonts w:ascii="Calibri" w:hAnsi="Calibri"/>
                                <w:lang w:val="es-ES_tradnl"/>
                              </w:rPr>
                              <w:t>Carlos Eduardo Gómez Torres</w:t>
                            </w:r>
                          </w:p>
                          <w:p w14:paraId="5BA0B9CF" w14:textId="2B2D7C87" w:rsidR="008D45A7" w:rsidRPr="00603F5A" w:rsidRDefault="007D7110" w:rsidP="00603F5A">
                            <w:pPr>
                              <w:pStyle w:val="Cuerpo"/>
                              <w:spacing w:after="0"/>
                              <w:rPr>
                                <w:rStyle w:val="Ninguno"/>
                                <w:rFonts w:ascii="Calibri" w:eastAsia="Calibri" w:hAnsi="Calibri" w:cs="Calibri"/>
                                <w:lang w:val="es-ES"/>
                              </w:rPr>
                            </w:pPr>
                            <w:r w:rsidRPr="00603F5A">
                              <w:rPr>
                                <w:rStyle w:val="Ninguno"/>
                                <w:rFonts w:ascii="Calibri" w:hAnsi="Calibri"/>
                                <w:lang w:val="es-ES_tradnl"/>
                              </w:rPr>
                              <w:t>Francisco Gabri</w:t>
                            </w:r>
                            <w:r w:rsidR="00C67228">
                              <w:rPr>
                                <w:rStyle w:val="Ninguno"/>
                                <w:rFonts w:ascii="Calibri" w:hAnsi="Calibri"/>
                                <w:lang w:val="es-ES_tradnl"/>
                              </w:rPr>
                              <w:t>e</w:t>
                            </w:r>
                            <w:r w:rsidRPr="00603F5A">
                              <w:rPr>
                                <w:rStyle w:val="Ninguno"/>
                                <w:rFonts w:ascii="Calibri" w:hAnsi="Calibri"/>
                                <w:lang w:val="es-ES_tradnl"/>
                              </w:rPr>
                              <w:t>l Morillas Jurado</w:t>
                            </w:r>
                          </w:p>
                          <w:p w14:paraId="40051F34" w14:textId="364527D9" w:rsidR="008D45A7" w:rsidRPr="00603F5A" w:rsidRDefault="007D7110" w:rsidP="00603F5A">
                            <w:pPr>
                              <w:pStyle w:val="Cuerpo"/>
                              <w:spacing w:after="0"/>
                              <w:rPr>
                                <w:rStyle w:val="Ninguno"/>
                                <w:rFonts w:ascii="Calibri" w:eastAsia="Calibri" w:hAnsi="Calibri" w:cs="Calibri"/>
                                <w:lang w:val="es-ES"/>
                              </w:rPr>
                            </w:pPr>
                            <w:r w:rsidRPr="00603F5A">
                              <w:rPr>
                                <w:rStyle w:val="Ninguno"/>
                                <w:rFonts w:ascii="Calibri" w:hAnsi="Calibri"/>
                                <w:lang w:val="es-ES_tradnl"/>
                              </w:rPr>
                              <w:t>Economía Aplicada</w:t>
                            </w:r>
                          </w:p>
                          <w:p w14:paraId="7E28A5C6" w14:textId="77777777" w:rsidR="007D7110" w:rsidRPr="00603F5A" w:rsidRDefault="007D7110" w:rsidP="00603F5A">
                            <w:pPr>
                              <w:pStyle w:val="Cuerpo"/>
                              <w:spacing w:after="0"/>
                              <w:rPr>
                                <w:rStyle w:val="Ninguno"/>
                                <w:rFonts w:ascii="Calibri" w:hAnsi="Calibri"/>
                                <w:lang w:val="es-ES_tradnl"/>
                              </w:rPr>
                            </w:pPr>
                            <w:r w:rsidRPr="00603F5A">
                              <w:rPr>
                                <w:rStyle w:val="Ninguno"/>
                                <w:rFonts w:ascii="Calibri" w:hAnsi="Calibri"/>
                                <w:lang w:val="es-ES_tradnl"/>
                              </w:rPr>
                              <w:t>2023-2024</w:t>
                            </w:r>
                          </w:p>
                          <w:p w14:paraId="2E0E4C70" w14:textId="196621BA" w:rsidR="008D45A7" w:rsidRPr="00603F5A" w:rsidRDefault="00000000" w:rsidP="00603F5A">
                            <w:pPr>
                              <w:pStyle w:val="Cuerpo"/>
                              <w:spacing w:after="0"/>
                              <w:rPr>
                                <w:rStyle w:val="Ninguno"/>
                                <w:rFonts w:ascii="Calibri" w:eastAsia="Calibri" w:hAnsi="Calibri" w:cs="Calibri"/>
                              </w:rPr>
                            </w:pPr>
                            <w:r w:rsidRPr="00603F5A">
                              <w:rPr>
                                <w:rStyle w:val="Ninguno"/>
                                <w:rFonts w:ascii="Calibri" w:hAnsi="Calibri"/>
                                <w:lang w:val="es-ES_tradnl"/>
                              </w:rPr>
                              <w:t>Escribe la fecha</w:t>
                            </w:r>
                          </w:p>
                          <w:p w14:paraId="75971E01" w14:textId="77777777" w:rsidR="008D45A7" w:rsidRPr="00603F5A" w:rsidRDefault="008D45A7" w:rsidP="00603F5A">
                            <w:pPr>
                              <w:pStyle w:val="Cuerpo"/>
                            </w:pPr>
                          </w:p>
                        </w:txbxContent>
                      </wps:txbx>
                      <wps:bodyPr wrap="square" lIns="45719" tIns="45719" rIns="45719" bIns="45719" numCol="1" anchor="t">
                        <a:noAutofit/>
                      </wps:bodyPr>
                    </wps:wsp>
                  </a:graphicData>
                </a:graphic>
              </wp:anchor>
            </w:drawing>
          </mc:Choice>
          <mc:Fallback>
            <w:pict>
              <v:shapetype w14:anchorId="3B4510D0" id="_x0000_t202" coordsize="21600,21600" o:spt="202" path="m,l,21600r21600,l21600,xe">
                <v:stroke joinstyle="miter"/>
                <v:path gradientshapeok="t" o:connecttype="rect"/>
              </v:shapetype>
              <v:shape id="officeArt object" o:spid="_x0000_s1026" type="#_x0000_t202" alt="Cuadro de texto 2" style="position:absolute;margin-left:136.05pt;margin-top:513pt;width:212.3pt;height:86.8pt;z-index:251659264;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" stroked="f" strokeweight="1pt">
                <v:fill opacity="0"/>
                <v:stroke miterlimit="4"/>
                <v:textbox inset="1.27mm,1.27mm,1.27mm,1.27mm">
                  <w:txbxContent>
                    <w:p w14:paraId="271B4131" w14:textId="676E123D" w:rsidR="008D45A7" w:rsidRPr="00603F5A" w:rsidRDefault="007D7110" w:rsidP="00603F5A">
                      <w:pPr>
                        <w:pStyle w:val="Cuerpo"/>
                        <w:spacing w:after="0"/>
                        <w:rPr>
                          <w:rStyle w:val="Ninguno"/>
                          <w:rFonts w:ascii="Calibri" w:eastAsia="Calibri" w:hAnsi="Calibri" w:cs="Calibri"/>
                          <w:lang w:val="es-ES"/>
                        </w:rPr>
                      </w:pPr>
                      <w:r w:rsidRPr="00603F5A">
                        <w:rPr>
                          <w:rStyle w:val="Ninguno"/>
                          <w:rFonts w:ascii="Calibri" w:hAnsi="Calibri"/>
                          <w:lang w:val="es-ES_tradnl"/>
                        </w:rPr>
                        <w:t>Carlos Eduardo Gómez Torres</w:t>
                      </w:r>
                    </w:p>
                    <w:p w14:paraId="5BA0B9CF" w14:textId="2B2D7C87" w:rsidR="008D45A7" w:rsidRPr="00603F5A" w:rsidRDefault="007D7110" w:rsidP="00603F5A">
                      <w:pPr>
                        <w:pStyle w:val="Cuerpo"/>
                        <w:spacing w:after="0"/>
                        <w:rPr>
                          <w:rStyle w:val="Ninguno"/>
                          <w:rFonts w:ascii="Calibri" w:eastAsia="Calibri" w:hAnsi="Calibri" w:cs="Calibri"/>
                          <w:lang w:val="es-ES"/>
                        </w:rPr>
                      </w:pPr>
                      <w:r w:rsidRPr="00603F5A">
                        <w:rPr>
                          <w:rStyle w:val="Ninguno"/>
                          <w:rFonts w:ascii="Calibri" w:hAnsi="Calibri"/>
                          <w:lang w:val="es-ES_tradnl"/>
                        </w:rPr>
                        <w:t>Francisco Gabri</w:t>
                      </w:r>
                      <w:r w:rsidR="00C67228">
                        <w:rPr>
                          <w:rStyle w:val="Ninguno"/>
                          <w:rFonts w:ascii="Calibri" w:hAnsi="Calibri"/>
                          <w:lang w:val="es-ES_tradnl"/>
                        </w:rPr>
                        <w:t>e</w:t>
                      </w:r>
                      <w:r w:rsidRPr="00603F5A">
                        <w:rPr>
                          <w:rStyle w:val="Ninguno"/>
                          <w:rFonts w:ascii="Calibri" w:hAnsi="Calibri"/>
                          <w:lang w:val="es-ES_tradnl"/>
                        </w:rPr>
                        <w:t>l Morillas Jurado</w:t>
                      </w:r>
                    </w:p>
                    <w:p w14:paraId="40051F34" w14:textId="364527D9" w:rsidR="008D45A7" w:rsidRPr="00603F5A" w:rsidRDefault="007D7110" w:rsidP="00603F5A">
                      <w:pPr>
                        <w:pStyle w:val="Cuerpo"/>
                        <w:spacing w:after="0"/>
                        <w:rPr>
                          <w:rStyle w:val="Ninguno"/>
                          <w:rFonts w:ascii="Calibri" w:eastAsia="Calibri" w:hAnsi="Calibri" w:cs="Calibri"/>
                          <w:lang w:val="es-ES"/>
                        </w:rPr>
                      </w:pPr>
                      <w:r w:rsidRPr="00603F5A">
                        <w:rPr>
                          <w:rStyle w:val="Ninguno"/>
                          <w:rFonts w:ascii="Calibri" w:hAnsi="Calibri"/>
                          <w:lang w:val="es-ES_tradnl"/>
                        </w:rPr>
                        <w:t>Economía Aplicada</w:t>
                      </w:r>
                    </w:p>
                    <w:p w14:paraId="7E28A5C6" w14:textId="77777777" w:rsidR="007D7110" w:rsidRPr="00603F5A" w:rsidRDefault="007D7110" w:rsidP="00603F5A">
                      <w:pPr>
                        <w:pStyle w:val="Cuerpo"/>
                        <w:spacing w:after="0"/>
                        <w:rPr>
                          <w:rStyle w:val="Ninguno"/>
                          <w:rFonts w:ascii="Calibri" w:hAnsi="Calibri"/>
                          <w:lang w:val="es-ES_tradnl"/>
                        </w:rPr>
                      </w:pPr>
                      <w:r w:rsidRPr="00603F5A">
                        <w:rPr>
                          <w:rStyle w:val="Ninguno"/>
                          <w:rFonts w:ascii="Calibri" w:hAnsi="Calibri"/>
                          <w:lang w:val="es-ES_tradnl"/>
                        </w:rPr>
                        <w:t>2023-2024</w:t>
                      </w:r>
                    </w:p>
                    <w:p w14:paraId="2E0E4C70" w14:textId="196621BA" w:rsidR="008D45A7" w:rsidRPr="00603F5A" w:rsidRDefault="00000000" w:rsidP="00603F5A">
                      <w:pPr>
                        <w:pStyle w:val="Cuerpo"/>
                        <w:spacing w:after="0"/>
                        <w:rPr>
                          <w:rStyle w:val="Ninguno"/>
                          <w:rFonts w:ascii="Calibri" w:eastAsia="Calibri" w:hAnsi="Calibri" w:cs="Calibri"/>
                        </w:rPr>
                      </w:pPr>
                      <w:r w:rsidRPr="00603F5A">
                        <w:rPr>
                          <w:rStyle w:val="Ninguno"/>
                          <w:rFonts w:ascii="Calibri" w:hAnsi="Calibri"/>
                          <w:lang w:val="es-ES_tradnl"/>
                        </w:rPr>
                        <w:t>Escribe la fecha</w:t>
                      </w:r>
                    </w:p>
                    <w:p w14:paraId="75971E01" w14:textId="77777777" w:rsidR="008D45A7" w:rsidRPr="00603F5A" w:rsidRDefault="008D45A7" w:rsidP="00603F5A">
                      <w:pPr>
                        <w:pStyle w:val="Cuerpo"/>
                      </w:pPr>
                    </w:p>
                  </w:txbxContent>
                </v:textbox>
                <w10:wrap type="square" anchory="line"/>
              </v:shape>
            </w:pict>
          </mc:Fallback>
        </mc:AlternateContent>
      </w:r>
      <w:bookmarkEnd w:id="0"/>
      <w:bookmarkEnd w:id="1"/>
      <w:bookmarkEnd w:id="2"/>
      <w:r>
        <w:rPr>
          <w:rStyle w:val="Ninguno"/>
          <w:noProof/>
        </w:rPr>
        <mc:AlternateContent>
          <mc:Choice Requires="wps">
            <w:drawing>
              <wp:anchor distT="80010" distB="80010" distL="80010" distR="80010" simplePos="0" relativeHeight="251660288" behindDoc="0" locked="0" layoutInCell="1" allowOverlap="1" wp14:anchorId="2A67B438" wp14:editId="6779808A">
                <wp:simplePos x="0" y="0"/>
                <wp:positionH relativeFrom="column">
                  <wp:posOffset>-148589</wp:posOffset>
                </wp:positionH>
                <wp:positionV relativeFrom="line">
                  <wp:posOffset>4248150</wp:posOffset>
                </wp:positionV>
                <wp:extent cx="4857750" cy="1044575"/>
                <wp:effectExtent l="0" t="0" r="0" b="0"/>
                <wp:wrapSquare wrapText="bothSides" distT="80010" distB="80010" distL="80010" distR="80010"/>
                <wp:docPr id="1073741825" name="officeArt object" descr="Cuadro de texto 3"/>
                <wp:cNvGraphicFramePr/>
                <a:graphic xmlns:a="http://schemas.openxmlformats.org/drawingml/2006/main">
                  <a:graphicData uri="http://schemas.microsoft.com/office/word/2010/wordprocessingShape">
                    <wps:wsp>
                      <wps:cNvSpPr txBox="1"/>
                      <wps:spPr>
                        <a:xfrm>
                          <a:off x="0" y="0"/>
                          <a:ext cx="4857750" cy="1044575"/>
                        </a:xfrm>
                        <a:prstGeom prst="rect">
                          <a:avLst/>
                        </a:prstGeom>
                        <a:solidFill>
                          <a:srgbClr val="FFFFFF">
                            <a:alpha val="0"/>
                          </a:srgbClr>
                        </a:solidFill>
                        <a:ln w="12700" cap="flat">
                          <a:noFill/>
                          <a:miter lim="400000"/>
                        </a:ln>
                        <a:effectLst/>
                      </wps:spPr>
                      <wps:txbx>
                        <w:txbxContent>
                          <w:p w14:paraId="280AEE7A" w14:textId="1E4EFDFF" w:rsidR="008D45A7" w:rsidRPr="007D7110" w:rsidRDefault="007D7110">
                            <w:pPr>
                              <w:pStyle w:val="Cuerpo"/>
                              <w:jc w:val="center"/>
                              <w:rPr>
                                <w:lang w:val="es-ES"/>
                              </w:rPr>
                            </w:pPr>
                            <w:r>
                              <w:rPr>
                                <w:rStyle w:val="Ninguno"/>
                                <w:rFonts w:ascii="KlavikaRegular-OSTF" w:hAnsi="KlavikaRegular-OSTF"/>
                                <w:color w:val="FFFFFF"/>
                                <w:sz w:val="40"/>
                                <w:szCs w:val="40"/>
                                <w:u w:color="FFFFFF"/>
                                <w:lang w:val="es-ES_tradnl"/>
                              </w:rPr>
                              <w:t xml:space="preserve">Metodologías de Machine Learning para valorar equipos de fútbol </w:t>
                            </w:r>
                            <w:r w:rsidR="00233D8F">
                              <w:rPr>
                                <w:rStyle w:val="Ninguno"/>
                                <w:rFonts w:ascii="KlavikaRegular-OSTF" w:hAnsi="KlavikaRegular-OSTF"/>
                                <w:color w:val="FFFFFF"/>
                                <w:sz w:val="40"/>
                                <w:szCs w:val="40"/>
                                <w:u w:color="FFFFFF"/>
                                <w:lang w:val="es-ES_tradnl"/>
                              </w:rPr>
                              <w:t xml:space="preserve">profesionales </w:t>
                            </w:r>
                            <w:r>
                              <w:rPr>
                                <w:rStyle w:val="Ninguno"/>
                                <w:rFonts w:ascii="KlavikaRegular-OSTF" w:hAnsi="KlavikaRegular-OSTF"/>
                                <w:color w:val="FFFFFF"/>
                                <w:sz w:val="40"/>
                                <w:szCs w:val="40"/>
                                <w:u w:color="FFFFFF"/>
                                <w:lang w:val="es-ES_tradnl"/>
                              </w:rPr>
                              <w:t>como activos de inversión</w:t>
                            </w:r>
                          </w:p>
                        </w:txbxContent>
                      </wps:txbx>
                      <wps:bodyPr wrap="square" lIns="45719" tIns="45719" rIns="45719" bIns="45719" numCol="1" anchor="t">
                        <a:noAutofit/>
                      </wps:bodyPr>
                    </wps:wsp>
                  </a:graphicData>
                </a:graphic>
              </wp:anchor>
            </w:drawing>
          </mc:Choice>
          <mc:Fallback>
            <w:pict>
              <v:shape w14:anchorId="2A67B438" id="_x0000_s1027" type="#_x0000_t202" alt="Cuadro de texto 3" style="position:absolute;margin-left:-11.7pt;margin-top:334.5pt;width:382.5pt;height:82.25pt;z-index:251660288;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" stroked="f" strokeweight="1pt">
                <v:fill opacity="0"/>
                <v:stroke miterlimit="4"/>
                <v:textbox inset="1.27mm,1.27mm,1.27mm,1.27mm">
                  <w:txbxContent>
                    <w:p w14:paraId="280AEE7A" w14:textId="1E4EFDFF" w:rsidR="008D45A7" w:rsidRPr="007D7110" w:rsidRDefault="007D7110">
                      <w:pPr>
                        <w:pStyle w:val="Cuerpo"/>
                        <w:jc w:val="center"/>
                        <w:rPr>
                          <w:lang w:val="es-ES"/>
                        </w:rPr>
                      </w:pPr>
                      <w:r>
                        <w:rPr>
                          <w:rStyle w:val="Ninguno"/>
                          <w:rFonts w:ascii="KlavikaRegular-OSTF" w:hAnsi="KlavikaRegular-OSTF"/>
                          <w:color w:val="FFFFFF"/>
                          <w:sz w:val="40"/>
                          <w:szCs w:val="40"/>
                          <w:u w:color="FFFFFF"/>
                          <w:lang w:val="es-ES_tradnl"/>
                        </w:rPr>
                        <w:t xml:space="preserve">Metodologías de Machine Learning para valorar equipos de fútbol </w:t>
                      </w:r>
                      <w:r w:rsidR="00233D8F">
                        <w:rPr>
                          <w:rStyle w:val="Ninguno"/>
                          <w:rFonts w:ascii="KlavikaRegular-OSTF" w:hAnsi="KlavikaRegular-OSTF"/>
                          <w:color w:val="FFFFFF"/>
                          <w:sz w:val="40"/>
                          <w:szCs w:val="40"/>
                          <w:u w:color="FFFFFF"/>
                          <w:lang w:val="es-ES_tradnl"/>
                        </w:rPr>
                        <w:t xml:space="preserve">profesionales </w:t>
                      </w:r>
                      <w:r>
                        <w:rPr>
                          <w:rStyle w:val="Ninguno"/>
                          <w:rFonts w:ascii="KlavikaRegular-OSTF" w:hAnsi="KlavikaRegular-OSTF"/>
                          <w:color w:val="FFFFFF"/>
                          <w:sz w:val="40"/>
                          <w:szCs w:val="40"/>
                          <w:u w:color="FFFFFF"/>
                          <w:lang w:val="es-ES_tradnl"/>
                        </w:rPr>
                        <w:t>como activos de inversión</w:t>
                      </w:r>
                    </w:p>
                  </w:txbxContent>
                </v:textbox>
                <w10:wrap type="square" anchory="line"/>
              </v:shape>
            </w:pict>
          </mc:Fallback>
        </mc:AlternateContent>
      </w:r>
      <w:r>
        <w:rPr>
          <w:rStyle w:val="Ninguno"/>
          <w:noProof/>
        </w:rPr>
        <w:drawing>
          <wp:anchor distT="0" distB="0" distL="0" distR="0" simplePos="0" relativeHeight="251657216" behindDoc="1" locked="0" layoutInCell="1" allowOverlap="1" wp14:anchorId="7A267379" wp14:editId="25706F78">
            <wp:simplePos x="0" y="0"/>
            <wp:positionH relativeFrom="page">
              <wp:posOffset>-1270</wp:posOffset>
            </wp:positionH>
            <wp:positionV relativeFrom="page">
              <wp:posOffset>0</wp:posOffset>
            </wp:positionV>
            <wp:extent cx="7559041" cy="10692385"/>
            <wp:effectExtent l="0" t="0" r="0" b="0"/>
            <wp:wrapNone/>
            <wp:docPr id="1073741827" name="officeArt object" descr="Imagen"/>
            <wp:cNvGraphicFramePr/>
            <a:graphic xmlns:a="http://schemas.openxmlformats.org/drawingml/2006/main">
              <a:graphicData uri="http://schemas.openxmlformats.org/drawingml/2006/picture">
                <pic:pic xmlns:pic="http://schemas.openxmlformats.org/drawingml/2006/picture">
                  <pic:nvPicPr>
                    <pic:cNvPr id="1073741827" name="Imagen" descr="Imagen"/>
                    <pic:cNvPicPr>
                      <a:picLocks noChangeAspect="1"/>
                    </pic:cNvPicPr>
                  </pic:nvPicPr>
                  <pic:blipFill>
                    <a:blip r:embed="rId8"/>
                    <a:srcRect/>
                    <a:stretch>
                      <a:fillRect/>
                    </a:stretch>
                  </pic:blipFill>
                  <pic:spPr>
                    <a:xfrm>
                      <a:off x="0" y="0"/>
                      <a:ext cx="7559041" cy="10692385"/>
                    </a:xfrm>
                    <a:prstGeom prst="rect">
                      <a:avLst/>
                    </a:prstGeom>
                    <a:ln w="12700" cap="flat">
                      <a:noFill/>
                      <a:miter lim="400000"/>
                    </a:ln>
                    <a:effectLst/>
                  </pic:spPr>
                </pic:pic>
              </a:graphicData>
            </a:graphic>
          </wp:anchor>
        </w:drawing>
      </w:r>
      <w:r>
        <w:rPr>
          <w:rStyle w:val="Ninguno"/>
        </w:rPr>
        <w:t xml:space="preserve">  </w:t>
      </w:r>
      <w:r w:rsidR="00290DE1" w:rsidRPr="00C21EA8">
        <w:rPr>
          <w:rStyle w:val="Ninguno"/>
        </w:rPr>
        <w:br w:type="page"/>
      </w:r>
    </w:p>
    <w:p w14:paraId="3098DB23" w14:textId="7585F6C5" w:rsidR="00FD416D" w:rsidRPr="00FD416D" w:rsidRDefault="00C21EA8" w:rsidP="00FD416D">
      <w:pPr>
        <w:pStyle w:val="Heading2"/>
        <w:numPr>
          <w:ilvl w:val="0"/>
          <w:numId w:val="0"/>
        </w:numPr>
        <w:spacing w:line="276" w:lineRule="auto"/>
        <w:rPr>
          <w:noProof/>
        </w:rPr>
      </w:pPr>
      <w:bookmarkStart w:id="3" w:name="_Toc165821171"/>
      <w:bookmarkStart w:id="4" w:name="_Toc165822644"/>
      <w:bookmarkStart w:id="5" w:name="_Toc166581768"/>
      <w:bookmarkStart w:id="6" w:name="_Toc166591411"/>
      <w:r>
        <w:rPr>
          <w:lang w:val="en-US"/>
        </w:rPr>
        <w:lastRenderedPageBreak/>
        <w:t>Índice</w:t>
      </w:r>
      <w:bookmarkEnd w:id="3"/>
      <w:bookmarkEnd w:id="4"/>
      <w:bookmarkEnd w:id="5"/>
      <w:bookmarkEnd w:id="6"/>
      <w:r>
        <w:rPr>
          <w:rStyle w:val="Ninguno"/>
          <w:rFonts w:asciiTheme="minorHAnsi" w:hAnsiTheme="minorHAnsi"/>
          <w:b/>
          <w:bCs/>
          <w:smallCaps/>
          <w:sz w:val="20"/>
          <w:szCs w:val="20"/>
          <w:lang w:val="en-US"/>
        </w:rPr>
        <w:fldChar w:fldCharType="begin"/>
      </w:r>
      <w:r>
        <w:rPr>
          <w:rStyle w:val="Ninguno"/>
          <w:rFonts w:asciiTheme="minorHAnsi" w:hAnsiTheme="minorHAnsi"/>
          <w:smallCaps/>
          <w:sz w:val="20"/>
          <w:szCs w:val="20"/>
          <w:lang w:val="en-US"/>
        </w:rPr>
        <w:instrText xml:space="preserve"> TOC \o "1-3" \h \z </w:instrText>
      </w:r>
      <w:r>
        <w:rPr>
          <w:rStyle w:val="Ninguno"/>
          <w:rFonts w:asciiTheme="minorHAnsi" w:hAnsiTheme="minorHAnsi"/>
          <w:b/>
          <w:bCs/>
          <w:smallCaps/>
          <w:sz w:val="20"/>
          <w:szCs w:val="20"/>
          <w:lang w:val="en-US"/>
        </w:rPr>
        <w:fldChar w:fldCharType="separate"/>
      </w:r>
    </w:p>
    <w:p w14:paraId="731B91E6" w14:textId="1161B718" w:rsidR="00FD416D" w:rsidRDefault="00000000" w:rsidP="00FD416D">
      <w:pPr>
        <w:pStyle w:val="TOC2"/>
        <w:tabs>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12" w:history="1">
        <w:r w:rsidR="00FD416D" w:rsidRPr="00AB5003">
          <w:rPr>
            <w:rStyle w:val="Hyperlink"/>
            <w:noProof/>
          </w:rPr>
          <w:t>Resumen</w:t>
        </w:r>
        <w:r w:rsidR="00FD416D">
          <w:rPr>
            <w:noProof/>
            <w:webHidden/>
          </w:rPr>
          <w:tab/>
        </w:r>
        <w:r w:rsidR="00FD416D">
          <w:rPr>
            <w:noProof/>
            <w:webHidden/>
          </w:rPr>
          <w:fldChar w:fldCharType="begin"/>
        </w:r>
        <w:r w:rsidR="00FD416D">
          <w:rPr>
            <w:noProof/>
            <w:webHidden/>
          </w:rPr>
          <w:instrText xml:space="preserve"> PAGEREF _Toc166591412 \h </w:instrText>
        </w:r>
        <w:r w:rsidR="00FD416D">
          <w:rPr>
            <w:noProof/>
            <w:webHidden/>
          </w:rPr>
        </w:r>
        <w:r w:rsidR="00FD416D">
          <w:rPr>
            <w:noProof/>
            <w:webHidden/>
          </w:rPr>
          <w:fldChar w:fldCharType="separate"/>
        </w:r>
        <w:r w:rsidR="00FD416D">
          <w:rPr>
            <w:noProof/>
            <w:webHidden/>
          </w:rPr>
          <w:t>4</w:t>
        </w:r>
        <w:r w:rsidR="00FD416D">
          <w:rPr>
            <w:noProof/>
            <w:webHidden/>
          </w:rPr>
          <w:fldChar w:fldCharType="end"/>
        </w:r>
      </w:hyperlink>
    </w:p>
    <w:p w14:paraId="6CB36709" w14:textId="41B4079D" w:rsidR="00FD416D" w:rsidRDefault="00000000" w:rsidP="00FD416D">
      <w:pPr>
        <w:pStyle w:val="TOC1"/>
        <w:tabs>
          <w:tab w:val="left" w:pos="440"/>
          <w:tab w:val="right" w:leader="dot" w:pos="8488"/>
        </w:tabs>
        <w:spacing w:line="276" w:lineRule="auto"/>
        <w:rPr>
          <w:rFonts w:eastAsiaTheme="minorEastAsia" w:cstheme="minorBidi"/>
          <w:b w:val="0"/>
          <w:bCs w:val="0"/>
          <w:caps w:val="0"/>
          <w:noProof/>
          <w:color w:val="auto"/>
          <w:kern w:val="2"/>
          <w:sz w:val="24"/>
          <w:szCs w:val="24"/>
          <w:lang w:val="en-US"/>
          <w14:ligatures w14:val="standardContextual"/>
        </w:rPr>
      </w:pPr>
      <w:hyperlink w:anchor="_Toc166591414" w:history="1">
        <w:r w:rsidR="00FD416D" w:rsidRPr="00AB5003">
          <w:rPr>
            <w:rStyle w:val="Hyperlink"/>
            <w:noProof/>
          </w:rPr>
          <w:t>1</w:t>
        </w:r>
        <w:r w:rsidR="00FD416D">
          <w:rPr>
            <w:rFonts w:eastAsiaTheme="minorEastAsia" w:cstheme="minorBidi"/>
            <w:b w:val="0"/>
            <w:bCs w:val="0"/>
            <w:caps w:val="0"/>
            <w:noProof/>
            <w:color w:val="auto"/>
            <w:kern w:val="2"/>
            <w:sz w:val="24"/>
            <w:szCs w:val="24"/>
            <w:lang w:val="en-US"/>
            <w14:ligatures w14:val="standardContextual"/>
          </w:rPr>
          <w:tab/>
        </w:r>
        <w:r w:rsidR="00FD416D" w:rsidRPr="00AB5003">
          <w:rPr>
            <w:rStyle w:val="Hyperlink"/>
            <w:noProof/>
          </w:rPr>
          <w:t>Introducción</w:t>
        </w:r>
        <w:r w:rsidR="00FD416D">
          <w:rPr>
            <w:noProof/>
            <w:webHidden/>
          </w:rPr>
          <w:tab/>
        </w:r>
        <w:r w:rsidR="00FD416D">
          <w:rPr>
            <w:noProof/>
            <w:webHidden/>
          </w:rPr>
          <w:fldChar w:fldCharType="begin"/>
        </w:r>
        <w:r w:rsidR="00FD416D">
          <w:rPr>
            <w:noProof/>
            <w:webHidden/>
          </w:rPr>
          <w:instrText xml:space="preserve"> PAGEREF _Toc166591414 \h </w:instrText>
        </w:r>
        <w:r w:rsidR="00FD416D">
          <w:rPr>
            <w:noProof/>
            <w:webHidden/>
          </w:rPr>
        </w:r>
        <w:r w:rsidR="00FD416D">
          <w:rPr>
            <w:noProof/>
            <w:webHidden/>
          </w:rPr>
          <w:fldChar w:fldCharType="separate"/>
        </w:r>
        <w:r w:rsidR="00FD416D">
          <w:rPr>
            <w:noProof/>
            <w:webHidden/>
          </w:rPr>
          <w:t>5</w:t>
        </w:r>
        <w:r w:rsidR="00FD416D">
          <w:rPr>
            <w:noProof/>
            <w:webHidden/>
          </w:rPr>
          <w:fldChar w:fldCharType="end"/>
        </w:r>
      </w:hyperlink>
    </w:p>
    <w:p w14:paraId="2AA3AFD8" w14:textId="0E353062" w:rsidR="00FD416D" w:rsidRDefault="00000000" w:rsidP="00FD416D">
      <w:pPr>
        <w:pStyle w:val="TOC1"/>
        <w:tabs>
          <w:tab w:val="left" w:pos="440"/>
          <w:tab w:val="right" w:leader="dot" w:pos="8488"/>
        </w:tabs>
        <w:spacing w:line="276" w:lineRule="auto"/>
        <w:rPr>
          <w:rFonts w:eastAsiaTheme="minorEastAsia" w:cstheme="minorBidi"/>
          <w:b w:val="0"/>
          <w:bCs w:val="0"/>
          <w:caps w:val="0"/>
          <w:noProof/>
          <w:color w:val="auto"/>
          <w:kern w:val="2"/>
          <w:sz w:val="24"/>
          <w:szCs w:val="24"/>
          <w:lang w:val="en-US"/>
          <w14:ligatures w14:val="standardContextual"/>
        </w:rPr>
      </w:pPr>
      <w:hyperlink w:anchor="_Toc166591418" w:history="1">
        <w:r w:rsidR="00FD416D" w:rsidRPr="00AB5003">
          <w:rPr>
            <w:rStyle w:val="Hyperlink"/>
            <w:noProof/>
          </w:rPr>
          <w:t>2</w:t>
        </w:r>
        <w:r w:rsidR="00FD416D">
          <w:rPr>
            <w:rFonts w:eastAsiaTheme="minorEastAsia" w:cstheme="minorBidi"/>
            <w:b w:val="0"/>
            <w:bCs w:val="0"/>
            <w:caps w:val="0"/>
            <w:noProof/>
            <w:color w:val="auto"/>
            <w:kern w:val="2"/>
            <w:sz w:val="24"/>
            <w:szCs w:val="24"/>
            <w:lang w:val="en-US"/>
            <w14:ligatures w14:val="standardContextual"/>
          </w:rPr>
          <w:tab/>
        </w:r>
        <w:r w:rsidR="00FD416D" w:rsidRPr="00AB5003">
          <w:rPr>
            <w:rStyle w:val="Hyperlink"/>
            <w:noProof/>
          </w:rPr>
          <w:t>Marco Teórico</w:t>
        </w:r>
        <w:r w:rsidR="00FD416D">
          <w:rPr>
            <w:noProof/>
            <w:webHidden/>
          </w:rPr>
          <w:tab/>
        </w:r>
        <w:r w:rsidR="00FD416D">
          <w:rPr>
            <w:noProof/>
            <w:webHidden/>
          </w:rPr>
          <w:fldChar w:fldCharType="begin"/>
        </w:r>
        <w:r w:rsidR="00FD416D">
          <w:rPr>
            <w:noProof/>
            <w:webHidden/>
          </w:rPr>
          <w:instrText xml:space="preserve"> PAGEREF _Toc166591418 \h </w:instrText>
        </w:r>
        <w:r w:rsidR="00FD416D">
          <w:rPr>
            <w:noProof/>
            <w:webHidden/>
          </w:rPr>
        </w:r>
        <w:r w:rsidR="00FD416D">
          <w:rPr>
            <w:noProof/>
            <w:webHidden/>
          </w:rPr>
          <w:fldChar w:fldCharType="separate"/>
        </w:r>
        <w:r w:rsidR="00FD416D">
          <w:rPr>
            <w:noProof/>
            <w:webHidden/>
          </w:rPr>
          <w:t>7</w:t>
        </w:r>
        <w:r w:rsidR="00FD416D">
          <w:rPr>
            <w:noProof/>
            <w:webHidden/>
          </w:rPr>
          <w:fldChar w:fldCharType="end"/>
        </w:r>
      </w:hyperlink>
    </w:p>
    <w:p w14:paraId="649DCA42" w14:textId="4D8D2775" w:rsidR="00FD416D" w:rsidRDefault="00000000" w:rsidP="00FD416D">
      <w:pPr>
        <w:pStyle w:val="TOC2"/>
        <w:tabs>
          <w:tab w:val="left" w:pos="880"/>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19" w:history="1">
        <w:r w:rsidR="00FD416D" w:rsidRPr="00AB5003">
          <w:rPr>
            <w:rStyle w:val="Hyperlink"/>
            <w:noProof/>
          </w:rPr>
          <w:t>2.1</w:t>
        </w:r>
        <w:r w:rsidR="00FD416D">
          <w:rPr>
            <w:rFonts w:eastAsiaTheme="minorEastAsia" w:cstheme="minorBidi"/>
            <w:smallCaps w:val="0"/>
            <w:noProof/>
            <w:color w:val="auto"/>
            <w:kern w:val="2"/>
            <w:sz w:val="24"/>
            <w:szCs w:val="24"/>
            <w:lang w:val="en-US"/>
            <w14:ligatures w14:val="standardContextual"/>
          </w:rPr>
          <w:tab/>
        </w:r>
        <w:r w:rsidR="00FD416D" w:rsidRPr="00AB5003">
          <w:rPr>
            <w:rStyle w:val="Hyperlink"/>
            <w:noProof/>
          </w:rPr>
          <w:t>El inversor</w:t>
        </w:r>
        <w:r w:rsidR="00FD416D">
          <w:rPr>
            <w:noProof/>
            <w:webHidden/>
          </w:rPr>
          <w:tab/>
        </w:r>
        <w:r w:rsidR="00FD416D">
          <w:rPr>
            <w:noProof/>
            <w:webHidden/>
          </w:rPr>
          <w:fldChar w:fldCharType="begin"/>
        </w:r>
        <w:r w:rsidR="00FD416D">
          <w:rPr>
            <w:noProof/>
            <w:webHidden/>
          </w:rPr>
          <w:instrText xml:space="preserve"> PAGEREF _Toc166591419 \h </w:instrText>
        </w:r>
        <w:r w:rsidR="00FD416D">
          <w:rPr>
            <w:noProof/>
            <w:webHidden/>
          </w:rPr>
        </w:r>
        <w:r w:rsidR="00FD416D">
          <w:rPr>
            <w:noProof/>
            <w:webHidden/>
          </w:rPr>
          <w:fldChar w:fldCharType="separate"/>
        </w:r>
        <w:r w:rsidR="00FD416D">
          <w:rPr>
            <w:noProof/>
            <w:webHidden/>
          </w:rPr>
          <w:t>7</w:t>
        </w:r>
        <w:r w:rsidR="00FD416D">
          <w:rPr>
            <w:noProof/>
            <w:webHidden/>
          </w:rPr>
          <w:fldChar w:fldCharType="end"/>
        </w:r>
      </w:hyperlink>
    </w:p>
    <w:p w14:paraId="1465292F" w14:textId="11C3254F" w:rsidR="00FD416D" w:rsidRDefault="00000000" w:rsidP="00FD416D">
      <w:pPr>
        <w:pStyle w:val="TOC2"/>
        <w:tabs>
          <w:tab w:val="left" w:pos="880"/>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20" w:history="1">
        <w:r w:rsidR="00FD416D" w:rsidRPr="00AB5003">
          <w:rPr>
            <w:rStyle w:val="Hyperlink"/>
            <w:noProof/>
          </w:rPr>
          <w:t>2.2</w:t>
        </w:r>
        <w:r w:rsidR="00FD416D">
          <w:rPr>
            <w:rFonts w:eastAsiaTheme="minorEastAsia" w:cstheme="minorBidi"/>
            <w:smallCaps w:val="0"/>
            <w:noProof/>
            <w:color w:val="auto"/>
            <w:kern w:val="2"/>
            <w:sz w:val="24"/>
            <w:szCs w:val="24"/>
            <w:lang w:val="en-US"/>
            <w14:ligatures w14:val="standardContextual"/>
          </w:rPr>
          <w:tab/>
        </w:r>
        <w:r w:rsidR="00FD416D" w:rsidRPr="00AB5003">
          <w:rPr>
            <w:rStyle w:val="Hyperlink"/>
            <w:noProof/>
          </w:rPr>
          <w:t>Las participaciones minoritarias</w:t>
        </w:r>
        <w:r w:rsidR="00FD416D">
          <w:rPr>
            <w:noProof/>
            <w:webHidden/>
          </w:rPr>
          <w:tab/>
        </w:r>
        <w:r w:rsidR="00FD416D">
          <w:rPr>
            <w:noProof/>
            <w:webHidden/>
          </w:rPr>
          <w:fldChar w:fldCharType="begin"/>
        </w:r>
        <w:r w:rsidR="00FD416D">
          <w:rPr>
            <w:noProof/>
            <w:webHidden/>
          </w:rPr>
          <w:instrText xml:space="preserve"> PAGEREF _Toc166591420 \h </w:instrText>
        </w:r>
        <w:r w:rsidR="00FD416D">
          <w:rPr>
            <w:noProof/>
            <w:webHidden/>
          </w:rPr>
        </w:r>
        <w:r w:rsidR="00FD416D">
          <w:rPr>
            <w:noProof/>
            <w:webHidden/>
          </w:rPr>
          <w:fldChar w:fldCharType="separate"/>
        </w:r>
        <w:r w:rsidR="00FD416D">
          <w:rPr>
            <w:noProof/>
            <w:webHidden/>
          </w:rPr>
          <w:t>7</w:t>
        </w:r>
        <w:r w:rsidR="00FD416D">
          <w:rPr>
            <w:noProof/>
            <w:webHidden/>
          </w:rPr>
          <w:fldChar w:fldCharType="end"/>
        </w:r>
      </w:hyperlink>
    </w:p>
    <w:p w14:paraId="07E9B670" w14:textId="0B0E8ECE" w:rsidR="00FD416D" w:rsidRDefault="00000000" w:rsidP="00FD416D">
      <w:pPr>
        <w:pStyle w:val="TOC2"/>
        <w:tabs>
          <w:tab w:val="left" w:pos="880"/>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21" w:history="1">
        <w:r w:rsidR="00FD416D" w:rsidRPr="00AB5003">
          <w:rPr>
            <w:rStyle w:val="Hyperlink"/>
            <w:noProof/>
          </w:rPr>
          <w:t>2.3</w:t>
        </w:r>
        <w:r w:rsidR="00FD416D">
          <w:rPr>
            <w:rFonts w:eastAsiaTheme="minorEastAsia" w:cstheme="minorBidi"/>
            <w:smallCaps w:val="0"/>
            <w:noProof/>
            <w:color w:val="auto"/>
            <w:kern w:val="2"/>
            <w:sz w:val="24"/>
            <w:szCs w:val="24"/>
            <w:lang w:val="en-US"/>
            <w14:ligatures w14:val="standardContextual"/>
          </w:rPr>
          <w:tab/>
        </w:r>
        <w:r w:rsidR="00FD416D" w:rsidRPr="00AB5003">
          <w:rPr>
            <w:rStyle w:val="Hyperlink"/>
            <w:noProof/>
          </w:rPr>
          <w:t>El fútbol europeo</w:t>
        </w:r>
        <w:r w:rsidR="00FD416D">
          <w:rPr>
            <w:noProof/>
            <w:webHidden/>
          </w:rPr>
          <w:tab/>
        </w:r>
        <w:r w:rsidR="00FD416D">
          <w:rPr>
            <w:noProof/>
            <w:webHidden/>
          </w:rPr>
          <w:fldChar w:fldCharType="begin"/>
        </w:r>
        <w:r w:rsidR="00FD416D">
          <w:rPr>
            <w:noProof/>
            <w:webHidden/>
          </w:rPr>
          <w:instrText xml:space="preserve"> PAGEREF _Toc166591421 \h </w:instrText>
        </w:r>
        <w:r w:rsidR="00FD416D">
          <w:rPr>
            <w:noProof/>
            <w:webHidden/>
          </w:rPr>
        </w:r>
        <w:r w:rsidR="00FD416D">
          <w:rPr>
            <w:noProof/>
            <w:webHidden/>
          </w:rPr>
          <w:fldChar w:fldCharType="separate"/>
        </w:r>
        <w:r w:rsidR="00FD416D">
          <w:rPr>
            <w:noProof/>
            <w:webHidden/>
          </w:rPr>
          <w:t>8</w:t>
        </w:r>
        <w:r w:rsidR="00FD416D">
          <w:rPr>
            <w:noProof/>
            <w:webHidden/>
          </w:rPr>
          <w:fldChar w:fldCharType="end"/>
        </w:r>
      </w:hyperlink>
    </w:p>
    <w:p w14:paraId="2C08894E" w14:textId="259C039F" w:rsidR="00FD416D" w:rsidRDefault="00000000" w:rsidP="00FD416D">
      <w:pPr>
        <w:pStyle w:val="TOC3"/>
        <w:tabs>
          <w:tab w:val="left" w:pos="1320"/>
          <w:tab w:val="right" w:leader="dot" w:pos="8488"/>
        </w:tabs>
        <w:spacing w:line="276" w:lineRule="auto"/>
        <w:rPr>
          <w:rFonts w:eastAsiaTheme="minorEastAsia" w:cstheme="minorBidi"/>
          <w:i w:val="0"/>
          <w:iCs w:val="0"/>
          <w:noProof/>
          <w:color w:val="auto"/>
          <w:kern w:val="2"/>
          <w:sz w:val="24"/>
          <w:szCs w:val="24"/>
          <w:lang w:val="en-US"/>
          <w14:ligatures w14:val="standardContextual"/>
        </w:rPr>
      </w:pPr>
      <w:hyperlink w:anchor="_Toc166591422" w:history="1">
        <w:r w:rsidR="00FD416D" w:rsidRPr="00AB5003">
          <w:rPr>
            <w:rStyle w:val="Hyperlink"/>
            <w:noProof/>
          </w:rPr>
          <w:t>2.3.1</w:t>
        </w:r>
        <w:r w:rsidR="00FD416D">
          <w:rPr>
            <w:rFonts w:eastAsiaTheme="minorEastAsia" w:cstheme="minorBidi"/>
            <w:i w:val="0"/>
            <w:iCs w:val="0"/>
            <w:noProof/>
            <w:color w:val="auto"/>
            <w:kern w:val="2"/>
            <w:sz w:val="24"/>
            <w:szCs w:val="24"/>
            <w:lang w:val="en-US"/>
            <w14:ligatures w14:val="standardContextual"/>
          </w:rPr>
          <w:tab/>
        </w:r>
        <w:r w:rsidR="00FD416D" w:rsidRPr="00AB5003">
          <w:rPr>
            <w:rStyle w:val="Hyperlink"/>
            <w:noProof/>
          </w:rPr>
          <w:t>Las ligas élite</w:t>
        </w:r>
        <w:r w:rsidR="00FD416D">
          <w:rPr>
            <w:noProof/>
            <w:webHidden/>
          </w:rPr>
          <w:tab/>
        </w:r>
        <w:r w:rsidR="00FD416D">
          <w:rPr>
            <w:noProof/>
            <w:webHidden/>
          </w:rPr>
          <w:fldChar w:fldCharType="begin"/>
        </w:r>
        <w:r w:rsidR="00FD416D">
          <w:rPr>
            <w:noProof/>
            <w:webHidden/>
          </w:rPr>
          <w:instrText xml:space="preserve"> PAGEREF _Toc166591422 \h </w:instrText>
        </w:r>
        <w:r w:rsidR="00FD416D">
          <w:rPr>
            <w:noProof/>
            <w:webHidden/>
          </w:rPr>
        </w:r>
        <w:r w:rsidR="00FD416D">
          <w:rPr>
            <w:noProof/>
            <w:webHidden/>
          </w:rPr>
          <w:fldChar w:fldCharType="separate"/>
        </w:r>
        <w:r w:rsidR="00FD416D">
          <w:rPr>
            <w:noProof/>
            <w:webHidden/>
          </w:rPr>
          <w:t>8</w:t>
        </w:r>
        <w:r w:rsidR="00FD416D">
          <w:rPr>
            <w:noProof/>
            <w:webHidden/>
          </w:rPr>
          <w:fldChar w:fldCharType="end"/>
        </w:r>
      </w:hyperlink>
    </w:p>
    <w:p w14:paraId="5E884C07" w14:textId="3A2AE67D" w:rsidR="00FD416D" w:rsidRDefault="00000000" w:rsidP="00FD416D">
      <w:pPr>
        <w:pStyle w:val="TOC2"/>
        <w:tabs>
          <w:tab w:val="left" w:pos="880"/>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23" w:history="1">
        <w:r w:rsidR="00FD416D" w:rsidRPr="00AB5003">
          <w:rPr>
            <w:rStyle w:val="Hyperlink"/>
            <w:noProof/>
          </w:rPr>
          <w:t>2.4</w:t>
        </w:r>
        <w:r w:rsidR="00FD416D">
          <w:rPr>
            <w:rFonts w:eastAsiaTheme="minorEastAsia" w:cstheme="minorBidi"/>
            <w:smallCaps w:val="0"/>
            <w:noProof/>
            <w:color w:val="auto"/>
            <w:kern w:val="2"/>
            <w:sz w:val="24"/>
            <w:szCs w:val="24"/>
            <w:lang w:val="en-US"/>
            <w14:ligatures w14:val="standardContextual"/>
          </w:rPr>
          <w:tab/>
        </w:r>
        <w:r w:rsidR="00FD416D" w:rsidRPr="00AB5003">
          <w:rPr>
            <w:rStyle w:val="Hyperlink"/>
            <w:noProof/>
          </w:rPr>
          <w:t>Los equipos de fútbol como empresas</w:t>
        </w:r>
        <w:r w:rsidR="00FD416D">
          <w:rPr>
            <w:noProof/>
            <w:webHidden/>
          </w:rPr>
          <w:tab/>
        </w:r>
        <w:r w:rsidR="00FD416D">
          <w:rPr>
            <w:noProof/>
            <w:webHidden/>
          </w:rPr>
          <w:fldChar w:fldCharType="begin"/>
        </w:r>
        <w:r w:rsidR="00FD416D">
          <w:rPr>
            <w:noProof/>
            <w:webHidden/>
          </w:rPr>
          <w:instrText xml:space="preserve"> PAGEREF _Toc166591423 \h </w:instrText>
        </w:r>
        <w:r w:rsidR="00FD416D">
          <w:rPr>
            <w:noProof/>
            <w:webHidden/>
          </w:rPr>
        </w:r>
        <w:r w:rsidR="00FD416D">
          <w:rPr>
            <w:noProof/>
            <w:webHidden/>
          </w:rPr>
          <w:fldChar w:fldCharType="separate"/>
        </w:r>
        <w:r w:rsidR="00FD416D">
          <w:rPr>
            <w:noProof/>
            <w:webHidden/>
          </w:rPr>
          <w:t>8</w:t>
        </w:r>
        <w:r w:rsidR="00FD416D">
          <w:rPr>
            <w:noProof/>
            <w:webHidden/>
          </w:rPr>
          <w:fldChar w:fldCharType="end"/>
        </w:r>
      </w:hyperlink>
    </w:p>
    <w:p w14:paraId="2DD98874" w14:textId="2C84198C" w:rsidR="00FD416D" w:rsidRDefault="00000000" w:rsidP="00FD416D">
      <w:pPr>
        <w:pStyle w:val="TOC3"/>
        <w:tabs>
          <w:tab w:val="left" w:pos="1320"/>
          <w:tab w:val="right" w:leader="dot" w:pos="8488"/>
        </w:tabs>
        <w:spacing w:line="276" w:lineRule="auto"/>
        <w:rPr>
          <w:rFonts w:eastAsiaTheme="minorEastAsia" w:cstheme="minorBidi"/>
          <w:i w:val="0"/>
          <w:iCs w:val="0"/>
          <w:noProof/>
          <w:color w:val="auto"/>
          <w:kern w:val="2"/>
          <w:sz w:val="24"/>
          <w:szCs w:val="24"/>
          <w:lang w:val="en-US"/>
          <w14:ligatures w14:val="standardContextual"/>
        </w:rPr>
      </w:pPr>
      <w:hyperlink w:anchor="_Toc166591424" w:history="1">
        <w:r w:rsidR="00FD416D" w:rsidRPr="00AB5003">
          <w:rPr>
            <w:rStyle w:val="Hyperlink"/>
            <w:noProof/>
          </w:rPr>
          <w:t>2.4.1</w:t>
        </w:r>
        <w:r w:rsidR="00FD416D">
          <w:rPr>
            <w:rFonts w:eastAsiaTheme="minorEastAsia" w:cstheme="minorBidi"/>
            <w:i w:val="0"/>
            <w:iCs w:val="0"/>
            <w:noProof/>
            <w:color w:val="auto"/>
            <w:kern w:val="2"/>
            <w:sz w:val="24"/>
            <w:szCs w:val="24"/>
            <w:lang w:val="en-US"/>
            <w14:ligatures w14:val="standardContextual"/>
          </w:rPr>
          <w:tab/>
        </w:r>
        <w:r w:rsidR="00FD416D" w:rsidRPr="00AB5003">
          <w:rPr>
            <w:rStyle w:val="Hyperlink"/>
            <w:noProof/>
          </w:rPr>
          <w:t>Componentes del balance</w:t>
        </w:r>
        <w:r w:rsidR="00FD416D">
          <w:rPr>
            <w:noProof/>
            <w:webHidden/>
          </w:rPr>
          <w:tab/>
        </w:r>
        <w:r w:rsidR="00FD416D">
          <w:rPr>
            <w:noProof/>
            <w:webHidden/>
          </w:rPr>
          <w:fldChar w:fldCharType="begin"/>
        </w:r>
        <w:r w:rsidR="00FD416D">
          <w:rPr>
            <w:noProof/>
            <w:webHidden/>
          </w:rPr>
          <w:instrText xml:space="preserve"> PAGEREF _Toc166591424 \h </w:instrText>
        </w:r>
        <w:r w:rsidR="00FD416D">
          <w:rPr>
            <w:noProof/>
            <w:webHidden/>
          </w:rPr>
        </w:r>
        <w:r w:rsidR="00FD416D">
          <w:rPr>
            <w:noProof/>
            <w:webHidden/>
          </w:rPr>
          <w:fldChar w:fldCharType="separate"/>
        </w:r>
        <w:r w:rsidR="00FD416D">
          <w:rPr>
            <w:noProof/>
            <w:webHidden/>
          </w:rPr>
          <w:t>8</w:t>
        </w:r>
        <w:r w:rsidR="00FD416D">
          <w:rPr>
            <w:noProof/>
            <w:webHidden/>
          </w:rPr>
          <w:fldChar w:fldCharType="end"/>
        </w:r>
      </w:hyperlink>
    </w:p>
    <w:p w14:paraId="0D5490CD" w14:textId="36933179" w:rsidR="00FD416D" w:rsidRDefault="00000000" w:rsidP="00FD416D">
      <w:pPr>
        <w:pStyle w:val="TOC3"/>
        <w:tabs>
          <w:tab w:val="left" w:pos="1320"/>
          <w:tab w:val="right" w:leader="dot" w:pos="8488"/>
        </w:tabs>
        <w:spacing w:line="276" w:lineRule="auto"/>
        <w:rPr>
          <w:rFonts w:eastAsiaTheme="minorEastAsia" w:cstheme="minorBidi"/>
          <w:i w:val="0"/>
          <w:iCs w:val="0"/>
          <w:noProof/>
          <w:color w:val="auto"/>
          <w:kern w:val="2"/>
          <w:sz w:val="24"/>
          <w:szCs w:val="24"/>
          <w:lang w:val="en-US"/>
          <w14:ligatures w14:val="standardContextual"/>
        </w:rPr>
      </w:pPr>
      <w:hyperlink w:anchor="_Toc166591425" w:history="1">
        <w:r w:rsidR="00FD416D" w:rsidRPr="00AB5003">
          <w:rPr>
            <w:rStyle w:val="Hyperlink"/>
            <w:noProof/>
          </w:rPr>
          <w:t>2.4.2</w:t>
        </w:r>
        <w:r w:rsidR="00FD416D">
          <w:rPr>
            <w:rFonts w:eastAsiaTheme="minorEastAsia" w:cstheme="minorBidi"/>
            <w:i w:val="0"/>
            <w:iCs w:val="0"/>
            <w:noProof/>
            <w:color w:val="auto"/>
            <w:kern w:val="2"/>
            <w:sz w:val="24"/>
            <w:szCs w:val="24"/>
            <w:lang w:val="en-US"/>
            <w14:ligatures w14:val="standardContextual"/>
          </w:rPr>
          <w:tab/>
        </w:r>
        <w:r w:rsidR="00FD416D" w:rsidRPr="00AB5003">
          <w:rPr>
            <w:rStyle w:val="Hyperlink"/>
            <w:noProof/>
          </w:rPr>
          <w:t>Resultados y flujos de caja</w:t>
        </w:r>
        <w:r w:rsidR="00FD416D">
          <w:rPr>
            <w:noProof/>
            <w:webHidden/>
          </w:rPr>
          <w:tab/>
        </w:r>
        <w:r w:rsidR="00FD416D">
          <w:rPr>
            <w:noProof/>
            <w:webHidden/>
          </w:rPr>
          <w:fldChar w:fldCharType="begin"/>
        </w:r>
        <w:r w:rsidR="00FD416D">
          <w:rPr>
            <w:noProof/>
            <w:webHidden/>
          </w:rPr>
          <w:instrText xml:space="preserve"> PAGEREF _Toc166591425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0043C6F8" w14:textId="4AE0444D" w:rsidR="00FD416D" w:rsidRDefault="00000000" w:rsidP="00FD416D">
      <w:pPr>
        <w:pStyle w:val="TOC2"/>
        <w:tabs>
          <w:tab w:val="left" w:pos="880"/>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26" w:history="1">
        <w:r w:rsidR="00FD416D" w:rsidRPr="00AB5003">
          <w:rPr>
            <w:rStyle w:val="Hyperlink"/>
            <w:noProof/>
          </w:rPr>
          <w:t>2.5</w:t>
        </w:r>
        <w:r w:rsidR="00FD416D">
          <w:rPr>
            <w:rFonts w:eastAsiaTheme="minorEastAsia" w:cstheme="minorBidi"/>
            <w:smallCaps w:val="0"/>
            <w:noProof/>
            <w:color w:val="auto"/>
            <w:kern w:val="2"/>
            <w:sz w:val="24"/>
            <w:szCs w:val="24"/>
            <w:lang w:val="en-US"/>
            <w14:ligatures w14:val="standardContextual"/>
          </w:rPr>
          <w:tab/>
        </w:r>
        <w:r w:rsidR="00FD416D" w:rsidRPr="00AB5003">
          <w:rPr>
            <w:rStyle w:val="Hyperlink"/>
            <w:noProof/>
          </w:rPr>
          <w:t>Métodos tradicionales de valoración</w:t>
        </w:r>
        <w:r w:rsidR="00FD416D">
          <w:rPr>
            <w:noProof/>
            <w:webHidden/>
          </w:rPr>
          <w:tab/>
        </w:r>
        <w:r w:rsidR="00FD416D">
          <w:rPr>
            <w:noProof/>
            <w:webHidden/>
          </w:rPr>
          <w:fldChar w:fldCharType="begin"/>
        </w:r>
        <w:r w:rsidR="00FD416D">
          <w:rPr>
            <w:noProof/>
            <w:webHidden/>
          </w:rPr>
          <w:instrText xml:space="preserve"> PAGEREF _Toc166591426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4334B7F0" w14:textId="37864A7A" w:rsidR="00FD416D" w:rsidRDefault="00000000" w:rsidP="00FD416D">
      <w:pPr>
        <w:pStyle w:val="TOC3"/>
        <w:tabs>
          <w:tab w:val="left" w:pos="1320"/>
          <w:tab w:val="right" w:leader="dot" w:pos="8488"/>
        </w:tabs>
        <w:spacing w:line="276" w:lineRule="auto"/>
        <w:rPr>
          <w:rFonts w:eastAsiaTheme="minorEastAsia" w:cstheme="minorBidi"/>
          <w:i w:val="0"/>
          <w:iCs w:val="0"/>
          <w:noProof/>
          <w:color w:val="auto"/>
          <w:kern w:val="2"/>
          <w:sz w:val="24"/>
          <w:szCs w:val="24"/>
          <w:lang w:val="en-US"/>
          <w14:ligatures w14:val="standardContextual"/>
        </w:rPr>
      </w:pPr>
      <w:hyperlink w:anchor="_Toc166591427" w:history="1">
        <w:r w:rsidR="00FD416D" w:rsidRPr="00AB5003">
          <w:rPr>
            <w:rStyle w:val="Hyperlink"/>
            <w:noProof/>
          </w:rPr>
          <w:t>2.5.1</w:t>
        </w:r>
        <w:r w:rsidR="00FD416D">
          <w:rPr>
            <w:rFonts w:eastAsiaTheme="minorEastAsia" w:cstheme="minorBidi"/>
            <w:i w:val="0"/>
            <w:iCs w:val="0"/>
            <w:noProof/>
            <w:color w:val="auto"/>
            <w:kern w:val="2"/>
            <w:sz w:val="24"/>
            <w:szCs w:val="24"/>
            <w:lang w:val="en-US"/>
            <w14:ligatures w14:val="standardContextual"/>
          </w:rPr>
          <w:tab/>
        </w:r>
        <w:r w:rsidR="00FD416D" w:rsidRPr="00AB5003">
          <w:rPr>
            <w:rStyle w:val="Hyperlink"/>
            <w:noProof/>
          </w:rPr>
          <w:t>Descuento de flujos de caja</w:t>
        </w:r>
        <w:r w:rsidR="00FD416D">
          <w:rPr>
            <w:noProof/>
            <w:webHidden/>
          </w:rPr>
          <w:tab/>
        </w:r>
        <w:r w:rsidR="00FD416D">
          <w:rPr>
            <w:noProof/>
            <w:webHidden/>
          </w:rPr>
          <w:fldChar w:fldCharType="begin"/>
        </w:r>
        <w:r w:rsidR="00FD416D">
          <w:rPr>
            <w:noProof/>
            <w:webHidden/>
          </w:rPr>
          <w:instrText xml:space="preserve"> PAGEREF _Toc166591427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58815398" w14:textId="490AD16C" w:rsidR="00FD416D" w:rsidRDefault="00000000" w:rsidP="00FD416D">
      <w:pPr>
        <w:pStyle w:val="TOC3"/>
        <w:tabs>
          <w:tab w:val="left" w:pos="1320"/>
          <w:tab w:val="right" w:leader="dot" w:pos="8488"/>
        </w:tabs>
        <w:spacing w:line="276" w:lineRule="auto"/>
        <w:rPr>
          <w:rFonts w:eastAsiaTheme="minorEastAsia" w:cstheme="minorBidi"/>
          <w:i w:val="0"/>
          <w:iCs w:val="0"/>
          <w:noProof/>
          <w:color w:val="auto"/>
          <w:kern w:val="2"/>
          <w:sz w:val="24"/>
          <w:szCs w:val="24"/>
          <w:lang w:val="en-US"/>
          <w14:ligatures w14:val="standardContextual"/>
        </w:rPr>
      </w:pPr>
      <w:hyperlink w:anchor="_Toc166591428" w:history="1">
        <w:r w:rsidR="00FD416D" w:rsidRPr="00AB5003">
          <w:rPr>
            <w:rStyle w:val="Hyperlink"/>
            <w:noProof/>
          </w:rPr>
          <w:t>2.5.2</w:t>
        </w:r>
        <w:r w:rsidR="00FD416D">
          <w:rPr>
            <w:rFonts w:eastAsiaTheme="minorEastAsia" w:cstheme="minorBidi"/>
            <w:i w:val="0"/>
            <w:iCs w:val="0"/>
            <w:noProof/>
            <w:color w:val="auto"/>
            <w:kern w:val="2"/>
            <w:sz w:val="24"/>
            <w:szCs w:val="24"/>
            <w:lang w:val="en-US"/>
            <w14:ligatures w14:val="standardContextual"/>
          </w:rPr>
          <w:tab/>
        </w:r>
        <w:r w:rsidR="00FD416D" w:rsidRPr="00AB5003">
          <w:rPr>
            <w:rStyle w:val="Hyperlink"/>
            <w:noProof/>
          </w:rPr>
          <w:t>Capitalización de mercado</w:t>
        </w:r>
        <w:r w:rsidR="00FD416D">
          <w:rPr>
            <w:noProof/>
            <w:webHidden/>
          </w:rPr>
          <w:tab/>
        </w:r>
        <w:r w:rsidR="00FD416D">
          <w:rPr>
            <w:noProof/>
            <w:webHidden/>
          </w:rPr>
          <w:fldChar w:fldCharType="begin"/>
        </w:r>
        <w:r w:rsidR="00FD416D">
          <w:rPr>
            <w:noProof/>
            <w:webHidden/>
          </w:rPr>
          <w:instrText xml:space="preserve"> PAGEREF _Toc166591428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7470DB89" w14:textId="15CD1C8D" w:rsidR="00FD416D" w:rsidRDefault="00000000" w:rsidP="00FD416D">
      <w:pPr>
        <w:pStyle w:val="TOC3"/>
        <w:tabs>
          <w:tab w:val="left" w:pos="1320"/>
          <w:tab w:val="right" w:leader="dot" w:pos="8488"/>
        </w:tabs>
        <w:spacing w:line="276" w:lineRule="auto"/>
        <w:rPr>
          <w:rFonts w:eastAsiaTheme="minorEastAsia" w:cstheme="minorBidi"/>
          <w:i w:val="0"/>
          <w:iCs w:val="0"/>
          <w:noProof/>
          <w:color w:val="auto"/>
          <w:kern w:val="2"/>
          <w:sz w:val="24"/>
          <w:szCs w:val="24"/>
          <w:lang w:val="en-US"/>
          <w14:ligatures w14:val="standardContextual"/>
        </w:rPr>
      </w:pPr>
      <w:hyperlink w:anchor="_Toc166591429" w:history="1">
        <w:r w:rsidR="00FD416D" w:rsidRPr="00AB5003">
          <w:rPr>
            <w:rStyle w:val="Hyperlink"/>
            <w:noProof/>
          </w:rPr>
          <w:t>2.5.3</w:t>
        </w:r>
        <w:r w:rsidR="00FD416D">
          <w:rPr>
            <w:rFonts w:eastAsiaTheme="minorEastAsia" w:cstheme="minorBidi"/>
            <w:i w:val="0"/>
            <w:iCs w:val="0"/>
            <w:noProof/>
            <w:color w:val="auto"/>
            <w:kern w:val="2"/>
            <w:sz w:val="24"/>
            <w:szCs w:val="24"/>
            <w:lang w:val="en-US"/>
            <w14:ligatures w14:val="standardContextual"/>
          </w:rPr>
          <w:tab/>
        </w:r>
        <w:r w:rsidR="00FD416D" w:rsidRPr="00AB5003">
          <w:rPr>
            <w:rStyle w:val="Hyperlink"/>
            <w:noProof/>
          </w:rPr>
          <w:t>Análisis por múltiplos de ingresos</w:t>
        </w:r>
        <w:r w:rsidR="00FD416D">
          <w:rPr>
            <w:noProof/>
            <w:webHidden/>
          </w:rPr>
          <w:tab/>
        </w:r>
        <w:r w:rsidR="00FD416D">
          <w:rPr>
            <w:noProof/>
            <w:webHidden/>
          </w:rPr>
          <w:fldChar w:fldCharType="begin"/>
        </w:r>
        <w:r w:rsidR="00FD416D">
          <w:rPr>
            <w:noProof/>
            <w:webHidden/>
          </w:rPr>
          <w:instrText xml:space="preserve"> PAGEREF _Toc166591429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28A31780" w14:textId="756CFE30" w:rsidR="00FD416D" w:rsidRDefault="00000000" w:rsidP="00FD416D">
      <w:pPr>
        <w:pStyle w:val="TOC3"/>
        <w:tabs>
          <w:tab w:val="left" w:pos="1320"/>
          <w:tab w:val="right" w:leader="dot" w:pos="8488"/>
        </w:tabs>
        <w:spacing w:line="276" w:lineRule="auto"/>
        <w:rPr>
          <w:rFonts w:eastAsiaTheme="minorEastAsia" w:cstheme="minorBidi"/>
          <w:i w:val="0"/>
          <w:iCs w:val="0"/>
          <w:noProof/>
          <w:color w:val="auto"/>
          <w:kern w:val="2"/>
          <w:sz w:val="24"/>
          <w:szCs w:val="24"/>
          <w:lang w:val="en-US"/>
          <w14:ligatures w14:val="standardContextual"/>
        </w:rPr>
      </w:pPr>
      <w:hyperlink w:anchor="_Toc166591430" w:history="1">
        <w:r w:rsidR="00FD416D" w:rsidRPr="00AB5003">
          <w:rPr>
            <w:rStyle w:val="Hyperlink"/>
            <w:noProof/>
          </w:rPr>
          <w:t>2.5.4</w:t>
        </w:r>
        <w:r w:rsidR="00FD416D">
          <w:rPr>
            <w:rFonts w:eastAsiaTheme="minorEastAsia" w:cstheme="minorBidi"/>
            <w:i w:val="0"/>
            <w:iCs w:val="0"/>
            <w:noProof/>
            <w:color w:val="auto"/>
            <w:kern w:val="2"/>
            <w:sz w:val="24"/>
            <w:szCs w:val="24"/>
            <w:lang w:val="en-US"/>
            <w14:ligatures w14:val="standardContextual"/>
          </w:rPr>
          <w:tab/>
        </w:r>
        <w:r w:rsidR="00FD416D" w:rsidRPr="00AB5003">
          <w:rPr>
            <w:rStyle w:val="Hyperlink"/>
            <w:noProof/>
          </w:rPr>
          <w:t>El modelo de Markham</w:t>
        </w:r>
        <w:r w:rsidR="00FD416D">
          <w:rPr>
            <w:noProof/>
            <w:webHidden/>
          </w:rPr>
          <w:tab/>
        </w:r>
        <w:r w:rsidR="00FD416D">
          <w:rPr>
            <w:noProof/>
            <w:webHidden/>
          </w:rPr>
          <w:fldChar w:fldCharType="begin"/>
        </w:r>
        <w:r w:rsidR="00FD416D">
          <w:rPr>
            <w:noProof/>
            <w:webHidden/>
          </w:rPr>
          <w:instrText xml:space="preserve"> PAGEREF _Toc166591430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13C93F60" w14:textId="6CE727BF" w:rsidR="00FD416D" w:rsidRDefault="00000000" w:rsidP="00FD416D">
      <w:pPr>
        <w:pStyle w:val="TOC1"/>
        <w:tabs>
          <w:tab w:val="left" w:pos="440"/>
          <w:tab w:val="right" w:leader="dot" w:pos="8488"/>
        </w:tabs>
        <w:spacing w:line="276" w:lineRule="auto"/>
        <w:rPr>
          <w:rFonts w:eastAsiaTheme="minorEastAsia" w:cstheme="minorBidi"/>
          <w:b w:val="0"/>
          <w:bCs w:val="0"/>
          <w:caps w:val="0"/>
          <w:noProof/>
          <w:color w:val="auto"/>
          <w:kern w:val="2"/>
          <w:sz w:val="24"/>
          <w:szCs w:val="24"/>
          <w:lang w:val="en-US"/>
          <w14:ligatures w14:val="standardContextual"/>
        </w:rPr>
      </w:pPr>
      <w:hyperlink w:anchor="_Toc166591431" w:history="1">
        <w:r w:rsidR="00FD416D" w:rsidRPr="00AB5003">
          <w:rPr>
            <w:rStyle w:val="Hyperlink"/>
            <w:noProof/>
          </w:rPr>
          <w:t>3</w:t>
        </w:r>
        <w:r w:rsidR="00FD416D">
          <w:rPr>
            <w:rFonts w:eastAsiaTheme="minorEastAsia" w:cstheme="minorBidi"/>
            <w:b w:val="0"/>
            <w:bCs w:val="0"/>
            <w:caps w:val="0"/>
            <w:noProof/>
            <w:color w:val="auto"/>
            <w:kern w:val="2"/>
            <w:sz w:val="24"/>
            <w:szCs w:val="24"/>
            <w:lang w:val="en-US"/>
            <w14:ligatures w14:val="standardContextual"/>
          </w:rPr>
          <w:tab/>
        </w:r>
        <w:r w:rsidR="00FD416D" w:rsidRPr="00AB5003">
          <w:rPr>
            <w:rStyle w:val="Hyperlink"/>
            <w:noProof/>
          </w:rPr>
          <w:t>Marco metodológico</w:t>
        </w:r>
        <w:r w:rsidR="00FD416D">
          <w:rPr>
            <w:noProof/>
            <w:webHidden/>
          </w:rPr>
          <w:tab/>
        </w:r>
        <w:r w:rsidR="00FD416D">
          <w:rPr>
            <w:noProof/>
            <w:webHidden/>
          </w:rPr>
          <w:fldChar w:fldCharType="begin"/>
        </w:r>
        <w:r w:rsidR="00FD416D">
          <w:rPr>
            <w:noProof/>
            <w:webHidden/>
          </w:rPr>
          <w:instrText xml:space="preserve"> PAGEREF _Toc166591431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2A91105B" w14:textId="279EAF8B" w:rsidR="00FD416D" w:rsidRDefault="00000000" w:rsidP="00FD416D">
      <w:pPr>
        <w:pStyle w:val="TOC2"/>
        <w:tabs>
          <w:tab w:val="left" w:pos="880"/>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32" w:history="1">
        <w:r w:rsidR="00FD416D" w:rsidRPr="00AB5003">
          <w:rPr>
            <w:rStyle w:val="Hyperlink"/>
            <w:noProof/>
          </w:rPr>
          <w:t>3.1</w:t>
        </w:r>
        <w:r w:rsidR="00FD416D">
          <w:rPr>
            <w:rFonts w:eastAsiaTheme="minorEastAsia" w:cstheme="minorBidi"/>
            <w:smallCaps w:val="0"/>
            <w:noProof/>
            <w:color w:val="auto"/>
            <w:kern w:val="2"/>
            <w:sz w:val="24"/>
            <w:szCs w:val="24"/>
            <w:lang w:val="en-US"/>
            <w14:ligatures w14:val="standardContextual"/>
          </w:rPr>
          <w:tab/>
        </w:r>
        <w:r w:rsidR="00FD416D" w:rsidRPr="00AB5003">
          <w:rPr>
            <w:rStyle w:val="Hyperlink"/>
            <w:noProof/>
          </w:rPr>
          <w:t>Análisis exploratorio</w:t>
        </w:r>
        <w:r w:rsidR="00FD416D">
          <w:rPr>
            <w:noProof/>
            <w:webHidden/>
          </w:rPr>
          <w:tab/>
        </w:r>
        <w:r w:rsidR="00FD416D">
          <w:rPr>
            <w:noProof/>
            <w:webHidden/>
          </w:rPr>
          <w:fldChar w:fldCharType="begin"/>
        </w:r>
        <w:r w:rsidR="00FD416D">
          <w:rPr>
            <w:noProof/>
            <w:webHidden/>
          </w:rPr>
          <w:instrText xml:space="preserve"> PAGEREF _Toc166591432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1A2D3BAB" w14:textId="1F962EB1" w:rsidR="00FD416D" w:rsidRDefault="00000000" w:rsidP="00FD416D">
      <w:pPr>
        <w:pStyle w:val="TOC2"/>
        <w:tabs>
          <w:tab w:val="left" w:pos="880"/>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33" w:history="1">
        <w:r w:rsidR="00FD416D" w:rsidRPr="00AB5003">
          <w:rPr>
            <w:rStyle w:val="Hyperlink"/>
            <w:noProof/>
          </w:rPr>
          <w:t>3.2</w:t>
        </w:r>
        <w:r w:rsidR="00FD416D">
          <w:rPr>
            <w:rFonts w:eastAsiaTheme="minorEastAsia" w:cstheme="minorBidi"/>
            <w:smallCaps w:val="0"/>
            <w:noProof/>
            <w:color w:val="auto"/>
            <w:kern w:val="2"/>
            <w:sz w:val="24"/>
            <w:szCs w:val="24"/>
            <w:lang w:val="en-US"/>
            <w14:ligatures w14:val="standardContextual"/>
          </w:rPr>
          <w:tab/>
        </w:r>
        <w:r w:rsidR="00FD416D" w:rsidRPr="00AB5003">
          <w:rPr>
            <w:rStyle w:val="Hyperlink"/>
            <w:noProof/>
          </w:rPr>
          <w:t>Clustering</w:t>
        </w:r>
        <w:r w:rsidR="00FD416D">
          <w:rPr>
            <w:noProof/>
            <w:webHidden/>
          </w:rPr>
          <w:tab/>
        </w:r>
        <w:r w:rsidR="00FD416D">
          <w:rPr>
            <w:noProof/>
            <w:webHidden/>
          </w:rPr>
          <w:fldChar w:fldCharType="begin"/>
        </w:r>
        <w:r w:rsidR="00FD416D">
          <w:rPr>
            <w:noProof/>
            <w:webHidden/>
          </w:rPr>
          <w:instrText xml:space="preserve"> PAGEREF _Toc166591433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5456C2F8" w14:textId="39C06293" w:rsidR="00FD416D" w:rsidRDefault="00000000" w:rsidP="00FD416D">
      <w:pPr>
        <w:pStyle w:val="TOC2"/>
        <w:tabs>
          <w:tab w:val="left" w:pos="880"/>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34" w:history="1">
        <w:r w:rsidR="00FD416D" w:rsidRPr="00AB5003">
          <w:rPr>
            <w:rStyle w:val="Hyperlink"/>
            <w:noProof/>
          </w:rPr>
          <w:t>3.3</w:t>
        </w:r>
        <w:r w:rsidR="00FD416D">
          <w:rPr>
            <w:rFonts w:eastAsiaTheme="minorEastAsia" w:cstheme="minorBidi"/>
            <w:smallCaps w:val="0"/>
            <w:noProof/>
            <w:color w:val="auto"/>
            <w:kern w:val="2"/>
            <w:sz w:val="24"/>
            <w:szCs w:val="24"/>
            <w:lang w:val="en-US"/>
            <w14:ligatures w14:val="standardContextual"/>
          </w:rPr>
          <w:tab/>
        </w:r>
        <w:r w:rsidR="00FD416D" w:rsidRPr="00AB5003">
          <w:rPr>
            <w:rStyle w:val="Hyperlink"/>
            <w:noProof/>
          </w:rPr>
          <w:t>Modelos predictivos</w:t>
        </w:r>
        <w:r w:rsidR="00FD416D">
          <w:rPr>
            <w:noProof/>
            <w:webHidden/>
          </w:rPr>
          <w:tab/>
        </w:r>
        <w:r w:rsidR="00FD416D">
          <w:rPr>
            <w:noProof/>
            <w:webHidden/>
          </w:rPr>
          <w:fldChar w:fldCharType="begin"/>
        </w:r>
        <w:r w:rsidR="00FD416D">
          <w:rPr>
            <w:noProof/>
            <w:webHidden/>
          </w:rPr>
          <w:instrText xml:space="preserve"> PAGEREF _Toc166591434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1F82989C" w14:textId="2DC31EB2" w:rsidR="00FD416D" w:rsidRDefault="00000000" w:rsidP="00FD416D">
      <w:pPr>
        <w:pStyle w:val="TOC1"/>
        <w:tabs>
          <w:tab w:val="left" w:pos="440"/>
          <w:tab w:val="right" w:leader="dot" w:pos="8488"/>
        </w:tabs>
        <w:spacing w:line="276" w:lineRule="auto"/>
        <w:rPr>
          <w:rFonts w:eastAsiaTheme="minorEastAsia" w:cstheme="minorBidi"/>
          <w:b w:val="0"/>
          <w:bCs w:val="0"/>
          <w:caps w:val="0"/>
          <w:noProof/>
          <w:color w:val="auto"/>
          <w:kern w:val="2"/>
          <w:sz w:val="24"/>
          <w:szCs w:val="24"/>
          <w:lang w:val="en-US"/>
          <w14:ligatures w14:val="standardContextual"/>
        </w:rPr>
      </w:pPr>
      <w:hyperlink w:anchor="_Toc166591435" w:history="1">
        <w:r w:rsidR="00FD416D" w:rsidRPr="00AB5003">
          <w:rPr>
            <w:rStyle w:val="Hyperlink"/>
            <w:noProof/>
          </w:rPr>
          <w:t>4</w:t>
        </w:r>
        <w:r w:rsidR="00FD416D">
          <w:rPr>
            <w:rFonts w:eastAsiaTheme="minorEastAsia" w:cstheme="minorBidi"/>
            <w:b w:val="0"/>
            <w:bCs w:val="0"/>
            <w:caps w:val="0"/>
            <w:noProof/>
            <w:color w:val="auto"/>
            <w:kern w:val="2"/>
            <w:sz w:val="24"/>
            <w:szCs w:val="24"/>
            <w:lang w:val="en-US"/>
            <w14:ligatures w14:val="standardContextual"/>
          </w:rPr>
          <w:tab/>
        </w:r>
        <w:r w:rsidR="00FD416D" w:rsidRPr="00AB5003">
          <w:rPr>
            <w:rStyle w:val="Hyperlink"/>
            <w:noProof/>
          </w:rPr>
          <w:t>Resultados</w:t>
        </w:r>
        <w:r w:rsidR="00FD416D">
          <w:rPr>
            <w:noProof/>
            <w:webHidden/>
          </w:rPr>
          <w:tab/>
        </w:r>
        <w:r w:rsidR="00FD416D">
          <w:rPr>
            <w:noProof/>
            <w:webHidden/>
          </w:rPr>
          <w:fldChar w:fldCharType="begin"/>
        </w:r>
        <w:r w:rsidR="00FD416D">
          <w:rPr>
            <w:noProof/>
            <w:webHidden/>
          </w:rPr>
          <w:instrText xml:space="preserve"> PAGEREF _Toc166591435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70255D74" w14:textId="1C6806D1" w:rsidR="00FD416D" w:rsidRDefault="00000000" w:rsidP="00FD416D">
      <w:pPr>
        <w:pStyle w:val="TOC1"/>
        <w:tabs>
          <w:tab w:val="left" w:pos="440"/>
          <w:tab w:val="right" w:leader="dot" w:pos="8488"/>
        </w:tabs>
        <w:spacing w:line="276" w:lineRule="auto"/>
        <w:rPr>
          <w:rFonts w:eastAsiaTheme="minorEastAsia" w:cstheme="minorBidi"/>
          <w:b w:val="0"/>
          <w:bCs w:val="0"/>
          <w:caps w:val="0"/>
          <w:noProof/>
          <w:color w:val="auto"/>
          <w:kern w:val="2"/>
          <w:sz w:val="24"/>
          <w:szCs w:val="24"/>
          <w:lang w:val="en-US"/>
          <w14:ligatures w14:val="standardContextual"/>
        </w:rPr>
      </w:pPr>
      <w:hyperlink w:anchor="_Toc166591436" w:history="1">
        <w:r w:rsidR="00FD416D" w:rsidRPr="00AB5003">
          <w:rPr>
            <w:rStyle w:val="Hyperlink"/>
            <w:noProof/>
          </w:rPr>
          <w:t>5</w:t>
        </w:r>
        <w:r w:rsidR="00FD416D">
          <w:rPr>
            <w:rFonts w:eastAsiaTheme="minorEastAsia" w:cstheme="minorBidi"/>
            <w:b w:val="0"/>
            <w:bCs w:val="0"/>
            <w:caps w:val="0"/>
            <w:noProof/>
            <w:color w:val="auto"/>
            <w:kern w:val="2"/>
            <w:sz w:val="24"/>
            <w:szCs w:val="24"/>
            <w:lang w:val="en-US"/>
            <w14:ligatures w14:val="standardContextual"/>
          </w:rPr>
          <w:tab/>
        </w:r>
        <w:r w:rsidR="00FD416D" w:rsidRPr="00AB5003">
          <w:rPr>
            <w:rStyle w:val="Hyperlink"/>
            <w:noProof/>
          </w:rPr>
          <w:t>Conclusiones</w:t>
        </w:r>
        <w:r w:rsidR="00FD416D">
          <w:rPr>
            <w:noProof/>
            <w:webHidden/>
          </w:rPr>
          <w:tab/>
        </w:r>
        <w:r w:rsidR="00FD416D">
          <w:rPr>
            <w:noProof/>
            <w:webHidden/>
          </w:rPr>
          <w:fldChar w:fldCharType="begin"/>
        </w:r>
        <w:r w:rsidR="00FD416D">
          <w:rPr>
            <w:noProof/>
            <w:webHidden/>
          </w:rPr>
          <w:instrText xml:space="preserve"> PAGEREF _Toc166591436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647F219A" w14:textId="7EDFD8FA" w:rsidR="00FD416D" w:rsidRDefault="00000000" w:rsidP="00FD416D">
      <w:pPr>
        <w:pStyle w:val="TOC1"/>
        <w:tabs>
          <w:tab w:val="left" w:pos="440"/>
          <w:tab w:val="right" w:leader="dot" w:pos="8488"/>
        </w:tabs>
        <w:spacing w:line="276" w:lineRule="auto"/>
        <w:rPr>
          <w:rFonts w:eastAsiaTheme="minorEastAsia" w:cstheme="minorBidi"/>
          <w:b w:val="0"/>
          <w:bCs w:val="0"/>
          <w:caps w:val="0"/>
          <w:noProof/>
          <w:color w:val="auto"/>
          <w:kern w:val="2"/>
          <w:sz w:val="24"/>
          <w:szCs w:val="24"/>
          <w:lang w:val="en-US"/>
          <w14:ligatures w14:val="standardContextual"/>
        </w:rPr>
      </w:pPr>
      <w:hyperlink w:anchor="_Toc166591437" w:history="1">
        <w:r w:rsidR="00FD416D" w:rsidRPr="00AB5003">
          <w:rPr>
            <w:rStyle w:val="Hyperlink"/>
            <w:noProof/>
          </w:rPr>
          <w:t>6</w:t>
        </w:r>
        <w:r w:rsidR="00FD416D">
          <w:rPr>
            <w:rFonts w:eastAsiaTheme="minorEastAsia" w:cstheme="minorBidi"/>
            <w:b w:val="0"/>
            <w:bCs w:val="0"/>
            <w:caps w:val="0"/>
            <w:noProof/>
            <w:color w:val="auto"/>
            <w:kern w:val="2"/>
            <w:sz w:val="24"/>
            <w:szCs w:val="24"/>
            <w:lang w:val="en-US"/>
            <w14:ligatures w14:val="standardContextual"/>
          </w:rPr>
          <w:tab/>
        </w:r>
        <w:r w:rsidR="00FD416D" w:rsidRPr="00AB5003">
          <w:rPr>
            <w:rStyle w:val="Hyperlink"/>
            <w:noProof/>
          </w:rPr>
          <w:t>Bibliografía</w:t>
        </w:r>
        <w:r w:rsidR="00FD416D">
          <w:rPr>
            <w:noProof/>
            <w:webHidden/>
          </w:rPr>
          <w:tab/>
        </w:r>
        <w:r w:rsidR="00FD416D">
          <w:rPr>
            <w:noProof/>
            <w:webHidden/>
          </w:rPr>
          <w:fldChar w:fldCharType="begin"/>
        </w:r>
        <w:r w:rsidR="00FD416D">
          <w:rPr>
            <w:noProof/>
            <w:webHidden/>
          </w:rPr>
          <w:instrText xml:space="preserve"> PAGEREF _Toc166591437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158E25BE" w14:textId="5BF4EC39" w:rsidR="00C21EA8" w:rsidRPr="00C67228" w:rsidRDefault="00C21EA8" w:rsidP="00C67228">
      <w:pPr>
        <w:pStyle w:val="Heading2"/>
        <w:numPr>
          <w:ilvl w:val="0"/>
          <w:numId w:val="0"/>
        </w:numPr>
        <w:rPr>
          <w:lang w:val="en-US"/>
        </w:rPr>
      </w:pPr>
      <w:r>
        <w:rPr>
          <w:rStyle w:val="Ninguno"/>
          <w:rFonts w:asciiTheme="minorHAnsi" w:hAnsiTheme="minorHAnsi"/>
          <w:b/>
          <w:bCs/>
          <w:smallCaps/>
          <w:sz w:val="20"/>
          <w:szCs w:val="20"/>
          <w:lang w:val="en-US"/>
        </w:rPr>
        <w:fldChar w:fldCharType="end"/>
      </w:r>
    </w:p>
    <w:p w14:paraId="379C0305" w14:textId="32DE4F1F" w:rsidR="00290DE1" w:rsidRPr="00CF0C87" w:rsidRDefault="00290DE1" w:rsidP="00C67228">
      <w:pPr>
        <w:pStyle w:val="Heading2"/>
        <w:numPr>
          <w:ilvl w:val="0"/>
          <w:numId w:val="0"/>
        </w:numPr>
      </w:pPr>
      <w:bookmarkStart w:id="7" w:name="_Toc166591412"/>
      <w:r w:rsidRPr="00CF0C87">
        <w:lastRenderedPageBreak/>
        <w:t>Resumen</w:t>
      </w:r>
      <w:bookmarkEnd w:id="7"/>
    </w:p>
    <w:p w14:paraId="7CCCDE05" w14:textId="58101BCB" w:rsidR="005813BE" w:rsidRPr="00290DE1" w:rsidRDefault="00290DE1" w:rsidP="00A060D8">
      <w:pPr>
        <w:jc w:val="both"/>
      </w:pPr>
      <w:r w:rsidRPr="00290DE1">
        <w:t xml:space="preserve">El propósito de esta investigación es la elaboración </w:t>
      </w:r>
      <w:r w:rsidR="005813BE">
        <w:t>de modelos de Machine Learning que permitan evaluar la calidad de los equipos de fútbol</w:t>
      </w:r>
      <w:r w:rsidR="00C61D3B">
        <w:t xml:space="preserve"> europeos</w:t>
      </w:r>
      <w:r w:rsidR="005813BE">
        <w:t xml:space="preserve"> como activos de inversión, con el fin de estimar el coste de participación de la entidad. Este proceso consiste de dos fases: </w:t>
      </w:r>
      <w:r w:rsidR="00C61D3B">
        <w:t xml:space="preserve">1) </w:t>
      </w:r>
      <w:r w:rsidR="005813BE">
        <w:t>la obtención de un modelo de perfilado y clasificación general de los equipos de fútbol</w:t>
      </w:r>
      <w:r w:rsidR="00C61D3B">
        <w:t xml:space="preserve"> según variables financieras</w:t>
      </w:r>
      <w:r w:rsidR="005813BE">
        <w:t xml:space="preserve">, </w:t>
      </w:r>
      <w:r w:rsidR="00C61D3B">
        <w:t>deportivas y de marca, y</w:t>
      </w:r>
      <w:r w:rsidR="005813BE">
        <w:t xml:space="preserve"> </w:t>
      </w:r>
      <w:r w:rsidR="00C61D3B">
        <w:t xml:space="preserve">2) </w:t>
      </w:r>
      <w:r w:rsidR="005813BE">
        <w:t>la elaboración de un modelo predictivo que estime el coste de participación en la entidad.</w:t>
      </w:r>
    </w:p>
    <w:p w14:paraId="48E5DF05" w14:textId="1AAF25F3" w:rsidR="00290DE1" w:rsidRPr="00F52DA8" w:rsidRDefault="00290DE1" w:rsidP="007C2620">
      <w:pPr>
        <w:rPr>
          <w:lang w:val="en-US"/>
        </w:rPr>
      </w:pPr>
      <w:r w:rsidRPr="00F52DA8">
        <w:rPr>
          <w:lang w:val="en-US"/>
        </w:rPr>
        <w:t xml:space="preserve">Palabras clave: </w:t>
      </w:r>
      <w:r w:rsidR="00E6714F" w:rsidRPr="00F52DA8">
        <w:rPr>
          <w:lang w:val="en-US"/>
        </w:rPr>
        <w:t>____</w:t>
      </w:r>
    </w:p>
    <w:p w14:paraId="61567104" w14:textId="675F64B7" w:rsidR="00A060D8" w:rsidRPr="00F52DA8" w:rsidRDefault="00A060D8" w:rsidP="00A060D8">
      <w:pPr>
        <w:pStyle w:val="Heading2"/>
        <w:numPr>
          <w:ilvl w:val="0"/>
          <w:numId w:val="0"/>
        </w:numPr>
        <w:ind w:left="576" w:hanging="576"/>
        <w:rPr>
          <w:lang w:val="en-US"/>
        </w:rPr>
      </w:pPr>
      <w:bookmarkStart w:id="8" w:name="_Toc166591413"/>
      <w:r w:rsidRPr="00F52DA8">
        <w:rPr>
          <w:lang w:val="en-US"/>
        </w:rPr>
        <w:t>Abstract</w:t>
      </w:r>
      <w:bookmarkEnd w:id="8"/>
    </w:p>
    <w:p w14:paraId="14208AFE" w14:textId="77777777" w:rsidR="00C61D3B" w:rsidRDefault="00C61D3B" w:rsidP="00C61D3B">
      <w:pPr>
        <w:jc w:val="both"/>
        <w:rPr>
          <w:lang w:val="en-US"/>
        </w:rPr>
      </w:pPr>
      <w:r w:rsidRPr="00C61D3B">
        <w:rPr>
          <w:lang w:val="en-US"/>
        </w:rPr>
        <w:t xml:space="preserve">The purpose of this research is the development of Machine Learning models to evaluate the quality of </w:t>
      </w:r>
      <w:r>
        <w:rPr>
          <w:lang w:val="en-US"/>
        </w:rPr>
        <w:t xml:space="preserve">European football clubs </w:t>
      </w:r>
      <w:r w:rsidRPr="00C61D3B">
        <w:rPr>
          <w:lang w:val="en-US"/>
        </w:rPr>
        <w:t>as investment assets</w:t>
      </w:r>
      <w:r>
        <w:rPr>
          <w:lang w:val="en-US"/>
        </w:rPr>
        <w:t xml:space="preserve"> and</w:t>
      </w:r>
      <w:r w:rsidRPr="00C61D3B">
        <w:rPr>
          <w:lang w:val="en-US"/>
        </w:rPr>
        <w:t xml:space="preserve"> estimate the cost of participation in the entity. This process consists of two phases: </w:t>
      </w:r>
      <w:r>
        <w:rPr>
          <w:lang w:val="en-US"/>
        </w:rPr>
        <w:t>1) building</w:t>
      </w:r>
      <w:r w:rsidRPr="00C61D3B">
        <w:rPr>
          <w:lang w:val="en-US"/>
        </w:rPr>
        <w:t xml:space="preserve"> a </w:t>
      </w:r>
      <w:r>
        <w:rPr>
          <w:lang w:val="en-US"/>
        </w:rPr>
        <w:t>clustering</w:t>
      </w:r>
      <w:r w:rsidRPr="00C61D3B">
        <w:rPr>
          <w:lang w:val="en-US"/>
        </w:rPr>
        <w:t xml:space="preserve"> and</w:t>
      </w:r>
      <w:r>
        <w:rPr>
          <w:lang w:val="en-US"/>
        </w:rPr>
        <w:t xml:space="preserve"> </w:t>
      </w:r>
      <w:r w:rsidRPr="00C61D3B">
        <w:rPr>
          <w:lang w:val="en-US"/>
        </w:rPr>
        <w:t xml:space="preserve">classification </w:t>
      </w:r>
      <w:r>
        <w:rPr>
          <w:lang w:val="en-US"/>
        </w:rPr>
        <w:t>model for</w:t>
      </w:r>
      <w:r w:rsidRPr="00C61D3B">
        <w:rPr>
          <w:lang w:val="en-US"/>
        </w:rPr>
        <w:t xml:space="preserve"> </w:t>
      </w:r>
      <w:r>
        <w:rPr>
          <w:lang w:val="en-US"/>
        </w:rPr>
        <w:t xml:space="preserve">football clubs </w:t>
      </w:r>
      <w:r w:rsidRPr="00C61D3B">
        <w:rPr>
          <w:lang w:val="en-US"/>
        </w:rPr>
        <w:t xml:space="preserve">according to their </w:t>
      </w:r>
      <w:r>
        <w:rPr>
          <w:lang w:val="en-US"/>
        </w:rPr>
        <w:t xml:space="preserve">financial, sporting, and brand variables, </w:t>
      </w:r>
      <w:r w:rsidRPr="00C61D3B">
        <w:rPr>
          <w:lang w:val="en-US"/>
        </w:rPr>
        <w:t>and</w:t>
      </w:r>
      <w:r>
        <w:rPr>
          <w:lang w:val="en-US"/>
        </w:rPr>
        <w:t xml:space="preserve"> 2)</w:t>
      </w:r>
      <w:r w:rsidRPr="00C61D3B">
        <w:rPr>
          <w:lang w:val="en-US"/>
        </w:rPr>
        <w:t xml:space="preserve"> the development of a predictive model that estimates the cost of participation in the entity.</w:t>
      </w:r>
    </w:p>
    <w:p w14:paraId="2919A7F5" w14:textId="5B4DAD47" w:rsidR="00A060D8" w:rsidRPr="00C61D3B" w:rsidRDefault="00C61D3B" w:rsidP="00C61D3B">
      <w:pPr>
        <w:jc w:val="both"/>
        <w:rPr>
          <w:lang w:val="en-US"/>
        </w:rPr>
      </w:pPr>
      <w:r>
        <w:rPr>
          <w:lang w:val="en-US"/>
        </w:rPr>
        <w:t>Keywords: _____</w:t>
      </w:r>
      <w:r w:rsidR="00A060D8" w:rsidRPr="00A060D8">
        <w:rPr>
          <w:lang w:val="en-US"/>
        </w:rPr>
        <w:br w:type="page"/>
      </w:r>
    </w:p>
    <w:p w14:paraId="02208192" w14:textId="51A7B00C" w:rsidR="00290DE1" w:rsidRPr="00C21EA8" w:rsidRDefault="00A060D8" w:rsidP="00A060D8">
      <w:pPr>
        <w:pStyle w:val="Heading1"/>
      </w:pPr>
      <w:bookmarkStart w:id="9" w:name="_Toc166591414"/>
      <w:r>
        <w:lastRenderedPageBreak/>
        <w:t>I</w:t>
      </w:r>
      <w:r w:rsidR="00290DE1" w:rsidRPr="00C21EA8">
        <w:t>ntroducción</w:t>
      </w:r>
      <w:bookmarkEnd w:id="9"/>
    </w:p>
    <w:p w14:paraId="00A47B11" w14:textId="2D62211E" w:rsidR="00290DE1" w:rsidRPr="00290DE1" w:rsidRDefault="00C61D3B" w:rsidP="00C35425">
      <w:pPr>
        <w:pStyle w:val="NormalWeb"/>
        <w:jc w:val="both"/>
      </w:pPr>
      <w:r>
        <w:t>Durante</w:t>
      </w:r>
      <w:r w:rsidR="00290DE1" w:rsidRPr="00290DE1">
        <w:t xml:space="preserve"> la última década, el capital privado ha incrementado su presencia en la industria del deporte, a medida que inversores institucionales (</w:t>
      </w:r>
      <w:r w:rsidR="00603F5A">
        <w:t>e.g</w:t>
      </w:r>
      <w:r w:rsidR="007D7110">
        <w:t xml:space="preserve"> </w:t>
      </w:r>
      <w:r w:rsidR="00290DE1" w:rsidRPr="00290DE1">
        <w:t>fondos de inversión y bancos,</w:t>
      </w:r>
      <w:r w:rsidR="007D7110">
        <w:t xml:space="preserve"> </w:t>
      </w:r>
      <w:r w:rsidR="00290DE1" w:rsidRPr="00290DE1">
        <w:t>aseguradoras</w:t>
      </w:r>
      <w:r w:rsidR="007D7110">
        <w:t xml:space="preserve">, </w:t>
      </w:r>
      <w:r w:rsidR="00290DE1" w:rsidRPr="00290DE1">
        <w:t>pensiones</w:t>
      </w:r>
      <w:r w:rsidR="0070336E">
        <w:t>, fondos de capital soberanos</w:t>
      </w:r>
      <w:r w:rsidR="007D7110">
        <w:t>…</w:t>
      </w:r>
      <w:r w:rsidR="00290DE1" w:rsidRPr="00290DE1">
        <w:t>) ganan interés en el sector.  Según encuestas, el 83% de los altos ejecutivos del deporte cree que esta inversión institucional seguirá creciendo en los próximos tres a cinco años</w:t>
      </w:r>
      <w:r w:rsidR="00290DE1">
        <w:t xml:space="preserve"> </w:t>
      </w:r>
      <w:r w:rsidR="00290DE1">
        <w:fldChar w:fldCharType="begin"/>
      </w:r>
      <w:r w:rsidR="00290DE1">
        <w:instrText xml:space="preserve"> ADDIN ZOTERO_ITEM CSL_CITATION {"citationID":"I64kJ8ne","properties":{"formattedCitation":"(PwC, 2023)","plainCitation":"(PwC, 2023)","noteIndex":0},"citationItems":[{"id":61,"uris":["http://zotero.org/users/local/0hfl8HiK/items/ZNXV7FF4"],"itemData":{"id":61,"type":"webpage","abstract":"Findings from PwC's 7th edition of its Global Sports Survey","container-title":"PwC","language":"en_gb","title":"Institutional investment in sport to grow in the next 3-5 years with overall sports industry growth prospects more positive compared to last year - PwC Global Sports Survey","URL":"https://www.pwc.co.uk/press-room/press-releases/Institutional-investment-in-sport-to-grow-in-the-next-3-5-years-pwc-global-sports-survey.html","author":[{"family":"PwC","given":""}],"accessed":{"date-parts":[["2024",5,3]]},"issued":{"date-parts":[["2023",2,7]]}}}],"schema":"https://github.com/citation-style-language/schema/raw/master/csl-citation.json"} </w:instrText>
      </w:r>
      <w:r w:rsidR="00290DE1">
        <w:fldChar w:fldCharType="separate"/>
      </w:r>
      <w:r w:rsidR="00290DE1">
        <w:rPr>
          <w:noProof/>
        </w:rPr>
        <w:t>(PwC, 2023)</w:t>
      </w:r>
      <w:r w:rsidR="00290DE1">
        <w:fldChar w:fldCharType="end"/>
      </w:r>
      <w:r w:rsidR="00290DE1">
        <w:t>.</w:t>
      </w:r>
    </w:p>
    <w:p w14:paraId="65768B70" w14:textId="4C0DAF34" w:rsidR="00290DE1" w:rsidRPr="00290DE1" w:rsidRDefault="00290DE1" w:rsidP="00C35425">
      <w:pPr>
        <w:pStyle w:val="NormalWeb"/>
        <w:jc w:val="both"/>
      </w:pPr>
      <w:r w:rsidRPr="00290DE1">
        <w:t xml:space="preserve">Existen </w:t>
      </w:r>
      <w:r w:rsidR="00701972">
        <w:t>divers</w:t>
      </w:r>
      <w:r w:rsidR="00C61D3B">
        <w:t xml:space="preserve">os activos </w:t>
      </w:r>
      <w:r w:rsidRPr="00290DE1">
        <w:t xml:space="preserve">para invertir en el deporte: agencias, academias, </w:t>
      </w:r>
      <w:r w:rsidR="00101E4A">
        <w:t xml:space="preserve">competiciones, </w:t>
      </w:r>
      <w:r w:rsidRPr="00290DE1">
        <w:t>estadios</w:t>
      </w:r>
      <w:r w:rsidR="00101E4A">
        <w:t>, derechos de transmisión</w:t>
      </w:r>
      <w:r w:rsidRPr="00290DE1">
        <w:t xml:space="preserve">; pero </w:t>
      </w:r>
      <w:r w:rsidR="00701972">
        <w:t>entre los más atractivos están</w:t>
      </w:r>
      <w:r w:rsidRPr="00290DE1">
        <w:t xml:space="preserve"> los equipos </w:t>
      </w:r>
      <w:r>
        <w:t xml:space="preserve">y </w:t>
      </w:r>
      <w:r w:rsidRPr="00290DE1">
        <w:t xml:space="preserve">franquicias deportivas. Estos activos, que solían ser vistos como vanidades de alto riesgo o </w:t>
      </w:r>
      <w:r w:rsidRPr="00290DE1">
        <w:rPr>
          <w:i/>
          <w:iCs/>
        </w:rPr>
        <w:t>trophy assets</w:t>
      </w:r>
      <w:r w:rsidRPr="00290DE1">
        <w:t xml:space="preserve"> para multimillonarios, están aumentando su capacidad para generar y retener ingresos, atrayendo a otro perfil de inversores </w:t>
      </w:r>
      <w:r>
        <w:fldChar w:fldCharType="begin"/>
      </w:r>
      <w:r>
        <w:instrText xml:space="preserve"> ADDIN ZOTERO_ITEM CSL_CITATION {"citationID":"oRvkhs4J","properties":{"formattedCitation":"(Struta, 2024)","plainCitation":"(Struta, 2024)","noteIndex":0},"citationItems":[{"id":63,"uris":["http://zotero.org/users/local/0hfl8HiK/items/IMWY2573"],"itemData":{"id":63,"type":"webpage","abstract":"Outsized returns are motivating a wider variety of investors to get off the sidelines and step up their investments in sports assets.","container-title":"S&amp;P Global Market Intelligence","language":"en-us","title":"Sports ownership shifts from trophy asset to lucrative investment","URL":"https://www.spglobal.com/marketintelligence/en/news-insights/research/sports-ownership-shifts-from-trophy-asset-to-lucrative-investment","author":[{"family":"Struta","given":"Iuri"}],"accessed":{"date-parts":[["2024",5,3]]},"issued":{"date-parts":[["2024",3,20]]}}}],"schema":"https://github.com/citation-style-language/schema/raw/master/csl-citation.json"} </w:instrText>
      </w:r>
      <w:r>
        <w:fldChar w:fldCharType="separate"/>
      </w:r>
      <w:r>
        <w:rPr>
          <w:noProof/>
        </w:rPr>
        <w:t>(Struta, 2024)</w:t>
      </w:r>
      <w:r>
        <w:fldChar w:fldCharType="end"/>
      </w:r>
      <w:r>
        <w:t>.</w:t>
      </w:r>
    </w:p>
    <w:p w14:paraId="2B8D3FA8" w14:textId="22A3B144" w:rsidR="00A574F0" w:rsidRDefault="00290DE1" w:rsidP="00C35425">
      <w:pPr>
        <w:pStyle w:val="NormalWeb"/>
        <w:jc w:val="both"/>
      </w:pPr>
      <w:r w:rsidRPr="00290DE1">
        <w:t xml:space="preserve">Según los propios inversores, actualmente las franquicias deportivas representan la agregación de audiencia y propiedad intelectual más valiosa del mundo. Al mismo tiempo, esta clase de activo tiene un consumidor muy particular: el fanático. El </w:t>
      </w:r>
      <w:r w:rsidRPr="00290DE1">
        <w:rPr>
          <w:i/>
          <w:iCs/>
        </w:rPr>
        <w:t>lifetime value</w:t>
      </w:r>
      <w:r w:rsidRPr="00290DE1">
        <w:t xml:space="preserve"> de un fanático es prácticamente una vida entera</w:t>
      </w:r>
      <w:r w:rsidR="007C6A29">
        <w:t xml:space="preserve"> y se hereda </w:t>
      </w:r>
      <w:r w:rsidRPr="00290DE1">
        <w:t xml:space="preserve">de generación en generación.  Además, todo el ecosistema se ha ido sofisticando y profesionalizando, haciéndose más eficiente en la monetización de esa fanaticada </w:t>
      </w:r>
      <w:r>
        <w:fldChar w:fldCharType="begin"/>
      </w:r>
      <w:r>
        <w:instrText xml:space="preserve"> ADDIN ZOTERO_ITEM CSL_CITATION {"citationID":"5lxAAuQ2","properties":{"formattedCitation":"(O\\uc0\\u8217{}Connor, David, 2024)","plainCitation":"(O’Connor, David, 2024)","noteIndex":0},"citationItems":[{"id":57,"uris":["http://zotero.org/users/local/0hfl8HiK/items/APYVZRGC"],"itemData":{"id":57,"type":"interview","abstract":"Generational, cultural, and legal shifts are making sports investing more attractive. Private capital is flowing in like never before, attracted by the power of sports to produce near recession-proof and dividend-like cash flows. As valuations rise with a booming media rights market, institutional investors are snapping up not just teams, but leagues and other companies comprising the broad sports ecosystem. We’ll talk with key investors and executives about their playbook for the burgeoning sports asset class.","language":"en-us","medium":"Bloomberg Live","source":"YouTube","title":"Private Equity Leaders on Sports Investment Strategies","URL":"https://www.youtube.com/watch?v=IitLGa9dD8Q","author":[{"literal":"O'Connor, David"}],"accessed":{"date-parts":[["2024",5,2]]},"issued":{"date-parts":[["2024",3,7]]}}}],"schema":"https://github.com/citation-style-language/schema/raw/master/csl-citation.json"} </w:instrText>
      </w:r>
      <w:r>
        <w:fldChar w:fldCharType="separate"/>
      </w:r>
      <w:r w:rsidRPr="00290DE1">
        <w:t>(O’Connor, David, 2024)</w:t>
      </w:r>
      <w:r>
        <w:fldChar w:fldCharType="end"/>
      </w:r>
      <w:r>
        <w:t>.</w:t>
      </w:r>
      <w:r w:rsidR="00A574F0">
        <w:t xml:space="preserve"> </w:t>
      </w:r>
    </w:p>
    <w:p w14:paraId="33149544" w14:textId="44ECDA9A" w:rsidR="00C00DB6" w:rsidRPr="00CA404D" w:rsidRDefault="00A574F0" w:rsidP="00C35425">
      <w:pPr>
        <w:jc w:val="both"/>
      </w:pPr>
      <w:r>
        <w:t xml:space="preserve">Este cambio viene habilitado por una serie de factores. En primer lugar, existen esfuerzos internos </w:t>
      </w:r>
      <w:r w:rsidR="00314F10">
        <w:t>(</w:t>
      </w:r>
      <w:r>
        <w:t>desde la directiva</w:t>
      </w:r>
      <w:r w:rsidR="00A96859">
        <w:t xml:space="preserve"> de</w:t>
      </w:r>
      <w:r>
        <w:t xml:space="preserve"> los propios equipos</w:t>
      </w:r>
      <w:r w:rsidR="00314F10">
        <w:t>)</w:t>
      </w:r>
      <w:r>
        <w:t xml:space="preserve"> y externos </w:t>
      </w:r>
      <w:r w:rsidR="00314F10">
        <w:t>(</w:t>
      </w:r>
      <w:r>
        <w:t>a nivel de ligas y competiciones</w:t>
      </w:r>
      <w:r w:rsidR="00314F10">
        <w:t xml:space="preserve">) </w:t>
      </w:r>
      <w:r>
        <w:t xml:space="preserve">para contener costes e incrementar ingresos. </w:t>
      </w:r>
      <w:r w:rsidR="00A96859">
        <w:t xml:space="preserve">Algunos ejemplos son </w:t>
      </w:r>
      <w:r>
        <w:t xml:space="preserve">la implementación  de las políticas de salud financiera de la UEFA </w:t>
      </w:r>
      <w:r w:rsidR="00C00DB6">
        <w:fldChar w:fldCharType="begin"/>
      </w:r>
      <w:r w:rsidR="00C00DB6">
        <w:instrText xml:space="preserve"> ADDIN ZOTERO_ITEM CSL_CITATION {"citationID":"OvpD1cJR","properties":{"formattedCitation":"(UEFA, 2023)","plainCitation":"(UEFA, 2023)","noteIndex":0},"citationItems":[{"id":71,"uris":["http://zotero.org/users/local/0hfl8HiK/items/37I4TVP2"],"itemData":{"id":71,"type":"document","language":"en-gb","title":"UEFA Club Licensing and Financial Sustainability Regulations","URL":"https://documents.uefa.com/r/UEFA-Club-Licensing-and-Financial-Sustainability-Regulations-2023/Article-1-Scope-of-application-Online","author":[{"literal":"UEFA"}],"accessed":{"date-parts":[["2024",5,5]]},"issued":{"date-parts":[["2023",6,1]]}}}],"schema":"https://github.com/citation-style-language/schema/raw/master/csl-citation.json"} </w:instrText>
      </w:r>
      <w:r w:rsidR="00C00DB6">
        <w:fldChar w:fldCharType="separate"/>
      </w:r>
      <w:r w:rsidR="00C00DB6">
        <w:rPr>
          <w:noProof/>
        </w:rPr>
        <w:t>(UEFA, 2023)</w:t>
      </w:r>
      <w:r w:rsidR="00C00DB6">
        <w:fldChar w:fldCharType="end"/>
      </w:r>
      <w:r>
        <w:t xml:space="preserve">, o la reestructuración de los contratos de patrocinios y derechos de transmisión en la CONMEBOL </w:t>
      </w:r>
      <w:r w:rsidRPr="00C00DB6">
        <w:t xml:space="preserve">para </w:t>
      </w:r>
      <w:r w:rsidR="00C00DB6">
        <w:t>maximizar</w:t>
      </w:r>
      <w:r>
        <w:t xml:space="preserve"> las recompensas </w:t>
      </w:r>
      <w:r w:rsidR="00C00DB6">
        <w:t>a</w:t>
      </w:r>
      <w:r>
        <w:t xml:space="preserve"> los equipos en </w:t>
      </w:r>
      <w:r w:rsidR="000042EB">
        <w:t>sus</w:t>
      </w:r>
      <w:r>
        <w:t xml:space="preserve"> competiciones a nivel continental</w:t>
      </w:r>
      <w:r w:rsidR="000042EB">
        <w:t xml:space="preserve"> </w:t>
      </w:r>
      <w:r w:rsidR="000042EB">
        <w:fldChar w:fldCharType="begin"/>
      </w:r>
      <w:r w:rsidR="000042EB">
        <w:instrText xml:space="preserve"> ADDIN ZOTERO_ITEM CSL_CITATION {"citationID":"roxTbHXQ","properties":{"formattedCitation":"(CONMEBOL, 2023)","plainCitation":"(CONMEBOL, 2023)","noteIndex":0},"citationItems":[{"id":73,"uris":["http://zotero.org/users/local/0hfl8HiK/items/PV3FL3GB"],"itemData":{"id":73,"type":"report","language":"es-419","publisher":"CONMEBOL","title":"Memoria 2022","author":[{"literal":"CONMEBOL"}],"issued":{"date-parts":[["2023",3,1]]}}}],"schema":"https://github.com/citation-style-language/schema/raw/master/csl-citation.json"} </w:instrText>
      </w:r>
      <w:r w:rsidR="000042EB">
        <w:fldChar w:fldCharType="separate"/>
      </w:r>
      <w:r w:rsidR="000042EB">
        <w:rPr>
          <w:noProof/>
        </w:rPr>
        <w:t>(CONMEBOL, 2023)</w:t>
      </w:r>
      <w:r w:rsidR="000042EB">
        <w:fldChar w:fldCharType="end"/>
      </w:r>
      <w:r>
        <w:t>. En segundo lugar, la incorporación gradual del capital privado trae consigo un cambi</w:t>
      </w:r>
      <w:r w:rsidR="00A96859">
        <w:t xml:space="preserve">o </w:t>
      </w:r>
      <w:r>
        <w:t xml:space="preserve">en la gestión de los equipos, </w:t>
      </w:r>
      <w:r w:rsidR="00A96859">
        <w:t>pasando</w:t>
      </w:r>
      <w:r>
        <w:t xml:space="preserve"> de un enfoque plenamente deportivo a uno que incorpora también la faceta de la organización como empresa</w:t>
      </w:r>
      <w:r w:rsidR="00A96859">
        <w:t>, donde “los</w:t>
      </w:r>
      <w:r w:rsidR="00C00DB6" w:rsidRPr="00C00DB6">
        <w:t xml:space="preserve"> fondos reconocen la necesidad </w:t>
      </w:r>
      <w:r w:rsidR="00A96859">
        <w:t xml:space="preserve">[de los clubes] </w:t>
      </w:r>
      <w:r w:rsidR="00C00DB6" w:rsidRPr="00C00DB6">
        <w:t>de contar con conocimientos específicos del sector para respaldar sus objetivos de inversión”</w:t>
      </w:r>
      <w:r w:rsidR="00C00DB6">
        <w:t xml:space="preserve"> </w:t>
      </w:r>
      <w:r w:rsidR="00C00DB6">
        <w:fldChar w:fldCharType="begin"/>
      </w:r>
      <w:r w:rsidR="00C00DB6">
        <w:instrText xml:space="preserve"> ADDIN ZOTERO_ITEM CSL_CITATION {"citationID":"rNy4USOe","properties":{"formattedCitation":"(Deloitte Sports Business Group, 2023)","plainCitation":"(Deloitte Sports Business Group, 2023)","noteIndex":0},"citationItems":[{"id":22,"uris":["http://zotero.org/users/local/0hfl8HiK/items/ZSQ2V835"],"itemData":{"id":22,"type":"report","abstract":"A new influx of capital will be invested in sports in 2023 as new stakeholders are attracted to the prestige and potential returns that the industry offers.","language":"en-gb","publisher":"Deloitte","title":"Deloitte’s outlook for sports investment in 2023","URL":"https://www2.deloitte.com/uk/en/pages/sports-business-group/solutions/making-informed-investment-decisions/deloittes-outlook-for-sports-investment.html","author":[{"literal":"Deloitte Sports Business Group"}],"accessed":{"date-parts":[["2024",4,26]]},"issued":{"date-parts":[["2023",3,1]]}}}],"schema":"https://github.com/citation-style-language/schema/raw/master/csl-citation.json"} </w:instrText>
      </w:r>
      <w:r w:rsidR="00C00DB6">
        <w:fldChar w:fldCharType="separate"/>
      </w:r>
      <w:r w:rsidR="00C00DB6">
        <w:t>(Deloitte Sports Business Group, 2023)</w:t>
      </w:r>
      <w:r w:rsidR="00C00DB6">
        <w:fldChar w:fldCharType="end"/>
      </w:r>
      <w:r w:rsidRPr="00C00DB6">
        <w:t>.</w:t>
      </w:r>
      <w:r w:rsidR="00CA404D">
        <w:t xml:space="preserve"> Por último, la cantidad limitada de activos en el mercado y la alta demanda de los mismos constituyen otro factor más que conduce el incremento en la valoración, reflejada en los costes de adquisición de los equipos.</w:t>
      </w:r>
      <w:r w:rsidR="00C35425">
        <w:t xml:space="preserve"> </w:t>
      </w:r>
    </w:p>
    <w:p w14:paraId="5C155549" w14:textId="41BBE1CF" w:rsidR="00290DE1" w:rsidRDefault="00290DE1" w:rsidP="00C35425">
      <w:pPr>
        <w:jc w:val="both"/>
      </w:pPr>
      <w:r w:rsidRPr="00290DE1">
        <w:lastRenderedPageBreak/>
        <w:t xml:space="preserve">Entre todos los deportes y regiones, el fútbol europeo es el que más inversión atrae hoy en día. En 2023, el 52% del volumen en adquisiciones de derechos deportivos a nivel mundial correspondieron </w:t>
      </w:r>
      <w:r w:rsidR="00E6714F">
        <w:t>al</w:t>
      </w:r>
      <w:r w:rsidRPr="00290DE1">
        <w:t xml:space="preserve"> fútbol. Al mismo tiempo, el 45% del volumen</w:t>
      </w:r>
      <w:r w:rsidR="00314F10">
        <w:t xml:space="preserve"> de inversión</w:t>
      </w:r>
      <w:r w:rsidRPr="00290DE1">
        <w:t xml:space="preserve"> en todos los deportes se destinó a la adquisición de entidades en Europa, seguidas de un 38% en Norte América </w:t>
      </w:r>
      <w:r>
        <w:fldChar w:fldCharType="begin"/>
      </w:r>
      <w:r w:rsidR="00C00DB6">
        <w:instrText xml:space="preserve"> ADDIN ZOTERO_ITEM CSL_CITATION {"citationID":"n32CvdAL","properties":{"formattedCitation":"(Deloitte Sports Business Group, 2024)","plainCitation":"(Deloitte Sports Business Group, 2024)","noteIndex":0},"citationItems":[{"id":44,"uris":["http://zotero.org/users/local/0hfl8HiK/items/DGT9NTAA"],"itemData":{"id":44,"type":"report","abstract":"2023 was a challenging year across global M&amp;A markets, suffering from the impact of high inflation and interest rate hikes amidst a challenging macroeconomic climate. With that said, the sports M&amp;A market showed its resilience with another year of strong investment activity as investors sought out quality assets.\n\nLooking ahead to 2024 and beyond, we expect to see significant levels of investment activity as macroeconomic challenges begin to ease and varying sources of capital continue to flow into the sector.","language":"en-gb","page":"13","publisher":"Deloitte","title":"Deloitte's 2024 Sports Investment Outlook","URL":"https://www2.deloitte.com/uk/en/pages/sports-business-group/articles/sports-investment-outlook-2024.html","author":[{"literal":"Deloitte Sports Business Group"}],"accessed":{"date-parts":[["2024",5,2]]},"issued":{"date-parts":[["2024",3,1]]}}}],"schema":"https://github.com/citation-style-language/schema/raw/master/csl-citation.json"} </w:instrText>
      </w:r>
      <w:r>
        <w:fldChar w:fldCharType="separate"/>
      </w:r>
      <w:r w:rsidR="00C00DB6">
        <w:t>(Deloitte Sports Business Group, 2024)</w:t>
      </w:r>
      <w:r>
        <w:fldChar w:fldCharType="end"/>
      </w:r>
      <w:r>
        <w:t>.</w:t>
      </w:r>
    </w:p>
    <w:p w14:paraId="72AAB06A" w14:textId="50997E57" w:rsidR="00CA404D" w:rsidRPr="00A060D8" w:rsidRDefault="00314F10" w:rsidP="00A060D8">
      <w:pPr>
        <w:jc w:val="both"/>
      </w:pPr>
      <w:r>
        <w:t xml:space="preserve">Sin embrago, los </w:t>
      </w:r>
      <w:r w:rsidR="008603E3">
        <w:t>equipos de fútbol son organizaciones con características muy particulares que los hacen difíciles de valorar</w:t>
      </w:r>
      <w:r w:rsidR="007D7110">
        <w:t xml:space="preserve">, y las metodologías de valoración tradicionales como el descuento de flujos de caja o la capitalización de mercado a menudo fallan cuando se comparan con las transacciones realizadas sobre equipos </w:t>
      </w:r>
      <w:r w:rsidR="007D7110">
        <w:fldChar w:fldCharType="begin"/>
      </w:r>
      <w:r w:rsidR="007D7110">
        <w:instrText xml:space="preserve"> ADDIN ZOTERO_ITEM CSL_CITATION {"citationID":"fMKCA9JV","properties":{"formattedCitation":"(Markham, 2013)","plainCitation":"(Markham, 2013)","noteIndex":0},"citationItems":[{"id":74,"uris":["http://zotero.org/users/local/0hfl8HiK/items/DXUEFMI2"],"itemData":{"id":74,"type":"article","abstract":"This paper introduces an original multivariate model developed to value English Premier League (EPL) clubs. Prior to developing the model, established valuation methods were assessed for their accuracy in estimating an EPL club’s worth. Of these models, three were general company valuation techniques: market capitalisation, discounted cash flow and bankruptcy values; and three were contemporary football industry valuation models: revenue multiples, Forbes ‘Most Valuable Soccer Teams’ and broker values. For comparison purposes the models were calculated for a sample period of nine seasons between the 2003/04 and 2011/12 seasons. Estimated valuations were also compared to actual club sale transaction prices during the same period. Comparative results show the multivariate model introduced in the paper is the only universally applicable and reliable methodology to value EPL clubs of the methods evaluated.","DOI":"10.2139/ssrn.2238265","event-place":"Rochester, NY","genre":"SSRN Scholarly Paper","language":"en","number":"2238265","publisher-place":"Rochester, NY","source":"Social Science Research Network","title":"What is the Optimal Method to Value a Football Club?","URL":"https://papers.ssrn.com/abstract=2238265","author":[{"family":"Markham","given":"Tom"}],"accessed":{"date-parts":[["2024",5,5]]},"issued":{"date-parts":[["2013",3,22]]}}}],"schema":"https://github.com/citation-style-language/schema/raw/master/csl-citation.json"} </w:instrText>
      </w:r>
      <w:r w:rsidR="007D7110">
        <w:fldChar w:fldCharType="separate"/>
      </w:r>
      <w:r w:rsidR="007D7110">
        <w:rPr>
          <w:noProof/>
        </w:rPr>
        <w:t>(Markham, 2013)</w:t>
      </w:r>
      <w:r w:rsidR="007D7110">
        <w:fldChar w:fldCharType="end"/>
      </w:r>
      <w:r w:rsidR="008603E3">
        <w:t xml:space="preserve">. </w:t>
      </w:r>
      <w:r w:rsidR="007D7110">
        <w:t xml:space="preserve">Al </w:t>
      </w:r>
      <w:r w:rsidR="008603E3">
        <w:t>exist</w:t>
      </w:r>
      <w:r w:rsidR="007D7110">
        <w:t>ir</w:t>
      </w:r>
      <w:r w:rsidR="008603E3">
        <w:t xml:space="preserve"> un vacío</w:t>
      </w:r>
      <w:r w:rsidR="007D7110">
        <w:t xml:space="preserve"> de</w:t>
      </w:r>
      <w:r w:rsidR="008603E3">
        <w:t xml:space="preserve"> </w:t>
      </w:r>
      <w:r w:rsidR="00CA404D" w:rsidRPr="00CA404D">
        <w:rPr>
          <w:i/>
          <w:iCs/>
        </w:rPr>
        <w:t>“</w:t>
      </w:r>
      <w:r w:rsidR="008603E3">
        <w:rPr>
          <w:i/>
          <w:iCs/>
        </w:rPr>
        <w:t>equity research</w:t>
      </w:r>
      <w:r w:rsidR="00CA404D">
        <w:rPr>
          <w:i/>
          <w:iCs/>
        </w:rPr>
        <w:t>”</w:t>
      </w:r>
      <w:r w:rsidR="008603E3">
        <w:t xml:space="preserve"> en este mercado,</w:t>
      </w:r>
      <w:r w:rsidR="007D7110">
        <w:t xml:space="preserve"> los inversores recurren a métodos imprecisos de valoración, como aplicar márgenes arbitrarios sobre transacciones anteriores </w:t>
      </w:r>
      <w:r w:rsidR="007D7110">
        <w:fldChar w:fldCharType="begin"/>
      </w:r>
      <w:r w:rsidR="007D7110">
        <w:instrText xml:space="preserve"> ADDIN ZOTERO_ITEM CSL_CITATION {"citationID":"0kskUOlv","properties":{"formattedCitation":"(Gerry Cardinale, 2022)","plainCitation":"(Gerry Cardinale, 2022)","noteIndex":0},"citationItems":[{"id":59,"uris":["http://zotero.org/users/local/0hfl8HiK/items/MREJT3HG"],"itemData":{"id":59,"type":"interview","abstract":"Gerry Cardinale, Founder &amp; Managing Partner, RedBird Capital Partners discusses investing in sports with Bloomberg’s Jason Kelly at the Bloomberg Wealth Summit.","language":"en-us","medium":"Bloomberg Live","source":"YouTube","title":"RedBird Capital Partners’ Cardinale on Investing in Sports","URL":"https://www.youtube.com/watch?v=TCM0albO5zU","author":[{"literal":"Gerry Cardinale"}],"accessed":{"date-parts":[["2024",5,2]]},"issued":{"date-parts":[["2022"]]}}}],"schema":"https://github.com/citation-style-language/schema/raw/master/csl-citation.json"} </w:instrText>
      </w:r>
      <w:r w:rsidR="007D7110">
        <w:fldChar w:fldCharType="separate"/>
      </w:r>
      <w:r w:rsidR="007D7110">
        <w:rPr>
          <w:noProof/>
        </w:rPr>
        <w:t>(Gerry Cardinale, 2022)</w:t>
      </w:r>
      <w:r w:rsidR="007D7110">
        <w:fldChar w:fldCharType="end"/>
      </w:r>
      <w:r w:rsidR="007D7110">
        <w:t>.</w:t>
      </w:r>
    </w:p>
    <w:p w14:paraId="302E585E" w14:textId="27562D4A" w:rsidR="00C21EA8" w:rsidRDefault="00C21EA8" w:rsidP="00A060D8">
      <w:pPr>
        <w:pStyle w:val="Heading3"/>
        <w:numPr>
          <w:ilvl w:val="0"/>
          <w:numId w:val="0"/>
        </w:numPr>
      </w:pPr>
      <w:bookmarkStart w:id="10" w:name="_Toc166591415"/>
      <w:r w:rsidRPr="00C21EA8">
        <w:t>Objetivos</w:t>
      </w:r>
      <w:bookmarkEnd w:id="10"/>
    </w:p>
    <w:p w14:paraId="229110C1" w14:textId="110AB3A2" w:rsidR="00C21EA8" w:rsidRDefault="00CA404D" w:rsidP="007C2620">
      <w:r>
        <w:t>De manera que, este estudio pretende satisfacer esa necesidad de proveer metodologías fiables para evaluar y valorar equipos de fútbol, con un enfoque apoyado en el dato para la toma de decisiones.</w:t>
      </w:r>
    </w:p>
    <w:p w14:paraId="4C9B9DDF" w14:textId="1B825365" w:rsidR="00CA404D" w:rsidRDefault="00603F5A" w:rsidP="007C2620">
      <w:r>
        <w:t xml:space="preserve">Esta </w:t>
      </w:r>
      <w:r w:rsidR="00CA404D">
        <w:t>valoración se plantea en dos niveles:</w:t>
      </w:r>
    </w:p>
    <w:p w14:paraId="56DC875B" w14:textId="601945AB" w:rsidR="00CA404D" w:rsidRDefault="00CA404D" w:rsidP="007C2620">
      <w:pPr>
        <w:pStyle w:val="ListParagraph"/>
        <w:numPr>
          <w:ilvl w:val="0"/>
          <w:numId w:val="2"/>
        </w:numPr>
      </w:pPr>
      <w:r>
        <w:t xml:space="preserve">La clasificación </w:t>
      </w:r>
      <w:r w:rsidR="00603F5A">
        <w:t>de</w:t>
      </w:r>
      <w:r w:rsidR="00220EBC">
        <w:t xml:space="preserve">l </w:t>
      </w:r>
      <w:r w:rsidR="00603F5A">
        <w:t>equipo como activo, atendiendo a su capacidad y potencial de generar ingresos, así como el riesgo asociado al mismo.</w:t>
      </w:r>
    </w:p>
    <w:p w14:paraId="285B7078" w14:textId="5BA840FB" w:rsidR="00603F5A" w:rsidRPr="00C21EA8" w:rsidRDefault="00603F5A" w:rsidP="007C2620">
      <w:pPr>
        <w:pStyle w:val="ListParagraph"/>
        <w:numPr>
          <w:ilvl w:val="0"/>
          <w:numId w:val="2"/>
        </w:numPr>
      </w:pPr>
      <w:r>
        <w:t>La estimación del coste unitario de adquisición de la entidad (i.e el coste de adquirir el equivalente a una participación del 1%) en euros, tomando en cuenta la clasificación general anterior y el contexto detallado del equipo.</w:t>
      </w:r>
    </w:p>
    <w:p w14:paraId="50AE1A6A" w14:textId="587FCFDF" w:rsidR="00717D05" w:rsidRDefault="00C21EA8" w:rsidP="00717D05">
      <w:pPr>
        <w:pStyle w:val="Heading3"/>
        <w:numPr>
          <w:ilvl w:val="0"/>
          <w:numId w:val="0"/>
        </w:numPr>
        <w:ind w:left="720" w:hanging="720"/>
      </w:pPr>
      <w:bookmarkStart w:id="11" w:name="_Toc166591416"/>
      <w:r w:rsidRPr="00A96859">
        <w:t>Hipótesis</w:t>
      </w:r>
      <w:bookmarkEnd w:id="11"/>
    </w:p>
    <w:p w14:paraId="238B48FF" w14:textId="5EC2C781" w:rsidR="00717D05" w:rsidRDefault="00717D05" w:rsidP="00717D05">
      <w:pPr>
        <w:pStyle w:val="ListParagraph"/>
        <w:numPr>
          <w:ilvl w:val="0"/>
          <w:numId w:val="8"/>
        </w:numPr>
      </w:pPr>
      <w:r>
        <w:t>Con</w:t>
      </w:r>
      <w:r w:rsidR="00DC14CD">
        <w:t xml:space="preserve"> variables financieras, deportivas y de marca</w:t>
      </w:r>
      <w:r>
        <w:t>, es posible obtener perfiles definidos para los equipos de fútbol mediante análisis factorial y clustering.</w:t>
      </w:r>
    </w:p>
    <w:p w14:paraId="5568B006" w14:textId="1E155FE2" w:rsidR="00717D05" w:rsidRDefault="00717D05" w:rsidP="00717D05">
      <w:pPr>
        <w:pStyle w:val="ListParagraph"/>
        <w:numPr>
          <w:ilvl w:val="0"/>
          <w:numId w:val="8"/>
        </w:numPr>
      </w:pPr>
      <w:r>
        <w:t xml:space="preserve">Un modelo predictivo </w:t>
      </w:r>
      <w:r w:rsidR="00FD416D">
        <w:t xml:space="preserve">de machine learning </w:t>
      </w:r>
      <w:r>
        <w:t>que</w:t>
      </w:r>
      <w:r w:rsidR="00DC14CD">
        <w:t xml:space="preserve"> incorpora es</w:t>
      </w:r>
      <w:r w:rsidR="00FD416D">
        <w:t xml:space="preserve">ta información </w:t>
      </w:r>
      <w:r w:rsidR="00F52DA8">
        <w:t>será capaz</w:t>
      </w:r>
      <w:r w:rsidR="00FD416D">
        <w:t xml:space="preserve"> de obtener</w:t>
      </w:r>
      <w:r w:rsidR="00F52DA8">
        <w:t xml:space="preserve"> estimaciones útiles para tomar decisiones de inversión</w:t>
      </w:r>
      <w:r w:rsidR="00FD416D">
        <w:t>.</w:t>
      </w:r>
    </w:p>
    <w:p w14:paraId="65C5710A" w14:textId="77777777" w:rsidR="00FD416D" w:rsidRDefault="00FD416D">
      <w:pPr>
        <w:pBdr>
          <w:top w:val="nil"/>
          <w:left w:val="nil"/>
          <w:bottom w:val="nil"/>
          <w:right w:val="nil"/>
          <w:between w:val="nil"/>
          <w:bar w:val="nil"/>
        </w:pBdr>
        <w:spacing w:before="0" w:beforeAutospacing="0" w:after="0" w:afterAutospacing="0" w:line="240" w:lineRule="auto"/>
        <w:rPr>
          <w:color w:val="434343"/>
          <w:sz w:val="28"/>
          <w:szCs w:val="28"/>
        </w:rPr>
      </w:pPr>
      <w:r>
        <w:br w:type="page"/>
      </w:r>
    </w:p>
    <w:p w14:paraId="791F8064" w14:textId="7C15A770" w:rsidR="00117E9E" w:rsidRDefault="00117E9E" w:rsidP="00117E9E">
      <w:pPr>
        <w:pStyle w:val="Heading3"/>
        <w:numPr>
          <w:ilvl w:val="0"/>
          <w:numId w:val="0"/>
        </w:numPr>
        <w:ind w:left="720" w:hanging="720"/>
      </w:pPr>
      <w:bookmarkStart w:id="12" w:name="_Toc166591417"/>
      <w:r>
        <w:lastRenderedPageBreak/>
        <w:t>Estructura</w:t>
      </w:r>
      <w:bookmarkEnd w:id="12"/>
    </w:p>
    <w:p w14:paraId="70124B2C" w14:textId="0083EF8F" w:rsidR="00117E9E" w:rsidRPr="00117E9E" w:rsidRDefault="00117E9E" w:rsidP="00117E9E">
      <w:pPr>
        <w:jc w:val="both"/>
      </w:pPr>
      <w:r>
        <w:t>En primer lugar, se llevará a cabo un riguroso estudio de la literatura y del contexto actual del mercado en el marco teórico, entendiendo las características de los inversores, de los equipos</w:t>
      </w:r>
      <w:r w:rsidR="00717D05">
        <w:t xml:space="preserve"> de fúbtol</w:t>
      </w:r>
      <w:r>
        <w:t>, y la información necesaria</w:t>
      </w:r>
      <w:r w:rsidR="00717D05">
        <w:t xml:space="preserve"> para evaluarlos</w:t>
      </w:r>
      <w:r>
        <w:t>. En este apartado también se llevará a cabo una revisión de las metodologías tradicionales de valoración y sus defectos. En el marco metodológico se explicarán los pasos necesarios para la generación del conjunto de datos</w:t>
      </w:r>
      <w:r w:rsidR="00717D05">
        <w:t>, así como la construcción y evaluación de los modelos. Elos resultados se incluirán visualizaciones del conjunto de datos (análisis exploratorio) y la evaluación del rendimiento de los modelos obtenidos en comparación con los modelos tradicionales. Finalmente, en las conclusiones se resumirán los resultados obtenidos así y se plantearán posibles líneas de investigación futuras.</w:t>
      </w:r>
    </w:p>
    <w:p w14:paraId="28AA1D54" w14:textId="3B85BC7B" w:rsidR="00314F10" w:rsidRPr="001506D4" w:rsidRDefault="004E527C" w:rsidP="001506D4">
      <w:pPr>
        <w:pStyle w:val="Heading1"/>
      </w:pPr>
      <w:bookmarkStart w:id="13" w:name="_Toc166591418"/>
      <w:r w:rsidRPr="001506D4">
        <w:t>Marco Teórico</w:t>
      </w:r>
      <w:bookmarkEnd w:id="13"/>
    </w:p>
    <w:p w14:paraId="325B96D1" w14:textId="2EA3A79D" w:rsidR="00314F10" w:rsidRPr="001506D4" w:rsidRDefault="00314F10" w:rsidP="001506D4">
      <w:pPr>
        <w:pStyle w:val="Heading2"/>
      </w:pPr>
      <w:bookmarkStart w:id="14" w:name="_Toc166591419"/>
      <w:r w:rsidRPr="001506D4">
        <w:t>El inversor</w:t>
      </w:r>
      <w:bookmarkEnd w:id="14"/>
      <w:r w:rsidR="001506D4" w:rsidRPr="001506D4">
        <w:t xml:space="preserve"> </w:t>
      </w:r>
    </w:p>
    <w:p w14:paraId="48147C70" w14:textId="1052F27B" w:rsidR="0070336E" w:rsidRDefault="007C2620" w:rsidP="007C2620">
      <w:pPr>
        <w:jc w:val="both"/>
      </w:pPr>
      <w:r w:rsidRPr="007C2620">
        <w:t>E</w:t>
      </w:r>
      <w:r w:rsidR="00C35425">
        <w:t>n 2023,</w:t>
      </w:r>
      <w:r w:rsidRPr="007C2620">
        <w:t xml:space="preserve"> 57% de los </w:t>
      </w:r>
      <w:r w:rsidR="00C35425">
        <w:t>compradores de derechos deportivos</w:t>
      </w:r>
      <w:r w:rsidRPr="007C2620">
        <w:t xml:space="preserve"> vinieron de Norte</w:t>
      </w:r>
      <w:r w:rsidR="0070336E">
        <w:t>a</w:t>
      </w:r>
      <w:r w:rsidRPr="007C2620">
        <w:t>mérica</w:t>
      </w:r>
      <w:r w:rsidR="00E34413">
        <w:t>, seguidos de un 20% proveniente de Europa y un 10% de Oriente Medio.</w:t>
      </w:r>
      <w:r w:rsidRPr="007C2620">
        <w:t xml:space="preserve"> </w:t>
      </w:r>
      <w:r w:rsidR="00E34413">
        <w:t>E</w:t>
      </w:r>
      <w:r w:rsidRPr="007C2620">
        <w:t xml:space="preserve">l principal objetivo </w:t>
      </w:r>
      <w:r w:rsidR="00C35425">
        <w:t xml:space="preserve">de inversión </w:t>
      </w:r>
      <w:r w:rsidRPr="007C2620">
        <w:t>fueron clubes ingleses</w:t>
      </w:r>
      <w:r>
        <w:t xml:space="preserve">, constituyendo el </w:t>
      </w:r>
      <w:r w:rsidRPr="007C2620">
        <w:t>29% de tod</w:t>
      </w:r>
      <w:r>
        <w:t>as las adquisiciones</w:t>
      </w:r>
      <w:r w:rsidR="00E34413">
        <w:t xml:space="preserve">, aunque </w:t>
      </w:r>
      <w:r w:rsidRPr="007C2620">
        <w:t>el 62% de la inversi</w:t>
      </w:r>
      <w:r w:rsidR="0070336E">
        <w:t>ón</w:t>
      </w:r>
      <w:r w:rsidRPr="007C2620">
        <w:t xml:space="preserve"> de</w:t>
      </w:r>
      <w:r>
        <w:t>l capital</w:t>
      </w:r>
      <w:r w:rsidRPr="007C2620">
        <w:t xml:space="preserve"> </w:t>
      </w:r>
      <w:r>
        <w:t>n</w:t>
      </w:r>
      <w:r w:rsidRPr="007C2620">
        <w:t>orteamerican</w:t>
      </w:r>
      <w:r>
        <w:t>o</w:t>
      </w:r>
      <w:r w:rsidRPr="007C2620">
        <w:t xml:space="preserve"> fue</w:t>
      </w:r>
      <w:r>
        <w:t xml:space="preserve"> </w:t>
      </w:r>
      <w:r w:rsidRPr="007C2620">
        <w:t>en activos domesticos</w:t>
      </w:r>
      <w:r w:rsidR="00E34413">
        <w:t>.</w:t>
      </w:r>
      <w:r>
        <w:t xml:space="preserve"> </w:t>
      </w:r>
      <w:r>
        <w:fldChar w:fldCharType="begin"/>
      </w:r>
      <w:r>
        <w:instrText xml:space="preserve"> ADDIN ZOTERO_ITEM CSL_CITATION {"citationID":"xU2QtVE1","properties":{"formattedCitation":"(Deloitte Sports Business Group, 2024)","plainCitation":"(Deloitte Sports Business Group, 2024)","noteIndex":0},"citationItems":[{"id":44,"uris":["http://zotero.org/users/local/0hfl8HiK/items/DGT9NTAA"],"itemData":{"id":44,"type":"report","abstract":"2023 was a challenging year across global M&amp;A markets, suffering from the impact of high inflation and interest rate hikes amidst a challenging macroeconomic climate. With that said, the sports M&amp;A market showed its resilience with another year of strong investment activity as investors sought out quality assets.\n\nLooking ahead to 2024 and beyond, we expect to see significant levels of investment activity as macroeconomic challenges begin to ease and varying sources of capital continue to flow into the sector.","language":"en-gb","page":"13","publisher":"Deloitte","title":"Deloitte's 2024 Sports Investment Outlook","URL":"https://www2.deloitte.com/uk/en/pages/sports-business-group/articles/sports-investment-outlook-2024.html","author":[{"literal":"Deloitte Sports Business Group"}],"accessed":{"date-parts":[["2024",5,2]]},"issued":{"date-parts":[["2024",3,1]]}}}],"schema":"https://github.com/citation-style-language/schema/raw/master/csl-citation.json"} </w:instrText>
      </w:r>
      <w:r>
        <w:fldChar w:fldCharType="separate"/>
      </w:r>
      <w:r>
        <w:rPr>
          <w:noProof/>
        </w:rPr>
        <w:t>(Deloitte Sports Business Group, 2024)</w:t>
      </w:r>
      <w:r>
        <w:fldChar w:fldCharType="end"/>
      </w:r>
      <w:r w:rsidRPr="007C2620">
        <w:t>.</w:t>
      </w:r>
      <w:r>
        <w:t xml:space="preserve"> </w:t>
      </w:r>
    </w:p>
    <w:p w14:paraId="07815B5F" w14:textId="4EA24B81" w:rsidR="00CA6A3D" w:rsidRDefault="00FF37D0" w:rsidP="00117E9E">
      <w:pPr>
        <w:jc w:val="both"/>
      </w:pPr>
      <w:r>
        <w:t>En este entorno</w:t>
      </w:r>
      <w:r w:rsidR="00117E9E">
        <w:t xml:space="preserve">, </w:t>
      </w:r>
      <w:r>
        <w:t xml:space="preserve">han surgido fondos de capital </w:t>
      </w:r>
      <w:r w:rsidR="00101E4A">
        <w:t xml:space="preserve">con franquicias específicamente </w:t>
      </w:r>
      <w:r>
        <w:t>dedicad</w:t>
      </w:r>
      <w:r w:rsidR="00101E4A">
        <w:t>a</w:t>
      </w:r>
      <w:r>
        <w:t>s a la inversión en deporte</w:t>
      </w:r>
      <w:r w:rsidR="00101E4A">
        <w:t>, capaces de atraer capital de otros inversores institucionales y desplegarlo en un portafolio diversificado a lo largo de distintas regiones, d</w:t>
      </w:r>
      <w:r w:rsidR="00EB10AC">
        <w:t>isciplinas</w:t>
      </w:r>
      <w:r w:rsidR="00101E4A">
        <w:t xml:space="preserve">, y mercados derivados del mismo </w:t>
      </w:r>
      <w:r w:rsidR="00101E4A">
        <w:fldChar w:fldCharType="begin"/>
      </w:r>
      <w:r w:rsidR="00101E4A">
        <w:instrText xml:space="preserve"> ADDIN ZOTERO_ITEM CSL_CITATION {"citationID":"XBeAa6hd","properties":{"formattedCitation":"(Deloitte Sports Business Group, 2023)","plainCitation":"(Deloitte Sports Business Group, 2023)","noteIndex":0},"citationItems":[{"id":22,"uris":["http://zotero.org/users/local/0hfl8HiK/items/ZSQ2V835"],"itemData":{"id":22,"type":"report","abstract":"A new influx of capital will be invested in sports in 2023 as new stakeholders are attracted to the prestige and potential returns that the industry offers.","language":"en-gb","publisher":"Deloitte","title":"Deloitte’s outlook for sports investment in 2023","URL":"https://www2.deloitte.com/uk/en/pages/sports-business-group/solutions/making-informed-investment-decisions/deloittes-outlook-for-sports-investment.html","author":[{"literal":"Deloitte Sports Business Group"}],"accessed":{"date-parts":[["2024",4,26]]},"issued":{"date-parts":[["2023",3,1]]}}}],"schema":"https://github.com/citation-style-language/schema/raw/master/csl-citation.json"} </w:instrText>
      </w:r>
      <w:r w:rsidR="00101E4A">
        <w:fldChar w:fldCharType="separate"/>
      </w:r>
      <w:r w:rsidR="00101E4A">
        <w:rPr>
          <w:noProof/>
        </w:rPr>
        <w:t>(Deloitte Sports Business Group, 2023)</w:t>
      </w:r>
      <w:r w:rsidR="00101E4A">
        <w:fldChar w:fldCharType="end"/>
      </w:r>
      <w:r w:rsidR="00101E4A">
        <w:t>.</w:t>
      </w:r>
      <w:r w:rsidR="00EB10AC">
        <w:t xml:space="preserve"> </w:t>
      </w:r>
      <w:r w:rsidR="00102CA6">
        <w:t xml:space="preserve">Un </w:t>
      </w:r>
      <w:r w:rsidR="00CA6A3D">
        <w:t>portafolio diverso</w:t>
      </w:r>
      <w:r w:rsidR="00102CA6">
        <w:t xml:space="preserve"> permite</w:t>
      </w:r>
      <w:r w:rsidR="00CA6A3D">
        <w:t xml:space="preserve"> minimizar el riesgo y asegurar posiciones en distintas áreas del deporte, </w:t>
      </w:r>
      <w:r w:rsidR="009B197F">
        <w:t xml:space="preserve">accediendo </w:t>
      </w:r>
      <w:r w:rsidR="00CA6A3D">
        <w:t xml:space="preserve">a ventajas operacionales y estratégicas </w:t>
      </w:r>
      <w:r w:rsidR="009B197F">
        <w:t xml:space="preserve">resultantes de la </w:t>
      </w:r>
      <w:r w:rsidR="00CA6A3D">
        <w:t>relación entre estos activos.</w:t>
      </w:r>
    </w:p>
    <w:p w14:paraId="5751BE6C" w14:textId="5D8ED800" w:rsidR="00EB10AC" w:rsidRDefault="00EB10AC" w:rsidP="00101E4A">
      <w:pPr>
        <w:jc w:val="both"/>
      </w:pPr>
      <w:r>
        <w:t xml:space="preserve">A su vez, se presenció una preferencia general hacia participaciones minoritarias (i.e, adquisiciones de participaciones menores al 50%). Estas transacciones ocurrieron principalmente en activos de alta calidad, donde los inversores buscan los beneficios de posicionarse en el mercado sin llegar asumir la responsabilidad y escrutinio que conlleva la gestión de un club </w:t>
      </w:r>
      <w:r>
        <w:fldChar w:fldCharType="begin"/>
      </w:r>
      <w:r>
        <w:instrText xml:space="preserve"> ADDIN ZOTERO_ITEM CSL_CITATION {"citationID":"gRfipeOf","properties":{"formattedCitation":"(Sheldon, 2023)","plainCitation":"(Sheldon, 2023)","noteIndex":0},"citationItems":[{"id":76,"uris":["http://zotero.org/users/local/0hfl8HiK/items/3D7IIRNY"],"itemData":{"id":76,"type":"webpage","abstract":"As football clubs become more expensive, the attraction of buying a minority stake rather than the whole operation becomes clearer","container-title":"The Athletic","language":"en","title":"So you want to be a minority owner: Why just a piece of a Premier League club is enough","title-short":"So you want to be a minority owner","URL":"https://theathletic.com/4973946/2023/10/19/so-you-want-to-be-a-minority-owner-why-a-piece-of-a-premier-league-club-is-enough/","author":[{"family":"Sheldon","given":"Dan"}],"accessed":{"date-parts":[["2024",5,6]]},"issued":{"date-parts":[["2023",10,19]]}}}],"schema":"https://github.com/citation-style-language/schema/raw/master/csl-citation.json"} </w:instrText>
      </w:r>
      <w:r>
        <w:fldChar w:fldCharType="separate"/>
      </w:r>
      <w:r>
        <w:t>(Sheldon, 2023)</w:t>
      </w:r>
      <w:r>
        <w:fldChar w:fldCharType="end"/>
      </w:r>
      <w:r>
        <w:t>, además de ser más accesible para el inversor en comparación al coste que conllevaría la adquisición mayoritaria.</w:t>
      </w:r>
    </w:p>
    <w:p w14:paraId="11158C74" w14:textId="71D882F6" w:rsidR="00FD416D" w:rsidRDefault="009573E5" w:rsidP="00FD416D">
      <w:pPr>
        <w:pStyle w:val="Heading2"/>
      </w:pPr>
      <w:bookmarkStart w:id="15" w:name="_Toc166591421"/>
      <w:r>
        <w:lastRenderedPageBreak/>
        <w:t xml:space="preserve">El </w:t>
      </w:r>
      <w:r w:rsidR="00A060D8">
        <w:t>fútbol europeo</w:t>
      </w:r>
      <w:bookmarkEnd w:id="15"/>
    </w:p>
    <w:p w14:paraId="738E7EE7" w14:textId="40E96715" w:rsidR="00FD416D" w:rsidRDefault="007B326F" w:rsidP="00FD416D">
      <w:pPr>
        <w:pStyle w:val="Heading2"/>
      </w:pPr>
      <w:r>
        <w:t>Las finanzas en el fútbol</w:t>
      </w:r>
    </w:p>
    <w:p w14:paraId="42A0B464" w14:textId="7D185FE4" w:rsidR="00CF0C87" w:rsidRDefault="00FD416D" w:rsidP="009573E5">
      <w:pPr>
        <w:pStyle w:val="Heading3"/>
      </w:pPr>
      <w:bookmarkStart w:id="16" w:name="_Toc166591424"/>
      <w:r>
        <w:t>Componentes del balance</w:t>
      </w:r>
      <w:bookmarkEnd w:id="16"/>
    </w:p>
    <w:p w14:paraId="4CA86E7D" w14:textId="425C783E" w:rsidR="00CF0C87" w:rsidRDefault="00CF0C87" w:rsidP="00A060D8">
      <w:pPr>
        <w:pStyle w:val="Heading4"/>
      </w:pPr>
      <w:r w:rsidRPr="00CF0C87">
        <w:t>Activo</w:t>
      </w:r>
      <w:r>
        <w:t xml:space="preserve"> no corriente</w:t>
      </w:r>
    </w:p>
    <w:p w14:paraId="4092F1B8" w14:textId="77777777" w:rsidR="00CF0C87" w:rsidRDefault="00CF0C87" w:rsidP="00CF0C87">
      <w:pPr>
        <w:jc w:val="both"/>
      </w:pPr>
      <w:r>
        <w:t xml:space="preserve">El activo no corriente está compuesto por inmovilizado material, e inmovilizado intangible. </w:t>
      </w:r>
    </w:p>
    <w:p w14:paraId="2C53D9E9" w14:textId="60D653C0" w:rsidR="00FC683F" w:rsidRPr="00FC683F" w:rsidRDefault="00CF0C87" w:rsidP="00CF0C87">
      <w:pPr>
        <w:jc w:val="both"/>
      </w:pPr>
      <w:r>
        <w:t xml:space="preserve">El </w:t>
      </w:r>
      <w:r w:rsidRPr="00CF0C87">
        <w:rPr>
          <w:b/>
          <w:bCs/>
        </w:rPr>
        <w:t>inmovilizado material</w:t>
      </w:r>
      <w:r>
        <w:t xml:space="preserve"> de un club deportivo representa el valor contable agregado las instalaciones deportivas (estadios, ciudades deportivas, gimnasios, etc) y maquinaria de su propiedad. </w:t>
      </w:r>
      <w:r w:rsidR="000F69C0">
        <w:t xml:space="preserve">Los estadios figuran entre los activos más importantes de cualquier club deportivo, </w:t>
      </w:r>
      <w:r w:rsidR="00FC683F">
        <w:t xml:space="preserve">jugando un papel importante como facilitador de las fuentes de ingresos de los equipos de fútbol. Es esencial en los ingresos de </w:t>
      </w:r>
      <w:r w:rsidR="00FC683F">
        <w:rPr>
          <w:i/>
          <w:iCs/>
        </w:rPr>
        <w:t>matchday</w:t>
      </w:r>
      <w:r w:rsidR="00FC683F">
        <w:t xml:space="preserve"> a través de la venta de entradas y los servicios de comida y bebida. Al mismo tiempo, facilita los ingresos comerciales del club a través de la venta de mercaderías y tours. Finalmente, tienen gran potencial para generar ingresos extraordinarios mediante el alquiler para eventos de gran escala como conciertos o ferias.</w:t>
      </w:r>
    </w:p>
    <w:p w14:paraId="04CEBBA9" w14:textId="6FD74020" w:rsidR="000F69C0" w:rsidRDefault="000F69C0" w:rsidP="00CF0C87">
      <w:pPr>
        <w:jc w:val="both"/>
      </w:pPr>
      <w:r>
        <w:t xml:space="preserve">Así, la cifra de inmovilizado material podría </w:t>
      </w:r>
      <w:r w:rsidR="002E23A9">
        <w:t xml:space="preserve">considerarse </w:t>
      </w:r>
      <w:r>
        <w:t>una métrica para cuantificar el valor asociado al estadio</w:t>
      </w:r>
      <w:r w:rsidR="002E23A9">
        <w:t xml:space="preserve"> y </w:t>
      </w:r>
      <w:r w:rsidR="00FC683F">
        <w:t>el potencial que tiene</w:t>
      </w:r>
      <w:r w:rsidR="002E23A9">
        <w:t xml:space="preserve"> este para generar ingresos</w:t>
      </w:r>
      <w:r>
        <w:t xml:space="preserve">. Sin embargo, hay que tener en cuenta que se trata de un valor </w:t>
      </w:r>
      <w:r w:rsidRPr="00FC683F">
        <w:t>contable</w:t>
      </w:r>
      <w:r>
        <w:t xml:space="preserve"> y no de mercado</w:t>
      </w:r>
      <w:r w:rsidR="00333C84">
        <w:t>, pues</w:t>
      </w:r>
      <w:r>
        <w:t xml:space="preserve"> a los estadios</w:t>
      </w:r>
      <w:r w:rsidR="00333C84">
        <w:t xml:space="preserve"> </w:t>
      </w:r>
      <w:r>
        <w:t>se le</w:t>
      </w:r>
      <w:r w:rsidR="00333C84">
        <w:t>s</w:t>
      </w:r>
      <w:r>
        <w:t xml:space="preserve"> aplica una tasa de amortización con cada ejercicio. </w:t>
      </w:r>
      <w:r w:rsidR="00E37FF6">
        <w:t>Por lo tanto,</w:t>
      </w:r>
      <w:r>
        <w:t xml:space="preserve"> </w:t>
      </w:r>
      <w:r w:rsidR="00E37FF6">
        <w:t xml:space="preserve">ha de considerarse la posibilidad de </w:t>
      </w:r>
      <w:r>
        <w:t>que el valor contable de un estadio con mucha antigüedad sea más bajo que su valor de mercado potencia</w:t>
      </w:r>
      <w:r w:rsidR="00E37FF6">
        <w:t>l</w:t>
      </w:r>
      <w:r w:rsidR="00FC683F">
        <w:t>.</w:t>
      </w:r>
      <w:r w:rsidR="00E37FF6">
        <w:softHyphen/>
      </w:r>
    </w:p>
    <w:p w14:paraId="10A66BAA" w14:textId="3CFA1932" w:rsidR="00FC683F" w:rsidRDefault="00FC683F" w:rsidP="00CF0C87">
      <w:pPr>
        <w:jc w:val="both"/>
      </w:pPr>
      <w:r>
        <w:t xml:space="preserve">Por otro lado, el </w:t>
      </w:r>
      <w:r w:rsidRPr="00CF0C87">
        <w:rPr>
          <w:b/>
          <w:bCs/>
        </w:rPr>
        <w:t xml:space="preserve">inmovilizado </w:t>
      </w:r>
      <w:r>
        <w:rPr>
          <w:b/>
          <w:bCs/>
        </w:rPr>
        <w:t>intangible</w:t>
      </w:r>
      <w:r>
        <w:t xml:space="preserve"> en el contexto de l</w:t>
      </w:r>
      <w:r w:rsidR="00333C84">
        <w:t>os equipos de fútbol incluye el valor contable de los derechos de patentes, marcas, licencias</w:t>
      </w:r>
      <w:r w:rsidR="00363DF7">
        <w:t>. P</w:t>
      </w:r>
      <w:r w:rsidR="00333C84">
        <w:t>ero principalmente, registra las cuantías pagadas en transferencias de jugadores</w:t>
      </w:r>
      <w:r w:rsidR="00363DF7">
        <w:t xml:space="preserve">, con el propósito de medir </w:t>
      </w:r>
      <w:r w:rsidR="00333C84">
        <w:t>el valor contable del jugador fichado como activo</w:t>
      </w:r>
      <w:r w:rsidR="00363DF7">
        <w:t xml:space="preserve"> útil del club</w:t>
      </w:r>
      <w:r w:rsidR="00333C84">
        <w:t>. Sin embargo, este valor también se amortiza: se toma como valor inicial el total de la transferencia</w:t>
      </w:r>
      <w:r w:rsidR="00363DF7">
        <w:t xml:space="preserve"> y</w:t>
      </w:r>
      <w:r w:rsidR="00333C84">
        <w:t xml:space="preserve"> la longitud del contrato firmado con el jugador como “vida útil”, y se </w:t>
      </w:r>
      <w:r w:rsidR="00363DF7">
        <w:t xml:space="preserve">amortiza anualmente </w:t>
      </w:r>
      <w:r w:rsidR="00333C84">
        <w:t>de manera que al vencimiento del contrato, el valor contable del jugador es nulo.</w:t>
      </w:r>
    </w:p>
    <w:p w14:paraId="03E3A3BB" w14:textId="77777777" w:rsidR="00DA1DB3" w:rsidRDefault="00DA1DB3">
      <w:pPr>
        <w:pBdr>
          <w:top w:val="nil"/>
          <w:left w:val="nil"/>
          <w:bottom w:val="nil"/>
          <w:right w:val="nil"/>
          <w:between w:val="nil"/>
          <w:bar w:val="nil"/>
        </w:pBdr>
        <w:spacing w:before="0" w:beforeAutospacing="0" w:after="0" w:afterAutospacing="0" w:line="240" w:lineRule="auto"/>
        <w:rPr>
          <w:rFonts w:eastAsiaTheme="majorEastAsia"/>
          <w:i/>
          <w:iCs/>
          <w:color w:val="666666"/>
        </w:rPr>
      </w:pPr>
      <w:r>
        <w:br w:type="page"/>
      </w:r>
    </w:p>
    <w:p w14:paraId="3CF4C761" w14:textId="5C2B4ADB" w:rsidR="00117E9E" w:rsidRDefault="00117E9E" w:rsidP="00117E9E">
      <w:pPr>
        <w:pStyle w:val="Heading4"/>
      </w:pPr>
      <w:r w:rsidRPr="00CF0C87">
        <w:lastRenderedPageBreak/>
        <w:t>Activo</w:t>
      </w:r>
      <w:r>
        <w:t xml:space="preserve"> corriente</w:t>
      </w:r>
    </w:p>
    <w:p w14:paraId="21E4A8C5" w14:textId="77777777" w:rsidR="00DA1DB3" w:rsidRPr="00DA1DB3" w:rsidRDefault="00DA1DB3" w:rsidP="00DA1DB3"/>
    <w:p w14:paraId="1FA6C838" w14:textId="0E570283" w:rsidR="00CF0C87" w:rsidRDefault="00CF0C87" w:rsidP="00A060D8">
      <w:pPr>
        <w:pStyle w:val="Heading4"/>
      </w:pPr>
      <w:r w:rsidRPr="00A060D8">
        <w:t>Pasivo</w:t>
      </w:r>
    </w:p>
    <w:p w14:paraId="7861269F" w14:textId="77777777" w:rsidR="00DA1DB3" w:rsidRPr="00DA1DB3" w:rsidRDefault="00DA1DB3" w:rsidP="00DA1DB3"/>
    <w:p w14:paraId="270294FF" w14:textId="0D51B6E0" w:rsidR="00FD416D" w:rsidRDefault="00FD416D" w:rsidP="00FD416D">
      <w:pPr>
        <w:pStyle w:val="Heading4"/>
      </w:pPr>
      <w:r w:rsidRPr="00A060D8">
        <w:t>P</w:t>
      </w:r>
      <w:r>
        <w:t>atrimonio neto</w:t>
      </w:r>
    </w:p>
    <w:p w14:paraId="046A8761" w14:textId="77777777" w:rsidR="00DA1DB3" w:rsidRPr="00DA1DB3" w:rsidRDefault="00DA1DB3" w:rsidP="00DA1DB3"/>
    <w:p w14:paraId="2421044A" w14:textId="02C416B8" w:rsidR="00FD416D" w:rsidRPr="00FD416D" w:rsidRDefault="00FD416D" w:rsidP="00FD416D">
      <w:pPr>
        <w:pStyle w:val="Heading3"/>
      </w:pPr>
      <w:bookmarkStart w:id="17" w:name="_Toc166591425"/>
      <w:r>
        <w:t>Resultados y flujos de caja</w:t>
      </w:r>
      <w:bookmarkEnd w:id="17"/>
    </w:p>
    <w:p w14:paraId="2F86C377" w14:textId="69CFB7F8" w:rsidR="00E6714F" w:rsidRDefault="00FD416D" w:rsidP="009573E5">
      <w:pPr>
        <w:pStyle w:val="Heading2"/>
      </w:pPr>
      <w:bookmarkStart w:id="18" w:name="_Toc166591426"/>
      <w:r>
        <w:t>M</w:t>
      </w:r>
      <w:r w:rsidR="00A060D8">
        <w:t>étodos tradicionales de valoración</w:t>
      </w:r>
      <w:bookmarkEnd w:id="18"/>
    </w:p>
    <w:p w14:paraId="03819224" w14:textId="7031D94C" w:rsidR="00A96859" w:rsidRDefault="00A96859" w:rsidP="00A060D8">
      <w:pPr>
        <w:pStyle w:val="Heading3"/>
      </w:pPr>
      <w:bookmarkStart w:id="19" w:name="_Toc166591427"/>
      <w:r>
        <w:t>Descuento de flujos de caja</w:t>
      </w:r>
      <w:bookmarkEnd w:id="19"/>
    </w:p>
    <w:p w14:paraId="5215E316" w14:textId="5DE14BFF" w:rsidR="00A96859" w:rsidRDefault="00A96859" w:rsidP="00A060D8">
      <w:pPr>
        <w:pStyle w:val="Heading3"/>
      </w:pPr>
      <w:bookmarkStart w:id="20" w:name="_Toc166591428"/>
      <w:r>
        <w:t>Capitalización de mercado</w:t>
      </w:r>
      <w:bookmarkEnd w:id="20"/>
    </w:p>
    <w:p w14:paraId="08D42D56" w14:textId="44AD2ED7" w:rsidR="00A96859" w:rsidRDefault="00A060D8" w:rsidP="00A060D8">
      <w:pPr>
        <w:pStyle w:val="Heading3"/>
      </w:pPr>
      <w:bookmarkStart w:id="21" w:name="_Toc166591429"/>
      <w:r>
        <w:t>Análisis por múltiplos de ingresos</w:t>
      </w:r>
      <w:bookmarkEnd w:id="21"/>
    </w:p>
    <w:p w14:paraId="5FCF788C" w14:textId="42EACD57" w:rsidR="00E6714F" w:rsidRDefault="00A060D8" w:rsidP="00A060D8">
      <w:pPr>
        <w:pStyle w:val="Heading3"/>
      </w:pPr>
      <w:bookmarkStart w:id="22" w:name="_Toc166591430"/>
      <w:r>
        <w:t xml:space="preserve">El modelo de </w:t>
      </w:r>
      <w:r w:rsidR="00A96859">
        <w:t>Markham</w:t>
      </w:r>
      <w:bookmarkEnd w:id="22"/>
    </w:p>
    <w:p w14:paraId="2124FC03" w14:textId="533E5AA9" w:rsidR="00A060D8" w:rsidRDefault="00A060D8" w:rsidP="00A060D8">
      <w:pPr>
        <w:pStyle w:val="Heading1"/>
      </w:pPr>
      <w:bookmarkStart w:id="23" w:name="_Toc166591431"/>
      <w:r>
        <w:t>Marco metodológico</w:t>
      </w:r>
      <w:bookmarkEnd w:id="23"/>
    </w:p>
    <w:p w14:paraId="1BF712DA" w14:textId="75520089" w:rsidR="00422CD5" w:rsidRDefault="00422CD5" w:rsidP="00422CD5">
      <w:pPr>
        <w:pStyle w:val="Heading2"/>
      </w:pPr>
      <w:r>
        <w:t>Datos</w:t>
      </w:r>
    </w:p>
    <w:p w14:paraId="3B5A79F2" w14:textId="648255F5" w:rsidR="00422CD5" w:rsidRDefault="00422CD5" w:rsidP="00233D8F">
      <w:pPr>
        <w:jc w:val="both"/>
      </w:pPr>
      <w:r>
        <w:t>Para el estudio, inicialmente se seleccionaron a los 200 equipos que participaron en la primera y segunda división de las ligas profesionales de fútbol en España, Inglaterra, Italia, Alem</w:t>
      </w:r>
      <w:r w:rsidR="00233D8F">
        <w:t>a</w:t>
      </w:r>
      <w:r>
        <w:t>nia y Francia durante la campaña 2023/2024.</w:t>
      </w:r>
    </w:p>
    <w:p w14:paraId="6941D37F" w14:textId="551AEF2D" w:rsidR="00233D8F" w:rsidRDefault="009F2F4A" w:rsidP="00233D8F">
      <w:pPr>
        <w:jc w:val="both"/>
      </w:pPr>
      <w:r>
        <w:t>Por un lado</w:t>
      </w:r>
      <w:r w:rsidR="00233D8F">
        <w:t>, se buscó su información financiera disponible en la base de datos de ORBIS. En concreto, este conjunto de datos incluye información de dos de las cuentas anuales: el balance de situación y la cuenta de pérdidas y ganancias.</w:t>
      </w:r>
    </w:p>
    <w:p w14:paraId="57ABD1EE" w14:textId="75A18095" w:rsidR="009F2F4A" w:rsidRDefault="00233D8F" w:rsidP="00233D8F">
      <w:pPr>
        <w:jc w:val="both"/>
      </w:pPr>
      <w:r>
        <w:t xml:space="preserve">Por otro lado, </w:t>
      </w:r>
      <w:r w:rsidR="009F2F4A">
        <w:t>se extrajo de Transfermarkt información acerca del rendimiento deportivo de los equipos y su actividad en el mercado de transferencia, así como la clasificación anual para cada liga profesional (primera y segunda división) de cada país.</w:t>
      </w:r>
    </w:p>
    <w:p w14:paraId="52BF4A56" w14:textId="598816E4" w:rsidR="009F2F4A" w:rsidRDefault="009F2F4A" w:rsidP="009F2F4A">
      <w:pPr>
        <w:pStyle w:val="Heading3"/>
      </w:pPr>
      <w:r>
        <w:t>Métricas calculadas</w:t>
      </w:r>
    </w:p>
    <w:p w14:paraId="6CA83D23" w14:textId="61AABB71" w:rsidR="008B633B" w:rsidRDefault="00EF0047" w:rsidP="008B633B">
      <w:r>
        <w:t xml:space="preserve">Sobre los datos </w:t>
      </w:r>
      <w:r w:rsidR="00ED4DC9">
        <w:t>extraídos</w:t>
      </w:r>
      <w:r>
        <w:t>, se calcularon las siguientes métricas:</w:t>
      </w:r>
    </w:p>
    <w:p w14:paraId="2F8D040B" w14:textId="77777777" w:rsidR="008B633B" w:rsidRDefault="008B633B" w:rsidP="008B633B">
      <w:pPr>
        <w:rPr>
          <w:rStyle w:val="Strong"/>
          <w:b w:val="0"/>
          <w:bCs w:val="0"/>
        </w:rPr>
      </w:pPr>
      <w:r w:rsidRPr="008B633B">
        <w:rPr>
          <w:rStyle w:val="Strong"/>
          <w:u w:val="single"/>
        </w:rPr>
        <w:lastRenderedPageBreak/>
        <w:t xml:space="preserve">Posición o </w:t>
      </w:r>
      <w:r w:rsidR="00EF0047" w:rsidRPr="008B633B">
        <w:rPr>
          <w:rStyle w:val="Strong"/>
          <w:u w:val="single"/>
        </w:rPr>
        <w:t>ranking</w:t>
      </w:r>
      <w:r w:rsidRPr="008B633B">
        <w:rPr>
          <w:rStyle w:val="Strong"/>
          <w:u w:val="single"/>
        </w:rPr>
        <w:t xml:space="preserve"> </w:t>
      </w:r>
      <w:r w:rsidR="00EF0047" w:rsidRPr="008B633B">
        <w:rPr>
          <w:rStyle w:val="Strong"/>
          <w:u w:val="single"/>
        </w:rPr>
        <w:t>nacional</w:t>
      </w:r>
      <w:r>
        <w:rPr>
          <w:rStyle w:val="Strong"/>
          <w:b w:val="0"/>
          <w:bCs w:val="0"/>
        </w:rPr>
        <w:t xml:space="preserve">: </w:t>
      </w:r>
      <w:r w:rsidRPr="008B633B">
        <w:rPr>
          <w:rStyle w:val="Strong"/>
          <w:b w:val="0"/>
          <w:bCs w:val="0"/>
        </w:rPr>
        <w:t>Para</w:t>
      </w:r>
      <w:r>
        <w:rPr>
          <w:rStyle w:val="Strong"/>
          <w:b w:val="0"/>
          <w:bCs w:val="0"/>
        </w:rPr>
        <w:t xml:space="preserve"> equipos de primera división, es equivalente a su clasificación en liga al final de temporada. En el caso de equipos en segunda división, se suma a su clasificación el número de equipos en primera división.</w:t>
      </w:r>
    </w:p>
    <w:p w14:paraId="5D34C4EA" w14:textId="6F0A7D84" w:rsidR="00904C7B" w:rsidRDefault="008B633B" w:rsidP="008B633B">
      <w:pPr>
        <w:jc w:val="both"/>
        <w:rPr>
          <w:rStyle w:val="Strong"/>
          <w:b w:val="0"/>
          <w:bCs w:val="0"/>
        </w:rPr>
      </w:pPr>
      <w:r>
        <w:rPr>
          <w:rStyle w:val="Strong"/>
          <w:u w:val="single"/>
        </w:rPr>
        <w:t>Porcentaje de victorias</w:t>
      </w:r>
      <w:r>
        <w:rPr>
          <w:rStyle w:val="Strong"/>
          <w:b w:val="0"/>
          <w:bCs w:val="0"/>
        </w:rPr>
        <w:t xml:space="preserve">: </w:t>
      </w:r>
      <w:r w:rsidR="00D13DF8">
        <w:rPr>
          <w:rStyle w:val="Strong"/>
          <w:b w:val="0"/>
          <w:bCs w:val="0"/>
        </w:rPr>
        <w:t xml:space="preserve">Es </w:t>
      </w:r>
      <w:r>
        <w:rPr>
          <w:rStyle w:val="Strong"/>
          <w:b w:val="0"/>
          <w:bCs w:val="0"/>
        </w:rPr>
        <w:t>la proporción de partidos ganados sobre el total de partidos jugados.</w:t>
      </w:r>
    </w:p>
    <w:p w14:paraId="56851581" w14:textId="7D11E2EB" w:rsidR="008B633B" w:rsidRPr="00904C7B" w:rsidRDefault="00D13DF8" w:rsidP="008B633B">
      <w:pPr>
        <w:jc w:val="both"/>
        <w:rPr>
          <w:rStyle w:val="Strong"/>
          <w:b w:val="0"/>
          <w:bCs w:val="0"/>
        </w:rPr>
      </w:pPr>
      <m:oMathPara>
        <m:oMath>
          <m:sSub>
            <m:sSubPr>
              <m:ctrlPr>
                <w:rPr>
                  <w:rStyle w:val="Strong"/>
                  <w:rFonts w:ascii="Cambria Math" w:hAnsi="Cambria Math"/>
                  <w:b w:val="0"/>
                  <w:bCs w:val="0"/>
                  <w:i/>
                </w:rPr>
              </m:ctrlPr>
            </m:sSubPr>
            <m:e>
              <m:r>
                <w:rPr>
                  <w:rStyle w:val="Strong"/>
                  <w:rFonts w:ascii="Cambria Math" w:hAnsi="Cambria Math"/>
                </w:rPr>
                <m:t>W</m:t>
              </m:r>
            </m:e>
            <m:sub>
              <m:r>
                <w:rPr>
                  <w:rStyle w:val="Strong"/>
                  <w:rFonts w:ascii="Cambria Math" w:hAnsi="Cambria Math"/>
                </w:rPr>
                <m:t>pct</m:t>
              </m:r>
            </m:sub>
          </m:sSub>
          <m:r>
            <w:rPr>
              <w:rStyle w:val="Strong"/>
              <w:rFonts w:ascii="Cambria Math" w:hAnsi="Cambria Math"/>
            </w:rPr>
            <m:t>=</m:t>
          </m:r>
          <m:f>
            <m:fPr>
              <m:ctrlPr>
                <w:rPr>
                  <w:rStyle w:val="Strong"/>
                  <w:rFonts w:ascii="Cambria Math" w:hAnsi="Cambria Math"/>
                  <w:b w:val="0"/>
                  <w:bCs w:val="0"/>
                  <w:i/>
                </w:rPr>
              </m:ctrlPr>
            </m:fPr>
            <m:num>
              <m:r>
                <w:rPr>
                  <w:rStyle w:val="Strong"/>
                  <w:rFonts w:ascii="Cambria Math" w:hAnsi="Cambria Math"/>
                </w:rPr>
                <m:t>Nº partidos ganados</m:t>
              </m:r>
            </m:num>
            <m:den>
              <m:r>
                <w:rPr>
                  <w:rStyle w:val="Strong"/>
                  <w:rFonts w:ascii="Cambria Math" w:hAnsi="Cambria Math"/>
                </w:rPr>
                <m:t>Nº de partidos jugados</m:t>
              </m:r>
            </m:den>
          </m:f>
        </m:oMath>
      </m:oMathPara>
    </w:p>
    <w:p w14:paraId="22B814B2" w14:textId="51885015" w:rsidR="00904C7B" w:rsidRPr="00D13DF8" w:rsidRDefault="00D13DF8">
      <w:pPr>
        <w:pBdr>
          <w:top w:val="nil"/>
          <w:left w:val="nil"/>
          <w:bottom w:val="nil"/>
          <w:right w:val="nil"/>
          <w:between w:val="nil"/>
          <w:bar w:val="nil"/>
        </w:pBdr>
        <w:spacing w:before="0" w:beforeAutospacing="0" w:after="0" w:afterAutospacing="0" w:line="240" w:lineRule="auto"/>
        <w:rPr>
          <w:rStyle w:val="Strong"/>
          <w:b w:val="0"/>
          <w:bCs w:val="0"/>
        </w:rPr>
      </w:pPr>
      <w:r>
        <w:rPr>
          <w:rStyle w:val="Strong"/>
          <w:b w:val="0"/>
          <w:bCs w:val="0"/>
        </w:rPr>
        <w:t>Se calcula para cada temporada (</w:t>
      </w:r>
      <m:oMath>
        <m:sSub>
          <m:sSubPr>
            <m:ctrlPr>
              <w:rPr>
                <w:rStyle w:val="Strong"/>
                <w:rFonts w:ascii="Cambria Math" w:hAnsi="Cambria Math"/>
                <w:b w:val="0"/>
                <w:bCs w:val="0"/>
                <w:i/>
              </w:rPr>
            </m:ctrlPr>
          </m:sSubPr>
          <m:e>
            <m:r>
              <w:rPr>
                <w:rStyle w:val="Strong"/>
                <w:rFonts w:ascii="Cambria Math" w:hAnsi="Cambria Math"/>
              </w:rPr>
              <m:t>W</m:t>
            </m:r>
          </m:e>
          <m:sub>
            <m:r>
              <w:rPr>
                <w:rStyle w:val="Strong"/>
                <w:rFonts w:ascii="Cambria Math" w:hAnsi="Cambria Math"/>
              </w:rPr>
              <m:t>pct</m:t>
            </m:r>
          </m:sub>
        </m:sSub>
      </m:oMath>
      <w:r>
        <w:rPr>
          <w:rStyle w:val="Strong"/>
          <w:b w:val="0"/>
          <w:bCs w:val="0"/>
        </w:rPr>
        <w:t>), y para los últimos 5 años (</w:t>
      </w:r>
      <m:oMath>
        <m:sSub>
          <m:sSubPr>
            <m:ctrlPr>
              <w:rPr>
                <w:rStyle w:val="Strong"/>
                <w:rFonts w:ascii="Cambria Math" w:hAnsi="Cambria Math"/>
                <w:b w:val="0"/>
                <w:bCs w:val="0"/>
                <w:i/>
              </w:rPr>
            </m:ctrlPr>
          </m:sSubPr>
          <m:e>
            <m:r>
              <w:rPr>
                <w:rStyle w:val="Strong"/>
                <w:rFonts w:ascii="Cambria Math" w:hAnsi="Cambria Math"/>
              </w:rPr>
              <m:t>W5</m:t>
            </m:r>
          </m:e>
          <m:sub>
            <m:r>
              <w:rPr>
                <w:rStyle w:val="Strong"/>
                <w:rFonts w:ascii="Cambria Math" w:hAnsi="Cambria Math"/>
              </w:rPr>
              <m:t>pct</m:t>
            </m:r>
          </m:sub>
        </m:sSub>
      </m:oMath>
      <w:r>
        <w:rPr>
          <w:rStyle w:val="Strong"/>
          <w:b w:val="0"/>
          <w:bCs w:val="0"/>
        </w:rPr>
        <w:t xml:space="preserve">). </w:t>
      </w:r>
    </w:p>
    <w:p w14:paraId="0B94EFC6" w14:textId="406B90DA" w:rsidR="00904C7B" w:rsidRDefault="00904C7B" w:rsidP="008B633B">
      <w:pPr>
        <w:jc w:val="both"/>
        <w:rPr>
          <w:rStyle w:val="Strong"/>
          <w:b w:val="0"/>
          <w:bCs w:val="0"/>
        </w:rPr>
      </w:pPr>
      <w:r>
        <w:rPr>
          <w:rStyle w:val="Strong"/>
          <w:u w:val="single"/>
        </w:rPr>
        <w:t>Asistencia media anual</w:t>
      </w:r>
      <w:r>
        <w:rPr>
          <w:rStyle w:val="Strong"/>
          <w:b w:val="0"/>
          <w:bCs w:val="0"/>
        </w:rPr>
        <w:t xml:space="preserve">: Se calcula como la proporción de partidos ganados sobre el total de partidos jugados. </w:t>
      </w:r>
    </w:p>
    <w:p w14:paraId="20D1BBE7" w14:textId="77EA58D5" w:rsidR="00904C7B" w:rsidRPr="00904C7B" w:rsidRDefault="00D13DF8" w:rsidP="00904C7B">
      <w:pPr>
        <w:jc w:val="both"/>
        <w:rPr>
          <w:rStyle w:val="Strong"/>
          <w:b w:val="0"/>
          <w:bCs w:val="0"/>
        </w:rPr>
      </w:pPr>
      <m:oMathPara>
        <m:oMath>
          <m:sSub>
            <m:sSubPr>
              <m:ctrlPr>
                <w:rPr>
                  <w:rStyle w:val="Strong"/>
                  <w:rFonts w:ascii="Cambria Math" w:hAnsi="Cambria Math"/>
                  <w:b w:val="0"/>
                  <w:bCs w:val="0"/>
                  <w:i/>
                </w:rPr>
              </m:ctrlPr>
            </m:sSubPr>
            <m:e>
              <m:r>
                <w:rPr>
                  <w:rStyle w:val="Strong"/>
                  <w:rFonts w:ascii="Cambria Math" w:hAnsi="Cambria Math"/>
                </w:rPr>
                <m:t>A</m:t>
              </m:r>
            </m:e>
            <m:sub>
              <m:r>
                <w:rPr>
                  <w:rStyle w:val="Strong"/>
                  <w:rFonts w:ascii="Cambria Math" w:hAnsi="Cambria Math"/>
                </w:rPr>
                <m:t>pct</m:t>
              </m:r>
            </m:sub>
          </m:sSub>
          <m:r>
            <w:rPr>
              <w:rStyle w:val="Strong"/>
              <w:rFonts w:ascii="Cambria Math" w:hAnsi="Cambria Math"/>
            </w:rPr>
            <m:t>=</m:t>
          </m:r>
          <m:f>
            <m:fPr>
              <m:ctrlPr>
                <w:rPr>
                  <w:rStyle w:val="Strong"/>
                  <w:rFonts w:ascii="Cambria Math" w:hAnsi="Cambria Math"/>
                  <w:b w:val="0"/>
                  <w:bCs w:val="0"/>
                  <w:i/>
                </w:rPr>
              </m:ctrlPr>
            </m:fPr>
            <m:num>
              <m:r>
                <w:rPr>
                  <w:rStyle w:val="Strong"/>
                  <w:rFonts w:ascii="Cambria Math" w:hAnsi="Cambria Math"/>
                </w:rPr>
                <m:t>Media de espectadores anual</m:t>
              </m:r>
            </m:num>
            <m:den>
              <m:r>
                <w:rPr>
                  <w:rStyle w:val="Strong"/>
                  <w:rFonts w:ascii="Cambria Math" w:hAnsi="Cambria Math"/>
                </w:rPr>
                <m:t>Capacidad total del estadio</m:t>
              </m:r>
            </m:den>
          </m:f>
        </m:oMath>
      </m:oMathPara>
    </w:p>
    <w:p w14:paraId="0006681C" w14:textId="6AB2ADA2" w:rsidR="00904C7B" w:rsidRPr="00B12729" w:rsidRDefault="00904C7B" w:rsidP="00B12729">
      <w:pPr>
        <w:jc w:val="both"/>
        <w:rPr>
          <w:rStyle w:val="Strong"/>
          <w:b w:val="0"/>
          <w:bCs w:val="0"/>
        </w:rPr>
      </w:pPr>
      <w:r>
        <w:rPr>
          <w:rStyle w:val="Strong"/>
          <w:u w:val="single"/>
        </w:rPr>
        <w:t>Valor estimado de Markham</w:t>
      </w:r>
      <w:r>
        <w:rPr>
          <w:rStyle w:val="Strong"/>
          <w:b w:val="0"/>
          <w:bCs w:val="0"/>
        </w:rPr>
        <w:t xml:space="preserve">: </w:t>
      </w:r>
      <w:r w:rsidR="00B12729">
        <w:rPr>
          <w:rStyle w:val="Strong"/>
          <w:b w:val="0"/>
          <w:bCs w:val="0"/>
        </w:rPr>
        <w:t>con</w:t>
      </w:r>
      <w:r w:rsidR="00D13DF8">
        <w:rPr>
          <w:rStyle w:val="Strong"/>
          <w:b w:val="0"/>
          <w:bCs w:val="0"/>
        </w:rPr>
        <w:t xml:space="preserve"> la información financiera de cada año, se estima el valor del equipo utilizando </w:t>
      </w:r>
      <w:r w:rsidR="00B12729">
        <w:rPr>
          <w:rStyle w:val="Strong"/>
          <w:b w:val="0"/>
          <w:bCs w:val="0"/>
        </w:rPr>
        <w:t>el modelo multivariable de</w:t>
      </w:r>
      <w:r w:rsidR="00D13DF8">
        <w:rPr>
          <w:rStyle w:val="Strong"/>
          <w:b w:val="0"/>
          <w:bCs w:val="0"/>
        </w:rPr>
        <w:t xml:space="preserve"> Markham</w:t>
      </w:r>
      <w:r w:rsidR="00B12729">
        <w:rPr>
          <w:rStyle w:val="Strong"/>
          <w:b w:val="0"/>
          <w:bCs w:val="0"/>
        </w:rPr>
        <w:t>. Sin embargo, para la ratio salarial, se asume un valor constante del 50%, ya que el conjunto de datos no tiene dicha información. De manera que, la fórmula utilizada finalemente se podría expresar como:</w:t>
      </w:r>
      <w:r w:rsidRPr="00B12729">
        <w:rPr>
          <w:rStyle w:val="Strong"/>
          <w:rFonts w:ascii="Cambria Math" w:hAnsi="Cambria Math"/>
          <w:b w:val="0"/>
          <w:bCs w:val="0"/>
          <w:i/>
        </w:rPr>
        <w:br/>
      </w:r>
      <m:oMathPara>
        <m:oMath>
          <m:r>
            <w:rPr>
              <w:rStyle w:val="Strong"/>
              <w:rFonts w:ascii="Cambria Math" w:hAnsi="Cambria Math"/>
            </w:rPr>
            <m:t>Markham</m:t>
          </m:r>
          <m:r>
            <w:rPr>
              <w:rStyle w:val="Strong"/>
              <w:rFonts w:ascii="Cambria Math" w:hAnsi="Cambria Math"/>
            </w:rPr>
            <m:t>=2×(Ingresos+Patrimonio Neto)×</m:t>
          </m:r>
          <m:f>
            <m:fPr>
              <m:ctrlPr>
                <w:rPr>
                  <w:rStyle w:val="Strong"/>
                  <w:rFonts w:ascii="Cambria Math" w:hAnsi="Cambria Math"/>
                  <w:b w:val="0"/>
                  <w:bCs w:val="0"/>
                  <w:i/>
                </w:rPr>
              </m:ctrlPr>
            </m:fPr>
            <m:num>
              <m:r>
                <w:rPr>
                  <w:rStyle w:val="Strong"/>
                  <w:rFonts w:ascii="Cambria Math" w:hAnsi="Cambria Math"/>
                </w:rPr>
                <m:t>(EBIT + Ingresos)</m:t>
              </m:r>
            </m:num>
            <m:den>
              <m:r>
                <w:rPr>
                  <w:rStyle w:val="Strong"/>
                  <w:rFonts w:ascii="Cambria Math" w:hAnsi="Cambria Math"/>
                </w:rPr>
                <m:t>Ingresos</m:t>
              </m:r>
            </m:den>
          </m:f>
          <m:r>
            <w:rPr>
              <w:rStyle w:val="Strong"/>
              <w:rFonts w:ascii="Cambria Math" w:hAnsi="Cambria Math"/>
            </w:rPr>
            <m:t>×</m:t>
          </m:r>
          <m:sSub>
            <m:sSubPr>
              <m:ctrlPr>
                <w:rPr>
                  <w:rStyle w:val="Strong"/>
                  <w:rFonts w:ascii="Cambria Math" w:hAnsi="Cambria Math"/>
                  <w:b w:val="0"/>
                  <w:bCs w:val="0"/>
                  <w:i/>
                </w:rPr>
              </m:ctrlPr>
            </m:sSubPr>
            <m:e>
              <m:r>
                <w:rPr>
                  <w:rStyle w:val="Strong"/>
                  <w:rFonts w:ascii="Cambria Math" w:hAnsi="Cambria Math"/>
                </w:rPr>
                <m:t>A</m:t>
              </m:r>
            </m:e>
            <m:sub>
              <m:r>
                <w:rPr>
                  <w:rStyle w:val="Strong"/>
                  <w:rFonts w:ascii="Cambria Math" w:hAnsi="Cambria Math"/>
                </w:rPr>
                <m:t>pct</m:t>
              </m:r>
            </m:sub>
          </m:sSub>
          <m:r>
            <w:rPr>
              <w:rStyle w:val="Strong"/>
              <w:rFonts w:ascii="Cambria Math" w:hAnsi="Cambria Math"/>
            </w:rPr>
            <m:t xml:space="preserve"> </m:t>
          </m:r>
        </m:oMath>
      </m:oMathPara>
    </w:p>
    <w:p w14:paraId="267C2685" w14:textId="0D53A3A5" w:rsidR="00EF0047" w:rsidRPr="00F25BBE" w:rsidRDefault="00904C7B" w:rsidP="00904C7B">
      <w:pPr>
        <w:jc w:val="both"/>
      </w:pPr>
      <w:r>
        <w:rPr>
          <w:rStyle w:val="Strong"/>
          <w:u w:val="single"/>
        </w:rPr>
        <w:t>Valor de mercado de plantilla</w:t>
      </w:r>
      <w:r w:rsidR="00F25BBE">
        <w:rPr>
          <w:rStyle w:val="Strong"/>
          <w:b w:val="0"/>
          <w:bCs w:val="0"/>
        </w:rPr>
        <w:t>: Además del valor de mercado anual de cada equipo</w:t>
      </w:r>
      <w:r w:rsidR="00BE276D">
        <w:rPr>
          <w:rStyle w:val="Strong"/>
          <w:b w:val="0"/>
          <w:bCs w:val="0"/>
        </w:rPr>
        <w:t xml:space="preserve"> (VM)</w:t>
      </w:r>
      <w:r w:rsidR="00F25BBE">
        <w:rPr>
          <w:rStyle w:val="Strong"/>
          <w:b w:val="0"/>
          <w:bCs w:val="0"/>
        </w:rPr>
        <w:t xml:space="preserve">, se calcula su media </w:t>
      </w:r>
      <w:r w:rsidR="00B12729">
        <w:rPr>
          <w:rStyle w:val="Strong"/>
          <w:b w:val="0"/>
          <w:bCs w:val="0"/>
        </w:rPr>
        <w:t>durante</w:t>
      </w:r>
      <w:r w:rsidR="00D13DF8">
        <w:rPr>
          <w:rStyle w:val="Strong"/>
          <w:b w:val="0"/>
          <w:bCs w:val="0"/>
        </w:rPr>
        <w:t xml:space="preserve"> los 5 años anteriores</w:t>
      </w:r>
      <w:r w:rsidR="00BE276D">
        <w:rPr>
          <w:rStyle w:val="Strong"/>
          <w:b w:val="0"/>
          <w:bCs w:val="0"/>
        </w:rPr>
        <w:t xml:space="preserve"> (</w:t>
      </w:r>
      <m:oMath>
        <m:r>
          <w:rPr>
            <w:rStyle w:val="Strong"/>
            <w:rFonts w:ascii="Cambria Math" w:hAnsi="Cambria Math"/>
          </w:rPr>
          <m:t>VM5</m:t>
        </m:r>
      </m:oMath>
      <w:r w:rsidR="00BE276D">
        <w:rPr>
          <w:rStyle w:val="Strong"/>
          <w:b w:val="0"/>
          <w:bCs w:val="0"/>
        </w:rPr>
        <w:t>)</w:t>
      </w:r>
      <w:r w:rsidR="00D13DF8">
        <w:rPr>
          <w:rStyle w:val="Strong"/>
          <w:b w:val="0"/>
          <w:bCs w:val="0"/>
        </w:rPr>
        <w:t>.</w:t>
      </w:r>
      <w:r w:rsidR="00BE276D">
        <w:rPr>
          <w:rStyle w:val="Strong"/>
          <w:b w:val="0"/>
          <w:bCs w:val="0"/>
        </w:rPr>
        <w:t xml:space="preserve"> </w:t>
      </w:r>
    </w:p>
    <w:p w14:paraId="6D5C58D4" w14:textId="4BB34261" w:rsidR="00EF0047" w:rsidRDefault="009F2F4A" w:rsidP="00EF0047">
      <w:pPr>
        <w:pStyle w:val="Heading3"/>
      </w:pPr>
      <w:r>
        <w:t>Conjunto de datos</w:t>
      </w:r>
    </w:p>
    <w:p w14:paraId="08E8C88E" w14:textId="3E90D81B" w:rsidR="00EF0047" w:rsidRPr="00EF0047" w:rsidRDefault="00EF0047" w:rsidP="00EF0047">
      <w:pPr>
        <w:jc w:val="both"/>
      </w:pPr>
      <w:r>
        <w:t>El conjunto de datos final co</w:t>
      </w:r>
      <w:r w:rsidR="00715817">
        <w:t>ntiene 37 variables a lo largo de</w:t>
      </w:r>
      <w:r>
        <w:t xml:space="preserve"> 781 observaciones</w:t>
      </w:r>
      <w:r w:rsidR="00715817">
        <w:t xml:space="preserve">, registrando </w:t>
      </w:r>
      <w:r>
        <w:t>el estado deportivo y financiero de 132 equipos entre los años 2014 y 2023.</w:t>
      </w:r>
    </w:p>
    <w:p w14:paraId="7C07EF71" w14:textId="45EE5A8F" w:rsidR="00715817" w:rsidRDefault="007B326F" w:rsidP="00715817">
      <w:pPr>
        <w:pStyle w:val="Heading2"/>
      </w:pPr>
      <w:r>
        <w:t>Reducción de la dimensionalidad</w:t>
      </w:r>
    </w:p>
    <w:p w14:paraId="2E68685D" w14:textId="76789418" w:rsidR="00715817" w:rsidRDefault="00715817" w:rsidP="00715817">
      <w:r>
        <w:t>Sobre el conjunto de datos se aplica un análisis de componentes principales (PCA), con una rotación varimax.</w:t>
      </w:r>
    </w:p>
    <w:p w14:paraId="7AE216F4" w14:textId="48FFEC79" w:rsidR="007B326F" w:rsidRDefault="007B326F" w:rsidP="007B326F">
      <w:pPr>
        <w:pStyle w:val="Heading2"/>
      </w:pPr>
      <w:r>
        <w:t>Clustering</w:t>
      </w:r>
    </w:p>
    <w:p w14:paraId="295F534C" w14:textId="2D26BC85" w:rsidR="00C80F3B" w:rsidRDefault="007B326F" w:rsidP="00C80F3B">
      <w:pPr>
        <w:pStyle w:val="Heading3"/>
      </w:pPr>
      <w:r>
        <w:lastRenderedPageBreak/>
        <w:t>Métodos de malla</w:t>
      </w:r>
    </w:p>
    <w:p w14:paraId="22E41F96" w14:textId="77777777" w:rsidR="00E23DAF" w:rsidRPr="00E23DAF" w:rsidRDefault="00E23DAF" w:rsidP="00E23DAF"/>
    <w:p w14:paraId="05900BEE" w14:textId="10C19FB7" w:rsidR="007B326F" w:rsidRDefault="007B326F" w:rsidP="007B326F">
      <w:pPr>
        <w:pStyle w:val="Heading3"/>
      </w:pPr>
      <w:r>
        <w:t>Clustering jerárquico</w:t>
      </w:r>
    </w:p>
    <w:p w14:paraId="14E41C2C" w14:textId="4389880D" w:rsidR="007B326F" w:rsidRDefault="00C80F3B" w:rsidP="007B326F">
      <w:r>
        <w:t>aa</w:t>
      </w:r>
    </w:p>
    <w:p w14:paraId="228DA720" w14:textId="73434B73" w:rsidR="00A060D8" w:rsidRDefault="00A060D8" w:rsidP="00A060D8">
      <w:pPr>
        <w:pStyle w:val="Heading1"/>
        <w:rPr>
          <w:rFonts w:eastAsia="Times New Roman"/>
        </w:rPr>
      </w:pPr>
      <w:bookmarkStart w:id="24" w:name="_Toc166591435"/>
      <w:r>
        <w:rPr>
          <w:rFonts w:eastAsia="Times New Roman"/>
        </w:rPr>
        <w:t>Resultados</w:t>
      </w:r>
      <w:bookmarkEnd w:id="24"/>
    </w:p>
    <w:p w14:paraId="2694EBFB" w14:textId="77777777" w:rsidR="008B633B" w:rsidRPr="008B633B" w:rsidRDefault="008B633B" w:rsidP="008B633B"/>
    <w:p w14:paraId="12BD9C9C" w14:textId="59DBB3C8" w:rsidR="00A060D8" w:rsidRDefault="00A060D8" w:rsidP="00A060D8">
      <w:pPr>
        <w:pStyle w:val="Heading1"/>
      </w:pPr>
      <w:bookmarkStart w:id="25" w:name="_Toc166591436"/>
      <w:r>
        <w:t>Conclusiones</w:t>
      </w:r>
      <w:bookmarkEnd w:id="25"/>
    </w:p>
    <w:p w14:paraId="06CF8B87" w14:textId="77777777" w:rsidR="008B633B" w:rsidRPr="008B633B" w:rsidRDefault="008B633B" w:rsidP="008B633B"/>
    <w:p w14:paraId="32994733" w14:textId="7BCF6E82" w:rsidR="00290DE1" w:rsidRPr="00CF0C87" w:rsidRDefault="000042EB" w:rsidP="009573E5">
      <w:pPr>
        <w:pStyle w:val="Heading1"/>
      </w:pPr>
      <w:bookmarkStart w:id="26" w:name="_Toc166591437"/>
      <w:r w:rsidRPr="00CF0C87">
        <w:t>Bibliografía</w:t>
      </w:r>
      <w:bookmarkEnd w:id="26"/>
    </w:p>
    <w:p w14:paraId="4EAE9E20" w14:textId="77777777" w:rsidR="00101E4A" w:rsidRPr="00101E4A" w:rsidRDefault="00290DE1" w:rsidP="00101E4A">
      <w:pPr>
        <w:pStyle w:val="Bibliography"/>
        <w:rPr>
          <w:lang w:val="en-US"/>
        </w:rPr>
      </w:pPr>
      <w:r>
        <w:fldChar w:fldCharType="begin"/>
      </w:r>
      <w:r w:rsidR="00FF37D0" w:rsidRPr="00CF0C87">
        <w:instrText xml:space="preserve"> ADDIN ZOTERO_BIBL {"uncited":[],"omitted":[],"custom":[]} CSL_BIBLIOGRAPHY </w:instrText>
      </w:r>
      <w:r>
        <w:fldChar w:fldCharType="separate"/>
      </w:r>
      <w:r w:rsidR="00101E4A" w:rsidRPr="00CF0C87">
        <w:t xml:space="preserve">CONMEBOL. (2023). </w:t>
      </w:r>
      <w:r w:rsidR="00101E4A" w:rsidRPr="00CF0C87">
        <w:rPr>
          <w:i/>
          <w:iCs/>
        </w:rPr>
        <w:t>Memoria 2022</w:t>
      </w:r>
      <w:r w:rsidR="00101E4A" w:rsidRPr="00CF0C87">
        <w:t xml:space="preserve">. </w:t>
      </w:r>
      <w:r w:rsidR="00101E4A" w:rsidRPr="00101E4A">
        <w:rPr>
          <w:lang w:val="en-US"/>
        </w:rPr>
        <w:t>CONMEBOL.</w:t>
      </w:r>
    </w:p>
    <w:p w14:paraId="1BF518BB" w14:textId="77777777" w:rsidR="00101E4A" w:rsidRPr="00101E4A" w:rsidRDefault="00101E4A" w:rsidP="00101E4A">
      <w:pPr>
        <w:pStyle w:val="Bibliography"/>
        <w:rPr>
          <w:lang w:val="en-US"/>
        </w:rPr>
      </w:pPr>
      <w:r w:rsidRPr="00101E4A">
        <w:rPr>
          <w:lang w:val="en-US"/>
        </w:rPr>
        <w:t xml:space="preserve">Deloitte Sports Business Group. (2023). </w:t>
      </w:r>
      <w:r w:rsidRPr="00101E4A">
        <w:rPr>
          <w:i/>
          <w:iCs/>
          <w:lang w:val="en-US"/>
        </w:rPr>
        <w:t>Deloitte’s outlook for sports investment in 2023</w:t>
      </w:r>
      <w:r w:rsidRPr="00101E4A">
        <w:rPr>
          <w:lang w:val="en-US"/>
        </w:rPr>
        <w:t>. Deloitte. https://www2.deloitte.com/uk/en/pages/sports-business-group/solutions/making-informed-investment-decisions/deloittes-outlook-for-sports-investment.html</w:t>
      </w:r>
    </w:p>
    <w:p w14:paraId="24C26F03" w14:textId="77777777" w:rsidR="00101E4A" w:rsidRPr="00101E4A" w:rsidRDefault="00101E4A" w:rsidP="00101E4A">
      <w:pPr>
        <w:pStyle w:val="Bibliography"/>
        <w:rPr>
          <w:lang w:val="en-US"/>
        </w:rPr>
      </w:pPr>
      <w:r w:rsidRPr="00101E4A">
        <w:rPr>
          <w:lang w:val="en-US"/>
        </w:rPr>
        <w:t xml:space="preserve">Deloitte Sports Business Group. (2024). </w:t>
      </w:r>
      <w:r w:rsidRPr="00101E4A">
        <w:rPr>
          <w:i/>
          <w:iCs/>
          <w:lang w:val="en-US"/>
        </w:rPr>
        <w:t>Deloitte’s 2024 Sports Investment Outlook</w:t>
      </w:r>
      <w:r w:rsidRPr="00101E4A">
        <w:rPr>
          <w:lang w:val="en-US"/>
        </w:rPr>
        <w:t xml:space="preserve"> (p. 13). Deloitte. https://www2.deloitte.com/uk/en/pages/sports-business-group/articles/sports-investment-outlook-2024.html</w:t>
      </w:r>
    </w:p>
    <w:p w14:paraId="52299EF4" w14:textId="77777777" w:rsidR="00101E4A" w:rsidRPr="00101E4A" w:rsidRDefault="00101E4A" w:rsidP="00101E4A">
      <w:pPr>
        <w:pStyle w:val="Bibliography"/>
        <w:rPr>
          <w:lang w:val="en-US"/>
        </w:rPr>
      </w:pPr>
      <w:r w:rsidRPr="00101E4A">
        <w:rPr>
          <w:lang w:val="en-US"/>
        </w:rPr>
        <w:t xml:space="preserve">Gerry Cardinale. (2022). </w:t>
      </w:r>
      <w:r w:rsidRPr="00101E4A">
        <w:rPr>
          <w:i/>
          <w:iCs/>
          <w:lang w:val="en-US"/>
        </w:rPr>
        <w:t>RedBird Capital Partners’ Cardinale on Investing in Sports</w:t>
      </w:r>
      <w:r w:rsidRPr="00101E4A">
        <w:rPr>
          <w:lang w:val="en-US"/>
        </w:rPr>
        <w:t xml:space="preserve"> [Bloomberg Live]. https://www.youtube.com/watch?v=TCM0albO5zU</w:t>
      </w:r>
    </w:p>
    <w:p w14:paraId="21C3E0D1" w14:textId="77777777" w:rsidR="00101E4A" w:rsidRPr="00101E4A" w:rsidRDefault="00101E4A" w:rsidP="00101E4A">
      <w:pPr>
        <w:pStyle w:val="Bibliography"/>
        <w:rPr>
          <w:lang w:val="en-US"/>
        </w:rPr>
      </w:pPr>
      <w:r w:rsidRPr="00101E4A">
        <w:rPr>
          <w:lang w:val="en-US"/>
        </w:rPr>
        <w:t xml:space="preserve">Markham, T. (2013). </w:t>
      </w:r>
      <w:r w:rsidRPr="00101E4A">
        <w:rPr>
          <w:i/>
          <w:iCs/>
          <w:lang w:val="en-US"/>
        </w:rPr>
        <w:t>What is the Optimal Method to Value a Football Club?</w:t>
      </w:r>
      <w:r w:rsidRPr="00101E4A">
        <w:rPr>
          <w:lang w:val="en-US"/>
        </w:rPr>
        <w:t xml:space="preserve"> (SSRN Scholarly Paper 2238265). https://doi.org/10.2139/ssrn.2238265</w:t>
      </w:r>
    </w:p>
    <w:p w14:paraId="72947429" w14:textId="77777777" w:rsidR="00101E4A" w:rsidRPr="00101E4A" w:rsidRDefault="00101E4A" w:rsidP="00101E4A">
      <w:pPr>
        <w:pStyle w:val="Bibliography"/>
        <w:rPr>
          <w:lang w:val="en-US"/>
        </w:rPr>
      </w:pPr>
      <w:r w:rsidRPr="00101E4A">
        <w:rPr>
          <w:lang w:val="en-US"/>
        </w:rPr>
        <w:lastRenderedPageBreak/>
        <w:t xml:space="preserve">O’Connor, David. (2024, marzo 7). </w:t>
      </w:r>
      <w:r w:rsidRPr="00101E4A">
        <w:rPr>
          <w:i/>
          <w:iCs/>
          <w:lang w:val="en-US"/>
        </w:rPr>
        <w:t>Private Equity Leaders on Sports Investment Strategies</w:t>
      </w:r>
      <w:r w:rsidRPr="00101E4A">
        <w:rPr>
          <w:lang w:val="en-US"/>
        </w:rPr>
        <w:t xml:space="preserve"> [Bloomberg Live]. https://www.youtube.com/watch?v=IitLGa9dD8Q</w:t>
      </w:r>
    </w:p>
    <w:p w14:paraId="4439389D" w14:textId="77777777" w:rsidR="00101E4A" w:rsidRPr="00101E4A" w:rsidRDefault="00101E4A" w:rsidP="00101E4A">
      <w:pPr>
        <w:pStyle w:val="Bibliography"/>
        <w:rPr>
          <w:lang w:val="en-US"/>
        </w:rPr>
      </w:pPr>
      <w:r w:rsidRPr="00101E4A">
        <w:rPr>
          <w:lang w:val="en-US"/>
        </w:rPr>
        <w:t xml:space="preserve">PwC. (2023, febrero 7). </w:t>
      </w:r>
      <w:r w:rsidRPr="00101E4A">
        <w:rPr>
          <w:i/>
          <w:iCs/>
          <w:lang w:val="en-US"/>
        </w:rPr>
        <w:t>Institutional investment in sport to grow in the next 3-5 years with overall sports industry growth prospects more positive compared to last year—PwC Global Sports Survey</w:t>
      </w:r>
      <w:r w:rsidRPr="00101E4A">
        <w:rPr>
          <w:lang w:val="en-US"/>
        </w:rPr>
        <w:t>. PwC. https://www.pwc.co.uk/press-room/press-releases/Institutional-investment-in-sport-to-grow-in-the-next-3-5-years-pwc-global-sports-survey.html</w:t>
      </w:r>
    </w:p>
    <w:p w14:paraId="623DB247" w14:textId="77777777" w:rsidR="00101E4A" w:rsidRPr="00101E4A" w:rsidRDefault="00101E4A" w:rsidP="00101E4A">
      <w:pPr>
        <w:pStyle w:val="Bibliography"/>
        <w:rPr>
          <w:lang w:val="en-US"/>
        </w:rPr>
      </w:pPr>
      <w:r w:rsidRPr="00101E4A">
        <w:rPr>
          <w:lang w:val="en-US"/>
        </w:rPr>
        <w:t xml:space="preserve">Sheldon, D. (2023, octubre 19). </w:t>
      </w:r>
      <w:r w:rsidRPr="00101E4A">
        <w:rPr>
          <w:i/>
          <w:iCs/>
          <w:lang w:val="en-US"/>
        </w:rPr>
        <w:t>So you want to be a minority owner: Why just a piece of a Premier League club is enough</w:t>
      </w:r>
      <w:r w:rsidRPr="00101E4A">
        <w:rPr>
          <w:lang w:val="en-US"/>
        </w:rPr>
        <w:t>. The Athletic. https://theathletic.com/4973946/2023/10/19/so-you-want-to-be-a-minority-owner-why-a-piece-of-a-premier-league-club-is-enough/</w:t>
      </w:r>
    </w:p>
    <w:p w14:paraId="73ED466D" w14:textId="77777777" w:rsidR="00101E4A" w:rsidRPr="00101E4A" w:rsidRDefault="00101E4A" w:rsidP="00101E4A">
      <w:pPr>
        <w:pStyle w:val="Bibliography"/>
        <w:rPr>
          <w:lang w:val="en-US"/>
        </w:rPr>
      </w:pPr>
      <w:r w:rsidRPr="00101E4A">
        <w:rPr>
          <w:lang w:val="en-US"/>
        </w:rPr>
        <w:t xml:space="preserve">Struta, I. (2024, marzo 20). </w:t>
      </w:r>
      <w:r w:rsidRPr="00101E4A">
        <w:rPr>
          <w:i/>
          <w:iCs/>
          <w:lang w:val="en-US"/>
        </w:rPr>
        <w:t>Sports ownership shifts from trophy asset to lucrative investment</w:t>
      </w:r>
      <w:r w:rsidRPr="00101E4A">
        <w:rPr>
          <w:lang w:val="en-US"/>
        </w:rPr>
        <w:t>. S&amp;P Global Market Intelligence. https://www.spglobal.com/marketintelligence/en/news-insights/research/sports-ownership-shifts-from-trophy-asset-to-lucrative-investment</w:t>
      </w:r>
    </w:p>
    <w:p w14:paraId="70B3AE5E" w14:textId="77777777" w:rsidR="00101E4A" w:rsidRPr="00101E4A" w:rsidRDefault="00101E4A" w:rsidP="00101E4A">
      <w:pPr>
        <w:pStyle w:val="Bibliography"/>
        <w:rPr>
          <w:lang w:val="en-US"/>
        </w:rPr>
      </w:pPr>
      <w:r w:rsidRPr="00101E4A">
        <w:rPr>
          <w:lang w:val="en-US"/>
        </w:rPr>
        <w:t xml:space="preserve">UEFA. (2023). </w:t>
      </w:r>
      <w:r w:rsidRPr="00101E4A">
        <w:rPr>
          <w:i/>
          <w:iCs/>
          <w:lang w:val="en-US"/>
        </w:rPr>
        <w:t>UEFA Club Licensing and Financial Sustainability Regulations</w:t>
      </w:r>
      <w:r w:rsidRPr="00101E4A">
        <w:rPr>
          <w:lang w:val="en-US"/>
        </w:rPr>
        <w:t>. https://documents.uefa.com/r/UEFA-Club-Licensing-and-Financial-Sustainability-Regulations-2023/Article-1-Scope-of-application-Online</w:t>
      </w:r>
    </w:p>
    <w:p w14:paraId="7DE86BAF" w14:textId="01972E20" w:rsidR="008D45A7" w:rsidRPr="00C21EA8" w:rsidRDefault="00290DE1" w:rsidP="007C2620">
      <w:pPr>
        <w:pStyle w:val="NormalWeb"/>
        <w:rPr>
          <w:lang w:val="en-US"/>
        </w:rPr>
      </w:pPr>
      <w:r>
        <w:fldChar w:fldCharType="end"/>
      </w:r>
    </w:p>
    <w:sectPr w:rsidR="008D45A7" w:rsidRPr="00C21EA8" w:rsidSect="00104BC5">
      <w:headerReference w:type="default" r:id="rId9"/>
      <w:footerReference w:type="even" r:id="rId10"/>
      <w:footerReference w:type="default" r:id="rId11"/>
      <w:pgSz w:w="11900" w:h="16840"/>
      <w:pgMar w:top="1417" w:right="1701" w:bottom="1417" w:left="1701"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FF198" w14:textId="77777777" w:rsidR="00DD3C81" w:rsidRDefault="00DD3C81" w:rsidP="007C2620">
      <w:r>
        <w:separator/>
      </w:r>
    </w:p>
  </w:endnote>
  <w:endnote w:type="continuationSeparator" w:id="0">
    <w:p w14:paraId="69D16BCA" w14:textId="77777777" w:rsidR="00DD3C81" w:rsidRDefault="00DD3C81" w:rsidP="007C2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KlavikaRegular-OSTF">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3928891"/>
      <w:docPartObj>
        <w:docPartGallery w:val="Page Numbers (Bottom of Page)"/>
        <w:docPartUnique/>
      </w:docPartObj>
    </w:sdtPr>
    <w:sdtContent>
      <w:p w14:paraId="768AABC9" w14:textId="69255AB1" w:rsidR="00102CA6" w:rsidRDefault="00102C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EBC253" w14:textId="77777777" w:rsidR="00102CA6" w:rsidRDefault="00102CA6" w:rsidP="00102C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1987624"/>
      <w:docPartObj>
        <w:docPartGallery w:val="Page Numbers (Bottom of Page)"/>
        <w:docPartUnique/>
      </w:docPartObj>
    </w:sdtPr>
    <w:sdtContent>
      <w:p w14:paraId="36D4A742" w14:textId="3E5952B6" w:rsidR="00102CA6" w:rsidRDefault="00102C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96C5017" w14:textId="77777777" w:rsidR="008D45A7" w:rsidRDefault="008D45A7" w:rsidP="00102CA6">
    <w:pPr>
      <w:pStyle w:val="Cabeceraypi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464F6" w14:textId="77777777" w:rsidR="00DD3C81" w:rsidRDefault="00DD3C81" w:rsidP="007C2620">
      <w:r>
        <w:separator/>
      </w:r>
    </w:p>
  </w:footnote>
  <w:footnote w:type="continuationSeparator" w:id="0">
    <w:p w14:paraId="5AD4754F" w14:textId="77777777" w:rsidR="00DD3C81" w:rsidRDefault="00DD3C81" w:rsidP="007C2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E4D77" w14:textId="77777777" w:rsidR="008D45A7" w:rsidRDefault="008D45A7">
    <w:pPr>
      <w:pStyle w:val="Cabecera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15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F67BCF"/>
    <w:multiLevelType w:val="multilevel"/>
    <w:tmpl w:val="3DD815DA"/>
    <w:lvl w:ilvl="0">
      <w:start w:val="1"/>
      <w:numFmt w:val="decimal"/>
      <w:pStyle w:val="Heading1"/>
      <w:lvlText w:val="%1"/>
      <w:lvlJc w:val="left"/>
      <w:pPr>
        <w:ind w:left="170" w:hanging="17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3981"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7F92684"/>
    <w:multiLevelType w:val="hybridMultilevel"/>
    <w:tmpl w:val="B69E7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043DD"/>
    <w:multiLevelType w:val="hybridMultilevel"/>
    <w:tmpl w:val="905C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539C4"/>
    <w:multiLevelType w:val="hybridMultilevel"/>
    <w:tmpl w:val="376EF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F4A1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F6D302D"/>
    <w:multiLevelType w:val="hybridMultilevel"/>
    <w:tmpl w:val="146EF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006F6"/>
    <w:multiLevelType w:val="hybridMultilevel"/>
    <w:tmpl w:val="61602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D1FF1"/>
    <w:multiLevelType w:val="hybridMultilevel"/>
    <w:tmpl w:val="C5E21BD6"/>
    <w:lvl w:ilvl="0" w:tplc="2420540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170D2"/>
    <w:multiLevelType w:val="hybridMultilevel"/>
    <w:tmpl w:val="4A2A8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118835">
    <w:abstractNumId w:val="7"/>
  </w:num>
  <w:num w:numId="2" w16cid:durableId="878593003">
    <w:abstractNumId w:val="3"/>
  </w:num>
  <w:num w:numId="3" w16cid:durableId="821502192">
    <w:abstractNumId w:val="2"/>
  </w:num>
  <w:num w:numId="4" w16cid:durableId="846942524">
    <w:abstractNumId w:val="1"/>
  </w:num>
  <w:num w:numId="5" w16cid:durableId="1932809404">
    <w:abstractNumId w:val="0"/>
  </w:num>
  <w:num w:numId="6" w16cid:durableId="1737587575">
    <w:abstractNumId w:val="5"/>
  </w:num>
  <w:num w:numId="7" w16cid:durableId="976762837">
    <w:abstractNumId w:val="4"/>
  </w:num>
  <w:num w:numId="8" w16cid:durableId="311907023">
    <w:abstractNumId w:val="9"/>
  </w:num>
  <w:num w:numId="9" w16cid:durableId="130633996">
    <w:abstractNumId w:val="8"/>
  </w:num>
  <w:num w:numId="10" w16cid:durableId="1059279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A7"/>
    <w:rsid w:val="000042EB"/>
    <w:rsid w:val="00014EEF"/>
    <w:rsid w:val="00042946"/>
    <w:rsid w:val="000F69C0"/>
    <w:rsid w:val="00101E4A"/>
    <w:rsid w:val="00102CA6"/>
    <w:rsid w:val="00104BC5"/>
    <w:rsid w:val="00117E9E"/>
    <w:rsid w:val="001202BF"/>
    <w:rsid w:val="001506D4"/>
    <w:rsid w:val="001A07F0"/>
    <w:rsid w:val="001A54BF"/>
    <w:rsid w:val="00212F90"/>
    <w:rsid w:val="0021553D"/>
    <w:rsid w:val="00220EBC"/>
    <w:rsid w:val="00233D8F"/>
    <w:rsid w:val="00290DE1"/>
    <w:rsid w:val="002E23A9"/>
    <w:rsid w:val="00314F10"/>
    <w:rsid w:val="00333C84"/>
    <w:rsid w:val="00363DF7"/>
    <w:rsid w:val="003E72EC"/>
    <w:rsid w:val="00422CD5"/>
    <w:rsid w:val="004657E2"/>
    <w:rsid w:val="004E527C"/>
    <w:rsid w:val="005813BE"/>
    <w:rsid w:val="00603F5A"/>
    <w:rsid w:val="00701972"/>
    <w:rsid w:val="0070336E"/>
    <w:rsid w:val="00715817"/>
    <w:rsid w:val="00717D05"/>
    <w:rsid w:val="00786D51"/>
    <w:rsid w:val="007B326F"/>
    <w:rsid w:val="007C2620"/>
    <w:rsid w:val="007C6A29"/>
    <w:rsid w:val="007D7110"/>
    <w:rsid w:val="008603E3"/>
    <w:rsid w:val="00881D36"/>
    <w:rsid w:val="008B633B"/>
    <w:rsid w:val="008D45A7"/>
    <w:rsid w:val="009038E6"/>
    <w:rsid w:val="00904C7B"/>
    <w:rsid w:val="009058FC"/>
    <w:rsid w:val="009573E5"/>
    <w:rsid w:val="009B197F"/>
    <w:rsid w:val="009F2F4A"/>
    <w:rsid w:val="00A060D8"/>
    <w:rsid w:val="00A574F0"/>
    <w:rsid w:val="00A96859"/>
    <w:rsid w:val="00B12729"/>
    <w:rsid w:val="00BE276D"/>
    <w:rsid w:val="00C00DB6"/>
    <w:rsid w:val="00C21EA8"/>
    <w:rsid w:val="00C35425"/>
    <w:rsid w:val="00C3588B"/>
    <w:rsid w:val="00C61D3B"/>
    <w:rsid w:val="00C67228"/>
    <w:rsid w:val="00C80F3B"/>
    <w:rsid w:val="00CA404D"/>
    <w:rsid w:val="00CA6A3D"/>
    <w:rsid w:val="00CF0C87"/>
    <w:rsid w:val="00D13DF8"/>
    <w:rsid w:val="00DA1DB3"/>
    <w:rsid w:val="00DC14CD"/>
    <w:rsid w:val="00DD3C81"/>
    <w:rsid w:val="00E23DAF"/>
    <w:rsid w:val="00E34413"/>
    <w:rsid w:val="00E37FF6"/>
    <w:rsid w:val="00E603B5"/>
    <w:rsid w:val="00E6714F"/>
    <w:rsid w:val="00EB10AC"/>
    <w:rsid w:val="00ED4DC9"/>
    <w:rsid w:val="00EF0047"/>
    <w:rsid w:val="00F1695C"/>
    <w:rsid w:val="00F25BBE"/>
    <w:rsid w:val="00F505F0"/>
    <w:rsid w:val="00F52DA8"/>
    <w:rsid w:val="00F776CA"/>
    <w:rsid w:val="00FC683F"/>
    <w:rsid w:val="00FD416D"/>
    <w:rsid w:val="00FF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8DC4"/>
  <w15:docId w15:val="{02301FF5-C678-8849-A963-774F7DDE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62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pPr>
    <w:rPr>
      <w:rFonts w:ascii="Arial" w:eastAsia="Times New Roman" w:hAnsi="Arial" w:cs="Arial"/>
      <w:color w:val="000000"/>
      <w:sz w:val="22"/>
      <w:szCs w:val="22"/>
      <w:bdr w:val="none" w:sz="0" w:space="0" w:color="auto"/>
      <w:lang w:val="es-ES"/>
    </w:rPr>
  </w:style>
  <w:style w:type="paragraph" w:styleId="Heading1">
    <w:name w:val="heading 1"/>
    <w:basedOn w:val="Normal"/>
    <w:next w:val="Normal"/>
    <w:link w:val="Heading1Char"/>
    <w:uiPriority w:val="9"/>
    <w:qFormat/>
    <w:rsid w:val="001506D4"/>
    <w:pPr>
      <w:keepNext/>
      <w:keepLines/>
      <w:numPr>
        <w:numId w:val="4"/>
      </w:numPr>
      <w:spacing w:before="240" w:after="0"/>
      <w:outlineLvl w:val="0"/>
    </w:pPr>
    <w:rPr>
      <w:rFonts w:eastAsiaTheme="majorEastAsia"/>
      <w:b/>
      <w:bCs/>
      <w:color w:val="365F91" w:themeColor="accent1" w:themeShade="BF"/>
      <w:sz w:val="36"/>
      <w:szCs w:val="36"/>
    </w:rPr>
  </w:style>
  <w:style w:type="paragraph" w:styleId="Heading2">
    <w:name w:val="heading 2"/>
    <w:basedOn w:val="Normal"/>
    <w:link w:val="Heading2Char"/>
    <w:uiPriority w:val="9"/>
    <w:qFormat/>
    <w:rsid w:val="001506D4"/>
    <w:pPr>
      <w:numPr>
        <w:ilvl w:val="1"/>
        <w:numId w:val="4"/>
      </w:numPr>
      <w:outlineLvl w:val="1"/>
    </w:pPr>
    <w:rPr>
      <w:sz w:val="32"/>
      <w:szCs w:val="32"/>
    </w:rPr>
  </w:style>
  <w:style w:type="paragraph" w:styleId="Heading3">
    <w:name w:val="heading 3"/>
    <w:basedOn w:val="Normal"/>
    <w:next w:val="Normal"/>
    <w:link w:val="Heading3Char"/>
    <w:uiPriority w:val="9"/>
    <w:unhideWhenUsed/>
    <w:qFormat/>
    <w:rsid w:val="00C21EA8"/>
    <w:pPr>
      <w:numPr>
        <w:ilvl w:val="2"/>
        <w:numId w:val="4"/>
      </w:numPr>
      <w:jc w:val="both"/>
      <w:outlineLvl w:val="2"/>
    </w:pPr>
    <w:rPr>
      <w:color w:val="434343"/>
      <w:sz w:val="28"/>
      <w:szCs w:val="28"/>
    </w:rPr>
  </w:style>
  <w:style w:type="paragraph" w:styleId="Heading4">
    <w:name w:val="heading 4"/>
    <w:basedOn w:val="Normal"/>
    <w:next w:val="Normal"/>
    <w:link w:val="Heading4Char"/>
    <w:uiPriority w:val="9"/>
    <w:unhideWhenUsed/>
    <w:qFormat/>
    <w:rsid w:val="00E6714F"/>
    <w:pPr>
      <w:keepNext/>
      <w:keepLines/>
      <w:numPr>
        <w:ilvl w:val="3"/>
        <w:numId w:val="4"/>
      </w:numPr>
      <w:spacing w:before="40" w:after="0"/>
      <w:outlineLvl w:val="3"/>
    </w:pPr>
    <w:rPr>
      <w:rFonts w:eastAsiaTheme="majorEastAsia"/>
      <w:i/>
      <w:iCs/>
      <w:color w:val="666666"/>
    </w:rPr>
  </w:style>
  <w:style w:type="paragraph" w:styleId="Heading5">
    <w:name w:val="heading 5"/>
    <w:basedOn w:val="Heading4"/>
    <w:next w:val="Normal"/>
    <w:link w:val="Heading5Char"/>
    <w:uiPriority w:val="9"/>
    <w:unhideWhenUsed/>
    <w:qFormat/>
    <w:rsid w:val="00A96859"/>
    <w:pPr>
      <w:numPr>
        <w:ilvl w:val="4"/>
      </w:numPr>
      <w:outlineLvl w:val="4"/>
    </w:pPr>
    <w:rPr>
      <w:i w:val="0"/>
      <w:iCs w:val="0"/>
    </w:rPr>
  </w:style>
  <w:style w:type="paragraph" w:styleId="Heading6">
    <w:name w:val="heading 6"/>
    <w:basedOn w:val="Normal"/>
    <w:next w:val="Normal"/>
    <w:link w:val="Heading6Char"/>
    <w:uiPriority w:val="9"/>
    <w:semiHidden/>
    <w:unhideWhenUsed/>
    <w:qFormat/>
    <w:rsid w:val="00314F10"/>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14F10"/>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14F1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4F1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Cabeceraypie">
    <w:name w:val="Cabecera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uerpo">
    <w:name w:val="Cuerpo"/>
    <w:pPr>
      <w:spacing w:after="200"/>
    </w:pPr>
    <w:rPr>
      <w:rFonts w:ascii="Cambria" w:hAnsi="Cambria" w:cs="Arial Unicode MS"/>
      <w:color w:val="000000"/>
      <w:sz w:val="24"/>
      <w:szCs w:val="24"/>
      <w:u w:color="000000"/>
      <w14:textOutline w14:w="0" w14:cap="flat" w14:cmpd="sng" w14:algn="ctr">
        <w14:noFill/>
        <w14:prstDash w14:val="solid"/>
        <w14:bevel/>
      </w14:textOutline>
    </w:rPr>
  </w:style>
  <w:style w:type="character" w:customStyle="1" w:styleId="Ninguno">
    <w:name w:val="Ninguno"/>
  </w:style>
  <w:style w:type="character" w:customStyle="1" w:styleId="Heading2Char">
    <w:name w:val="Heading 2 Char"/>
    <w:basedOn w:val="DefaultParagraphFont"/>
    <w:link w:val="Heading2"/>
    <w:uiPriority w:val="9"/>
    <w:rsid w:val="001506D4"/>
    <w:rPr>
      <w:rFonts w:ascii="Arial" w:eastAsia="Times New Roman" w:hAnsi="Arial" w:cs="Arial"/>
      <w:color w:val="000000"/>
      <w:sz w:val="32"/>
      <w:szCs w:val="32"/>
      <w:bdr w:val="none" w:sz="0" w:space="0" w:color="auto"/>
      <w:lang w:val="es-ES"/>
    </w:rPr>
  </w:style>
  <w:style w:type="paragraph" w:styleId="NormalWeb">
    <w:name w:val="Normal (Web)"/>
    <w:basedOn w:val="Normal"/>
    <w:uiPriority w:val="99"/>
    <w:unhideWhenUsed/>
    <w:rsid w:val="00290DE1"/>
  </w:style>
  <w:style w:type="character" w:styleId="FollowedHyperlink">
    <w:name w:val="FollowedHyperlink"/>
    <w:basedOn w:val="DefaultParagraphFont"/>
    <w:uiPriority w:val="99"/>
    <w:semiHidden/>
    <w:unhideWhenUsed/>
    <w:rsid w:val="00290DE1"/>
    <w:rPr>
      <w:color w:val="FF00FF" w:themeColor="followedHyperlink"/>
      <w:u w:val="single"/>
    </w:rPr>
  </w:style>
  <w:style w:type="paragraph" w:styleId="Bibliography">
    <w:name w:val="Bibliography"/>
    <w:basedOn w:val="Normal"/>
    <w:next w:val="Normal"/>
    <w:uiPriority w:val="37"/>
    <w:unhideWhenUsed/>
    <w:rsid w:val="00290DE1"/>
    <w:pPr>
      <w:spacing w:line="480" w:lineRule="auto"/>
      <w:ind w:left="720" w:hanging="720"/>
    </w:pPr>
  </w:style>
  <w:style w:type="paragraph" w:styleId="ListParagraph">
    <w:name w:val="List Paragraph"/>
    <w:basedOn w:val="Normal"/>
    <w:uiPriority w:val="34"/>
    <w:qFormat/>
    <w:rsid w:val="005813BE"/>
    <w:pPr>
      <w:ind w:left="720"/>
      <w:contextualSpacing/>
    </w:pPr>
  </w:style>
  <w:style w:type="paragraph" w:styleId="Index1">
    <w:name w:val="index 1"/>
    <w:basedOn w:val="Normal"/>
    <w:next w:val="Normal"/>
    <w:autoRedefine/>
    <w:uiPriority w:val="99"/>
    <w:unhideWhenUsed/>
    <w:rsid w:val="00C21EA8"/>
    <w:pPr>
      <w:spacing w:before="0" w:after="0"/>
      <w:ind w:left="220" w:hanging="220"/>
    </w:pPr>
    <w:rPr>
      <w:rFonts w:asciiTheme="minorHAnsi" w:hAnsiTheme="minorHAnsi"/>
      <w:sz w:val="20"/>
      <w:szCs w:val="20"/>
    </w:rPr>
  </w:style>
  <w:style w:type="paragraph" w:styleId="Index2">
    <w:name w:val="index 2"/>
    <w:basedOn w:val="Normal"/>
    <w:next w:val="Normal"/>
    <w:autoRedefine/>
    <w:uiPriority w:val="99"/>
    <w:unhideWhenUsed/>
    <w:rsid w:val="00C21EA8"/>
    <w:pPr>
      <w:spacing w:before="0" w:after="0"/>
      <w:ind w:left="440" w:hanging="220"/>
    </w:pPr>
    <w:rPr>
      <w:rFonts w:asciiTheme="minorHAnsi" w:hAnsiTheme="minorHAnsi"/>
      <w:sz w:val="20"/>
      <w:szCs w:val="20"/>
    </w:rPr>
  </w:style>
  <w:style w:type="paragraph" w:styleId="Index3">
    <w:name w:val="index 3"/>
    <w:basedOn w:val="Normal"/>
    <w:next w:val="Normal"/>
    <w:autoRedefine/>
    <w:uiPriority w:val="99"/>
    <w:unhideWhenUsed/>
    <w:rsid w:val="00C21EA8"/>
    <w:pPr>
      <w:spacing w:before="0" w:after="0"/>
      <w:ind w:left="660" w:hanging="220"/>
    </w:pPr>
    <w:rPr>
      <w:rFonts w:asciiTheme="minorHAnsi" w:hAnsiTheme="minorHAnsi"/>
      <w:sz w:val="20"/>
      <w:szCs w:val="20"/>
    </w:rPr>
  </w:style>
  <w:style w:type="paragraph" w:styleId="Index4">
    <w:name w:val="index 4"/>
    <w:basedOn w:val="Normal"/>
    <w:next w:val="Normal"/>
    <w:autoRedefine/>
    <w:uiPriority w:val="99"/>
    <w:unhideWhenUsed/>
    <w:rsid w:val="00C21EA8"/>
    <w:pPr>
      <w:spacing w:before="0" w:after="0"/>
      <w:ind w:left="880" w:hanging="220"/>
    </w:pPr>
    <w:rPr>
      <w:rFonts w:asciiTheme="minorHAnsi" w:hAnsiTheme="minorHAnsi"/>
      <w:sz w:val="20"/>
      <w:szCs w:val="20"/>
    </w:rPr>
  </w:style>
  <w:style w:type="paragraph" w:styleId="Index5">
    <w:name w:val="index 5"/>
    <w:basedOn w:val="Normal"/>
    <w:next w:val="Normal"/>
    <w:autoRedefine/>
    <w:uiPriority w:val="99"/>
    <w:unhideWhenUsed/>
    <w:rsid w:val="00C21EA8"/>
    <w:pPr>
      <w:spacing w:before="0" w:after="0"/>
      <w:ind w:left="1100" w:hanging="220"/>
    </w:pPr>
    <w:rPr>
      <w:rFonts w:asciiTheme="minorHAnsi" w:hAnsiTheme="minorHAnsi"/>
      <w:sz w:val="20"/>
      <w:szCs w:val="20"/>
    </w:rPr>
  </w:style>
  <w:style w:type="paragraph" w:styleId="Index6">
    <w:name w:val="index 6"/>
    <w:basedOn w:val="Normal"/>
    <w:next w:val="Normal"/>
    <w:autoRedefine/>
    <w:uiPriority w:val="99"/>
    <w:unhideWhenUsed/>
    <w:rsid w:val="00C21EA8"/>
    <w:pPr>
      <w:spacing w:before="0" w:after="0"/>
      <w:ind w:left="1320" w:hanging="220"/>
    </w:pPr>
    <w:rPr>
      <w:rFonts w:asciiTheme="minorHAnsi" w:hAnsiTheme="minorHAnsi"/>
      <w:sz w:val="20"/>
      <w:szCs w:val="20"/>
    </w:rPr>
  </w:style>
  <w:style w:type="paragraph" w:styleId="Index7">
    <w:name w:val="index 7"/>
    <w:basedOn w:val="Normal"/>
    <w:next w:val="Normal"/>
    <w:autoRedefine/>
    <w:uiPriority w:val="99"/>
    <w:unhideWhenUsed/>
    <w:rsid w:val="00C21EA8"/>
    <w:pPr>
      <w:spacing w:before="0" w:after="0"/>
      <w:ind w:left="1540" w:hanging="220"/>
    </w:pPr>
    <w:rPr>
      <w:rFonts w:asciiTheme="minorHAnsi" w:hAnsiTheme="minorHAnsi"/>
      <w:sz w:val="20"/>
      <w:szCs w:val="20"/>
    </w:rPr>
  </w:style>
  <w:style w:type="paragraph" w:styleId="Index8">
    <w:name w:val="index 8"/>
    <w:basedOn w:val="Normal"/>
    <w:next w:val="Normal"/>
    <w:autoRedefine/>
    <w:uiPriority w:val="99"/>
    <w:unhideWhenUsed/>
    <w:rsid w:val="00C21EA8"/>
    <w:pPr>
      <w:spacing w:before="0" w:after="0"/>
      <w:ind w:left="1760" w:hanging="220"/>
    </w:pPr>
    <w:rPr>
      <w:rFonts w:asciiTheme="minorHAnsi" w:hAnsiTheme="minorHAnsi"/>
      <w:sz w:val="20"/>
      <w:szCs w:val="20"/>
    </w:rPr>
  </w:style>
  <w:style w:type="paragraph" w:styleId="Index9">
    <w:name w:val="index 9"/>
    <w:basedOn w:val="Normal"/>
    <w:next w:val="Normal"/>
    <w:autoRedefine/>
    <w:uiPriority w:val="99"/>
    <w:unhideWhenUsed/>
    <w:rsid w:val="00C21EA8"/>
    <w:pPr>
      <w:spacing w:before="0" w:after="0"/>
      <w:ind w:left="1980" w:hanging="220"/>
    </w:pPr>
    <w:rPr>
      <w:rFonts w:asciiTheme="minorHAnsi" w:hAnsiTheme="minorHAnsi"/>
      <w:sz w:val="20"/>
      <w:szCs w:val="20"/>
    </w:rPr>
  </w:style>
  <w:style w:type="paragraph" w:styleId="IndexHeading">
    <w:name w:val="index heading"/>
    <w:basedOn w:val="Normal"/>
    <w:next w:val="Index1"/>
    <w:uiPriority w:val="99"/>
    <w:unhideWhenUsed/>
    <w:rsid w:val="00C21EA8"/>
    <w:pPr>
      <w:spacing w:before="120" w:after="120"/>
    </w:pPr>
    <w:rPr>
      <w:rFonts w:asciiTheme="minorHAnsi" w:hAnsiTheme="minorHAnsi"/>
      <w:b/>
      <w:bCs/>
      <w:i/>
      <w:iCs/>
      <w:sz w:val="20"/>
      <w:szCs w:val="20"/>
    </w:rPr>
  </w:style>
  <w:style w:type="paragraph" w:styleId="TOC1">
    <w:name w:val="toc 1"/>
    <w:basedOn w:val="Normal"/>
    <w:next w:val="Normal"/>
    <w:autoRedefine/>
    <w:uiPriority w:val="39"/>
    <w:unhideWhenUsed/>
    <w:rsid w:val="00C21EA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21EA8"/>
    <w:pPr>
      <w:spacing w:before="0"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C21EA8"/>
    <w:pPr>
      <w:spacing w:before="0" w:after="0"/>
      <w:ind w:left="440"/>
    </w:pPr>
    <w:rPr>
      <w:rFonts w:asciiTheme="minorHAnsi" w:hAnsiTheme="minorHAnsi"/>
      <w:i/>
      <w:iCs/>
      <w:sz w:val="20"/>
      <w:szCs w:val="20"/>
    </w:rPr>
  </w:style>
  <w:style w:type="paragraph" w:styleId="TOC4">
    <w:name w:val="toc 4"/>
    <w:basedOn w:val="Normal"/>
    <w:next w:val="Normal"/>
    <w:autoRedefine/>
    <w:uiPriority w:val="39"/>
    <w:unhideWhenUsed/>
    <w:rsid w:val="00C21EA8"/>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C21EA8"/>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C21EA8"/>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C21EA8"/>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C21EA8"/>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C21EA8"/>
    <w:pPr>
      <w:spacing w:before="0" w:after="0"/>
      <w:ind w:left="1760"/>
    </w:pPr>
    <w:rPr>
      <w:rFonts w:asciiTheme="minorHAnsi" w:hAnsiTheme="minorHAnsi"/>
      <w:sz w:val="18"/>
      <w:szCs w:val="18"/>
    </w:rPr>
  </w:style>
  <w:style w:type="character" w:customStyle="1" w:styleId="Heading1Char">
    <w:name w:val="Heading 1 Char"/>
    <w:basedOn w:val="DefaultParagraphFont"/>
    <w:link w:val="Heading1"/>
    <w:uiPriority w:val="9"/>
    <w:rsid w:val="001506D4"/>
    <w:rPr>
      <w:rFonts w:ascii="Arial" w:eastAsiaTheme="majorEastAsia" w:hAnsi="Arial" w:cs="Arial"/>
      <w:b/>
      <w:bCs/>
      <w:color w:val="365F91" w:themeColor="accent1" w:themeShade="BF"/>
      <w:sz w:val="36"/>
      <w:szCs w:val="36"/>
      <w:bdr w:val="none" w:sz="0" w:space="0" w:color="auto"/>
      <w:lang w:val="es-ES"/>
    </w:rPr>
  </w:style>
  <w:style w:type="character" w:customStyle="1" w:styleId="Heading3Char">
    <w:name w:val="Heading 3 Char"/>
    <w:basedOn w:val="DefaultParagraphFont"/>
    <w:link w:val="Heading3"/>
    <w:uiPriority w:val="9"/>
    <w:rsid w:val="00C21EA8"/>
    <w:rPr>
      <w:rFonts w:ascii="Arial" w:eastAsia="Times New Roman" w:hAnsi="Arial" w:cs="Arial"/>
      <w:color w:val="434343"/>
      <w:sz w:val="28"/>
      <w:szCs w:val="28"/>
      <w:bdr w:val="none" w:sz="0" w:space="0" w:color="auto"/>
      <w:lang w:val="es-ES"/>
    </w:rPr>
  </w:style>
  <w:style w:type="character" w:customStyle="1" w:styleId="Heading4Char">
    <w:name w:val="Heading 4 Char"/>
    <w:basedOn w:val="DefaultParagraphFont"/>
    <w:link w:val="Heading4"/>
    <w:uiPriority w:val="9"/>
    <w:rsid w:val="00E6714F"/>
    <w:rPr>
      <w:rFonts w:ascii="Arial" w:eastAsiaTheme="majorEastAsia" w:hAnsi="Arial" w:cs="Arial"/>
      <w:i/>
      <w:iCs/>
      <w:color w:val="666666"/>
      <w:sz w:val="22"/>
      <w:szCs w:val="22"/>
      <w:bdr w:val="none" w:sz="0" w:space="0" w:color="auto"/>
      <w:lang w:val="es-ES"/>
    </w:rPr>
  </w:style>
  <w:style w:type="character" w:customStyle="1" w:styleId="Heading5Char">
    <w:name w:val="Heading 5 Char"/>
    <w:basedOn w:val="DefaultParagraphFont"/>
    <w:link w:val="Heading5"/>
    <w:uiPriority w:val="9"/>
    <w:rsid w:val="00A96859"/>
    <w:rPr>
      <w:rFonts w:ascii="Arial" w:eastAsiaTheme="majorEastAsia" w:hAnsi="Arial" w:cs="Arial"/>
      <w:color w:val="666666"/>
      <w:sz w:val="22"/>
      <w:szCs w:val="22"/>
      <w:bdr w:val="none" w:sz="0" w:space="0" w:color="auto"/>
      <w:lang w:val="es-ES"/>
    </w:rPr>
  </w:style>
  <w:style w:type="paragraph" w:styleId="Footer">
    <w:name w:val="footer"/>
    <w:basedOn w:val="Normal"/>
    <w:link w:val="FooterChar"/>
    <w:uiPriority w:val="99"/>
    <w:unhideWhenUsed/>
    <w:rsid w:val="00102CA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2CA6"/>
    <w:rPr>
      <w:rFonts w:ascii="Arial" w:eastAsia="Times New Roman" w:hAnsi="Arial" w:cs="Arial"/>
      <w:color w:val="000000"/>
      <w:sz w:val="22"/>
      <w:szCs w:val="22"/>
      <w:bdr w:val="none" w:sz="0" w:space="0" w:color="auto"/>
      <w:lang w:val="es-ES"/>
    </w:rPr>
  </w:style>
  <w:style w:type="character" w:styleId="PageNumber">
    <w:name w:val="page number"/>
    <w:basedOn w:val="DefaultParagraphFont"/>
    <w:uiPriority w:val="99"/>
    <w:semiHidden/>
    <w:unhideWhenUsed/>
    <w:rsid w:val="00102CA6"/>
  </w:style>
  <w:style w:type="character" w:customStyle="1" w:styleId="Heading6Char">
    <w:name w:val="Heading 6 Char"/>
    <w:basedOn w:val="DefaultParagraphFont"/>
    <w:link w:val="Heading6"/>
    <w:uiPriority w:val="9"/>
    <w:semiHidden/>
    <w:rsid w:val="00314F10"/>
    <w:rPr>
      <w:rFonts w:asciiTheme="majorHAnsi" w:eastAsiaTheme="majorEastAsia" w:hAnsiTheme="majorHAnsi" w:cstheme="majorBidi"/>
      <w:color w:val="243F60" w:themeColor="accent1" w:themeShade="7F"/>
      <w:sz w:val="22"/>
      <w:szCs w:val="22"/>
      <w:bdr w:val="none" w:sz="0" w:space="0" w:color="auto"/>
      <w:lang w:val="es-ES"/>
    </w:rPr>
  </w:style>
  <w:style w:type="character" w:customStyle="1" w:styleId="Heading7Char">
    <w:name w:val="Heading 7 Char"/>
    <w:basedOn w:val="DefaultParagraphFont"/>
    <w:link w:val="Heading7"/>
    <w:uiPriority w:val="9"/>
    <w:semiHidden/>
    <w:rsid w:val="00314F10"/>
    <w:rPr>
      <w:rFonts w:asciiTheme="majorHAnsi" w:eastAsiaTheme="majorEastAsia" w:hAnsiTheme="majorHAnsi" w:cstheme="majorBidi"/>
      <w:i/>
      <w:iCs/>
      <w:color w:val="243F60" w:themeColor="accent1" w:themeShade="7F"/>
      <w:sz w:val="22"/>
      <w:szCs w:val="22"/>
      <w:bdr w:val="none" w:sz="0" w:space="0" w:color="auto"/>
      <w:lang w:val="es-ES"/>
    </w:rPr>
  </w:style>
  <w:style w:type="character" w:customStyle="1" w:styleId="Heading8Char">
    <w:name w:val="Heading 8 Char"/>
    <w:basedOn w:val="DefaultParagraphFont"/>
    <w:link w:val="Heading8"/>
    <w:uiPriority w:val="9"/>
    <w:semiHidden/>
    <w:rsid w:val="00314F10"/>
    <w:rPr>
      <w:rFonts w:asciiTheme="majorHAnsi" w:eastAsiaTheme="majorEastAsia" w:hAnsiTheme="majorHAnsi" w:cstheme="majorBidi"/>
      <w:color w:val="272727" w:themeColor="text1" w:themeTint="D8"/>
      <w:sz w:val="21"/>
      <w:szCs w:val="21"/>
      <w:bdr w:val="none" w:sz="0" w:space="0" w:color="auto"/>
      <w:lang w:val="es-ES"/>
    </w:rPr>
  </w:style>
  <w:style w:type="character" w:customStyle="1" w:styleId="Heading9Char">
    <w:name w:val="Heading 9 Char"/>
    <w:basedOn w:val="DefaultParagraphFont"/>
    <w:link w:val="Heading9"/>
    <w:uiPriority w:val="9"/>
    <w:semiHidden/>
    <w:rsid w:val="00314F10"/>
    <w:rPr>
      <w:rFonts w:asciiTheme="majorHAnsi" w:eastAsiaTheme="majorEastAsia" w:hAnsiTheme="majorHAnsi" w:cstheme="majorBidi"/>
      <w:i/>
      <w:iCs/>
      <w:color w:val="272727" w:themeColor="text1" w:themeTint="D8"/>
      <w:sz w:val="21"/>
      <w:szCs w:val="21"/>
      <w:bdr w:val="none" w:sz="0" w:space="0" w:color="auto"/>
      <w:lang w:val="es-ES"/>
    </w:rPr>
  </w:style>
  <w:style w:type="paragraph" w:styleId="NoSpacing">
    <w:name w:val="No Spacing"/>
    <w:uiPriority w:val="1"/>
    <w:qFormat/>
    <w:rsid w:val="008B633B"/>
    <w:p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pPr>
    <w:rPr>
      <w:rFonts w:ascii="Arial" w:eastAsia="Times New Roman" w:hAnsi="Arial" w:cs="Arial"/>
      <w:color w:val="000000"/>
      <w:sz w:val="22"/>
      <w:szCs w:val="22"/>
      <w:bdr w:val="none" w:sz="0" w:space="0" w:color="auto"/>
      <w:lang w:val="es-ES"/>
    </w:rPr>
  </w:style>
  <w:style w:type="paragraph" w:styleId="Subtitle">
    <w:name w:val="Subtitle"/>
    <w:basedOn w:val="Normal"/>
    <w:next w:val="Normal"/>
    <w:link w:val="SubtitleChar"/>
    <w:uiPriority w:val="11"/>
    <w:qFormat/>
    <w:rsid w:val="008B633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B633B"/>
    <w:rPr>
      <w:rFonts w:asciiTheme="minorHAnsi" w:eastAsiaTheme="minorEastAsia" w:hAnsiTheme="minorHAnsi" w:cstheme="minorBidi"/>
      <w:color w:val="5A5A5A" w:themeColor="text1" w:themeTint="A5"/>
      <w:spacing w:val="15"/>
      <w:sz w:val="22"/>
      <w:szCs w:val="22"/>
      <w:bdr w:val="none" w:sz="0" w:space="0" w:color="auto"/>
      <w:lang w:val="es-ES"/>
    </w:rPr>
  </w:style>
  <w:style w:type="character" w:styleId="SubtleEmphasis">
    <w:name w:val="Subtle Emphasis"/>
    <w:basedOn w:val="DefaultParagraphFont"/>
    <w:uiPriority w:val="19"/>
    <w:qFormat/>
    <w:rsid w:val="008B633B"/>
    <w:rPr>
      <w:i/>
      <w:iCs/>
      <w:color w:val="404040" w:themeColor="text1" w:themeTint="BF"/>
    </w:rPr>
  </w:style>
  <w:style w:type="character" w:styleId="Emphasis">
    <w:name w:val="Emphasis"/>
    <w:basedOn w:val="DefaultParagraphFont"/>
    <w:uiPriority w:val="20"/>
    <w:qFormat/>
    <w:rsid w:val="008B633B"/>
    <w:rPr>
      <w:i/>
      <w:iCs/>
    </w:rPr>
  </w:style>
  <w:style w:type="character" w:styleId="Strong">
    <w:name w:val="Strong"/>
    <w:basedOn w:val="DefaultParagraphFont"/>
    <w:uiPriority w:val="22"/>
    <w:qFormat/>
    <w:rsid w:val="008B633B"/>
    <w:rPr>
      <w:b/>
      <w:bCs/>
    </w:rPr>
  </w:style>
  <w:style w:type="character" w:styleId="PlaceholderText">
    <w:name w:val="Placeholder Text"/>
    <w:basedOn w:val="DefaultParagraphFont"/>
    <w:uiPriority w:val="99"/>
    <w:semiHidden/>
    <w:rsid w:val="00904C7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3903">
      <w:bodyDiv w:val="1"/>
      <w:marLeft w:val="0"/>
      <w:marRight w:val="0"/>
      <w:marTop w:val="0"/>
      <w:marBottom w:val="0"/>
      <w:divBdr>
        <w:top w:val="none" w:sz="0" w:space="0" w:color="auto"/>
        <w:left w:val="none" w:sz="0" w:space="0" w:color="auto"/>
        <w:bottom w:val="none" w:sz="0" w:space="0" w:color="auto"/>
        <w:right w:val="none" w:sz="0" w:space="0" w:color="auto"/>
      </w:divBdr>
    </w:div>
    <w:div w:id="720397489">
      <w:bodyDiv w:val="1"/>
      <w:marLeft w:val="0"/>
      <w:marRight w:val="0"/>
      <w:marTop w:val="0"/>
      <w:marBottom w:val="0"/>
      <w:divBdr>
        <w:top w:val="none" w:sz="0" w:space="0" w:color="auto"/>
        <w:left w:val="none" w:sz="0" w:space="0" w:color="auto"/>
        <w:bottom w:val="none" w:sz="0" w:space="0" w:color="auto"/>
        <w:right w:val="none" w:sz="0" w:space="0" w:color="auto"/>
      </w:divBdr>
    </w:div>
    <w:div w:id="919020878">
      <w:bodyDiv w:val="1"/>
      <w:marLeft w:val="0"/>
      <w:marRight w:val="0"/>
      <w:marTop w:val="0"/>
      <w:marBottom w:val="0"/>
      <w:divBdr>
        <w:top w:val="none" w:sz="0" w:space="0" w:color="auto"/>
        <w:left w:val="none" w:sz="0" w:space="0" w:color="auto"/>
        <w:bottom w:val="none" w:sz="0" w:space="0" w:color="auto"/>
        <w:right w:val="none" w:sz="0" w:space="0" w:color="auto"/>
      </w:divBdr>
    </w:div>
    <w:div w:id="953563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39AEC-B267-1F4F-8DEC-7D2E0D328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11</Pages>
  <Words>4357</Words>
  <Characters>24836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Gómez</dc:creator>
  <cp:keywords/>
  <dc:description/>
  <cp:lastModifiedBy>Carlos Gómez</cp:lastModifiedBy>
  <cp:revision>1</cp:revision>
  <dcterms:created xsi:type="dcterms:W3CDTF">2024-05-06T21:47:00Z</dcterms:created>
  <dcterms:modified xsi:type="dcterms:W3CDTF">2024-07-22T19:18:00Z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id="Q7x6jM7M"/&gt;&lt;style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