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28835a41c5f403f912de345a2fd356000685585"/>
    <w:p>
      <w:pPr>
        <w:pStyle w:val="Heading1"/>
      </w:pPr>
      <w:r>
        <w:t xml:space="preserve">C4 DMS — Research Notes on MFDS Formats and Section 4.2.3 Planning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15 January 2026, ~02:28 -03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Centralize analysis of</w:t>
      </w:r>
      <w:r>
        <w:t xml:space="preserve"> </w:t>
      </w:r>
      <w:r>
        <w:rPr>
          <w:rStyle w:val="VerbatimChar"/>
        </w:rPr>
        <w:t xml:space="preserve">section_4_3_plan.md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MFD-formats.md</w:t>
      </w:r>
      <w:r>
        <w:t xml:space="preserve"> </w:t>
      </w:r>
      <w:r>
        <w:t xml:space="preserve">against the</w:t>
      </w:r>
      <w:r>
        <w:t xml:space="preserve"> </w:t>
      </w:r>
      <w:r>
        <w:rPr>
          <w:b/>
          <w:bCs/>
        </w:rPr>
        <w:t xml:space="preserve">unified Chapter 4 (DMS) blueprint v1.1</w:t>
      </w:r>
      <w:r>
        <w:t xml:space="preserve">, to guide future work on Sections</w:t>
      </w:r>
      <w:r>
        <w:t xml:space="preserve"> </w:t>
      </w:r>
      <w:r>
        <w:rPr>
          <w:b/>
          <w:bCs/>
        </w:rPr>
        <w:t xml:space="preserve">4.2.2, 4.2.3 and 4.2.4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context"/>
    <w:p>
      <w:pPr>
        <w:pStyle w:val="Heading2"/>
      </w:pPr>
      <w:r>
        <w:t xml:space="preserve">0. Context</w:t>
      </w:r>
    </w:p>
    <w:bookmarkStart w:id="9" w:name="blueprint-reference"/>
    <w:p>
      <w:pPr>
        <w:pStyle w:val="Heading3"/>
      </w:pPr>
      <w:r>
        <w:t xml:space="preserve">0.1 Blueprint Reference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unified C4 blueprint v1.1</w:t>
      </w:r>
      <w:r>
        <w:t xml:space="preserve"> </w:t>
      </w:r>
      <w:r>
        <w:t xml:space="preserve">defines the final structure for DMS:</w:t>
      </w:r>
    </w:p>
    <w:p>
      <w:pPr>
        <w:pStyle w:val="SourceCode"/>
      </w:pPr>
      <w:r>
        <w:rPr>
          <w:rStyle w:val="VerbatimChar"/>
        </w:rPr>
        <w:t xml:space="preserve">4 DMS — Display Management Switch</w:t>
      </w:r>
      <w:r>
        <w:br/>
      </w:r>
      <w:r>
        <w:br/>
      </w:r>
      <w:r>
        <w:rPr>
          <w:rStyle w:val="VerbatimChar"/>
        </w:rPr>
        <w:t xml:space="preserve">  4.1 Concept and Sensor of Interest (SOI)</w:t>
      </w:r>
      <w:r>
        <w:br/>
      </w:r>
      <w:r>
        <w:rPr>
          <w:rStyle w:val="VerbatimChar"/>
        </w:rPr>
        <w:t xml:space="preserve">    4.1.1 SOI Definition and Scope Across Displays</w:t>
      </w:r>
      <w:r>
        <w:br/>
      </w:r>
      <w:r>
        <w:rPr>
          <w:rStyle w:val="VerbatimChar"/>
        </w:rPr>
        <w:t xml:space="preserve">    4.1.2 Role of the DMS in SOI Selection</w:t>
      </w:r>
      <w:r>
        <w:br/>
      </w:r>
      <w:r>
        <w:rPr>
          <w:rStyle w:val="VerbatimChar"/>
        </w:rPr>
        <w:t xml:space="preserve">    4.1.3 HUD as SOI in A-A and HMCS Capabilities</w:t>
      </w:r>
      <w:r>
        <w:br/>
      </w:r>
      <w:r>
        <w:br/>
      </w:r>
      <w:r>
        <w:rPr>
          <w:rStyle w:val="VerbatimChar"/>
        </w:rPr>
        <w:t xml:space="preserve">  4.2 DMS Switch Actuation</w:t>
      </w:r>
      <w:r>
        <w:br/>
      </w:r>
      <w:r>
        <w:br/>
      </w:r>
      <w:r>
        <w:rPr>
          <w:rStyle w:val="VerbatimChar"/>
        </w:rPr>
        <w:t xml:space="preserve">    4.2.1 DMS Up: Designate HUD as SOI</w:t>
      </w:r>
      <w:r>
        <w:br/>
      </w:r>
      <w:r>
        <w:rPr>
          <w:rStyle w:val="VerbatimChar"/>
        </w:rPr>
        <w:t xml:space="preserve">      [Intro: Function and visual indication — no subsubsection]</w:t>
      </w:r>
      <w:r>
        <w:br/>
      </w:r>
      <w:r>
        <w:rPr>
          <w:rStyle w:val="VerbatimChar"/>
        </w:rPr>
        <w:t xml:space="preserve">      4.2.1.1 DMS Up Effectiveness in All Master Modes</w:t>
      </w:r>
      <w:r>
        <w:br/>
      </w:r>
      <w:r>
        <w:rPr>
          <w:rStyle w:val="VerbatimChar"/>
        </w:rPr>
        <w:t xml:space="preserve">      4.2.1.2 DMS Up Usage Table</w:t>
      </w:r>
      <w:r>
        <w:br/>
      </w:r>
      <w:r>
        <w:rPr>
          <w:rStyle w:val="VerbatimChar"/>
        </w:rPr>
        <w:t xml:space="preserve">      4.2.1.3 DMS Up Exception States (SP PRE, MARK/OFLY)</w:t>
      </w:r>
      <w:r>
        <w:br/>
      </w:r>
      <w:r>
        <w:br/>
      </w:r>
      <w:r>
        <w:rPr>
          <w:rStyle w:val="VerbatimChar"/>
        </w:rPr>
        <w:t xml:space="preserve">    4.2.2 DMS Down: Toggle SOI Between Displays</w:t>
      </w:r>
      <w:r>
        <w:br/>
      </w:r>
      <w:r>
        <w:rPr>
          <w:rStyle w:val="VerbatimChar"/>
        </w:rPr>
        <w:t xml:space="preserve">      [Intro: Core toggle logic HUD / Right MFD / Left MFD — no subsubsection]</w:t>
      </w:r>
      <w:r>
        <w:br/>
      </w:r>
      <w:r>
        <w:rPr>
          <w:rStyle w:val="VerbatimChar"/>
        </w:rPr>
        <w:t xml:space="preserve">      4.2.2.1 DMS Down Effectiveness in All Master Modes</w:t>
      </w:r>
      <w:r>
        <w:br/>
      </w:r>
      <w:r>
        <w:rPr>
          <w:rStyle w:val="VerbatimChar"/>
        </w:rPr>
        <w:t xml:space="preserve">      4.2.2.2 DMS Down Usage Table</w:t>
      </w:r>
      <w:r>
        <w:br/>
      </w:r>
      <w:r>
        <w:rPr>
          <w:rStyle w:val="VerbatimChar"/>
        </w:rPr>
        <w:t xml:space="preserve">      4.2.2.3 DMS Down Exception States</w:t>
      </w:r>
      <w:r>
        <w:br/>
      </w:r>
      <w:r>
        <w:br/>
      </w:r>
      <w:r>
        <w:rPr>
          <w:rStyle w:val="VerbatimChar"/>
        </w:rPr>
        <w:t xml:space="preserve">    4.2.3 DMS Left / Right: Cycle MFD Formats</w:t>
      </w:r>
      <w:r>
        <w:br/>
      </w:r>
      <w:r>
        <w:rPr>
          <w:rStyle w:val="VerbatimChar"/>
        </w:rPr>
        <w:t xml:space="preserve">      4.2.3.1 Format Cycling Mechanics</w:t>
      </w:r>
      <w:r>
        <w:br/>
      </w:r>
      <w:r>
        <w:rPr>
          <w:rStyle w:val="VerbatimChar"/>
        </w:rPr>
        <w:t xml:space="preserve">      4.2.3.2 Available Formats by Master Mode</w:t>
      </w:r>
      <w:r>
        <w:br/>
      </w:r>
      <w:r>
        <w:rPr>
          <w:rStyle w:val="VerbatimChar"/>
        </w:rPr>
        <w:t xml:space="preserve">      4.2.3.3 Left/Right and SOI Independence</w:t>
      </w:r>
      <w:r>
        <w:br/>
      </w:r>
      <w:r>
        <w:rPr>
          <w:rStyle w:val="VerbatimChar"/>
        </w:rPr>
        <w:t xml:space="preserve">      4.2.3.4 DMS Left/Right Usage Table</w:t>
      </w:r>
      <w:r>
        <w:br/>
      </w:r>
      <w:r>
        <w:br/>
      </w:r>
      <w:r>
        <w:rPr>
          <w:rStyle w:val="VerbatimChar"/>
        </w:rPr>
        <w:t xml:space="preserve">    4.2.4 Master Mode Behavior — DMS Summary</w:t>
      </w:r>
      <w:r>
        <w:br/>
      </w:r>
      <w:r>
        <w:rPr>
          <w:rStyle w:val="VerbatimChar"/>
        </w:rPr>
        <w:t xml:space="preserve">      4.2.4.1 Directional DMS Roles (Up / Down / Left / Right)</w:t>
      </w:r>
      <w:r>
        <w:br/>
      </w:r>
      <w:r>
        <w:rPr>
          <w:rStyle w:val="VerbatimChar"/>
        </w:rPr>
        <w:t xml:space="preserve">      4.2.4.2 Consolidated DMS × Master Mode Table</w:t>
      </w:r>
    </w:p>
    <w:p>
      <w:pPr>
        <w:pStyle w:val="FirstParagraph"/>
      </w:pPr>
      <w:r>
        <w:t xml:space="preserve">Sections</w:t>
      </w:r>
      <w:r>
        <w:t xml:space="preserve"> </w:t>
      </w:r>
      <w:r>
        <w:rPr>
          <w:b/>
          <w:bCs/>
        </w:rPr>
        <w:t xml:space="preserve">4.1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4.2.1 (DMS Up)</w:t>
      </w:r>
      <w:r>
        <w:t xml:space="preserve"> </w:t>
      </w:r>
      <w:r>
        <w:t xml:space="preserve">are already implemented and frozen as final LaTeX WIPs. The</w:t>
      </w:r>
      <w:r>
        <w:t xml:space="preserve"> </w:t>
      </w:r>
      <w:r>
        <w:rPr>
          <w:b/>
          <w:bCs/>
        </w:rPr>
        <w:t xml:space="preserve">next major work</w:t>
      </w:r>
      <w:r>
        <w:t xml:space="preserve"> </w:t>
      </w:r>
      <w:r>
        <w:t xml:space="preserve">will be:</w:t>
      </w:r>
    </w:p>
    <w:p>
      <w:pPr>
        <w:pStyle w:val="Compact"/>
        <w:numPr>
          <w:ilvl w:val="0"/>
          <w:numId w:val="1001"/>
        </w:numPr>
      </w:pPr>
      <w:r>
        <w:t xml:space="preserve">4.2.2 — DMS Down.</w:t>
      </w:r>
    </w:p>
    <w:p>
      <w:pPr>
        <w:pStyle w:val="Compact"/>
        <w:numPr>
          <w:ilvl w:val="0"/>
          <w:numId w:val="1001"/>
        </w:numPr>
      </w:pPr>
      <w:r>
        <w:t xml:space="preserve">4.2.3 — DMS Left/Right.</w:t>
      </w:r>
    </w:p>
    <w:p>
      <w:pPr>
        <w:pStyle w:val="Compact"/>
        <w:numPr>
          <w:ilvl w:val="0"/>
          <w:numId w:val="1001"/>
        </w:numPr>
      </w:pPr>
      <w:r>
        <w:t xml:space="preserve">4.2.4 — Summary.</w:t>
      </w:r>
    </w:p>
    <w:p>
      <w:pPr>
        <w:pStyle w:val="FirstParagraph"/>
      </w:pPr>
      <w:r>
        <w:t xml:space="preserve">The two research files in this note (</w:t>
      </w:r>
      <w:r>
        <w:rPr>
          <w:rStyle w:val="VerbatimChar"/>
        </w:rPr>
        <w:t xml:space="preserve">section_4_3_plan.md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MFD-formats.md</w:t>
      </w:r>
      <w:r>
        <w:t xml:space="preserve">) were originally written when a standalone “4.3 MFDS Display Formats” section was envisioned. This note evaluates how to reuse them cleanly under the new blueprint.</w:t>
      </w:r>
    </w:p>
    <w:bookmarkEnd w:id="9"/>
    <w:bookmarkStart w:id="10" w:name="files-considered-here"/>
    <w:p>
      <w:pPr>
        <w:pStyle w:val="Heading3"/>
      </w:pPr>
      <w:r>
        <w:t xml:space="preserve">0.2 Files Considered Here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section_4_3_plan.md</w:t>
      </w:r>
      <w:r>
        <w:br/>
      </w:r>
      <w:r>
        <w:t xml:space="preserve">– Old plan for a section tentatively called</w:t>
      </w:r>
      <w:r>
        <w:t xml:space="preserve"> </w:t>
      </w:r>
      <w:r>
        <w:rPr>
          <w:b/>
          <w:bCs/>
        </w:rPr>
        <w:t xml:space="preserve">4.3 MFDS DISPLAY FORMAT SELECTION</w:t>
      </w:r>
      <w:r>
        <w:t xml:space="preserve">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MFD-formats.md</w:t>
      </w:r>
      <w:r>
        <w:br/>
      </w:r>
      <w:r>
        <w:t xml:space="preserve">– Research extraction from</w:t>
      </w:r>
      <w:r>
        <w:t xml:space="preserve"> </w:t>
      </w:r>
      <w:r>
        <w:rPr>
          <w:b/>
          <w:bCs/>
        </w:rPr>
        <w:t xml:space="preserve">Dash‑34 2.1.6.x</w:t>
      </w:r>
      <w:r>
        <w:t xml:space="preserve"> </w:t>
      </w:r>
      <w:r>
        <w:t xml:space="preserve">(TYPICAL MFDS FUNCTIONS, SWAP, BLANK, etc.).</w:t>
      </w:r>
    </w:p>
    <w:p>
      <w:pPr>
        <w:pStyle w:val="FirstParagraph"/>
      </w:pPr>
      <w:r>
        <w:t xml:space="preserve">Both are still</w:t>
      </w:r>
      <w:r>
        <w:t xml:space="preserve"> </w:t>
      </w:r>
      <w:r>
        <w:rPr>
          <w:b/>
          <w:bCs/>
        </w:rPr>
        <w:t xml:space="preserve">highly relevant</w:t>
      </w:r>
      <w:r>
        <w:t xml:space="preserve">, but their content must now be mapped into</w:t>
      </w:r>
      <w:r>
        <w:t xml:space="preserve"> </w:t>
      </w:r>
      <w:r>
        <w:rPr>
          <w:b/>
          <w:bCs/>
        </w:rPr>
        <w:t xml:space="preserve">4.2.3 / 4.2.4</w:t>
      </w:r>
      <w:r>
        <w:t xml:space="preserve">, not into a separate chapter section "4.3".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0" w:name="analysis-of-section_4_3_plan.md"/>
    <w:p>
      <w:pPr>
        <w:pStyle w:val="Heading2"/>
      </w:pPr>
      <w:r>
        <w:t xml:space="preserve">1. Analysis of</w:t>
      </w:r>
      <w:r>
        <w:t xml:space="preserve"> </w:t>
      </w:r>
      <w:r>
        <w:rPr>
          <w:rStyle w:val="VerbatimChar"/>
        </w:rPr>
        <w:t xml:space="preserve">section_4_3_plan.md</w:t>
      </w:r>
    </w:p>
    <w:bookmarkStart w:id="12" w:name="what-the-file-contains"/>
    <w:p>
      <w:pPr>
        <w:pStyle w:val="Heading3"/>
      </w:pPr>
      <w:r>
        <w:t xml:space="preserve">1.1 What the file contains</w:t>
      </w:r>
    </w:p>
    <w:p>
      <w:pPr>
        <w:pStyle w:val="FirstParagraph"/>
      </w:pPr>
      <w:r>
        <w:t xml:space="preserve">This file is a structured</w:t>
      </w:r>
      <w:r>
        <w:t xml:space="preserve"> </w:t>
      </w:r>
      <w:r>
        <w:rPr>
          <w:b/>
          <w:bCs/>
        </w:rPr>
        <w:t xml:space="preserve">writing plan</w:t>
      </w:r>
      <w:r>
        <w:t xml:space="preserve"> </w:t>
      </w:r>
      <w:r>
        <w:t xml:space="preserve">for a section named:</w:t>
      </w:r>
    </w:p>
    <w:p>
      <w:pPr>
        <w:pStyle w:val="BlockText"/>
      </w:pPr>
      <w:r>
        <w:rPr>
          <w:b/>
          <w:bCs/>
        </w:rPr>
        <w:t xml:space="preserve">4.3 MFDS DISPLAY FORMAT SELECTION</w:t>
      </w:r>
    </w:p>
    <w:p>
      <w:pPr>
        <w:pStyle w:val="FirstParagraph"/>
      </w:pPr>
      <w:r>
        <w:t xml:space="preserve">Key elements:</w:t>
      </w:r>
    </w:p>
    <w:p>
      <w:pPr>
        <w:numPr>
          <w:ilvl w:val="0"/>
          <w:numId w:val="1003"/>
        </w:numPr>
      </w:pPr>
      <w:r>
        <w:t xml:space="preserve">Short opening context about the MFDS:</w:t>
      </w:r>
    </w:p>
    <w:p>
      <w:pPr>
        <w:pStyle w:val="Compact"/>
        <w:numPr>
          <w:ilvl w:val="1"/>
          <w:numId w:val="1004"/>
        </w:numPr>
      </w:pPr>
      <w:r>
        <w:t xml:space="preserve">Left/right displays, 3+3 slots, “all-purpose” nature.</w:t>
      </w:r>
    </w:p>
    <w:p>
      <w:pPr>
        <w:pStyle w:val="Compact"/>
        <w:numPr>
          <w:ilvl w:val="1"/>
          <w:numId w:val="1004"/>
        </w:numPr>
      </w:pPr>
      <w:r>
        <w:t xml:space="preserve">Why format selection matters operationally.</w:t>
      </w:r>
    </w:p>
    <w:p>
      <w:pPr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primary concept</w:t>
      </w:r>
      <w:r>
        <w:t xml:space="preserve">: “FORMAT SLOTS”</w:t>
      </w:r>
    </w:p>
    <w:p>
      <w:pPr>
        <w:pStyle w:val="Compact"/>
        <w:numPr>
          <w:ilvl w:val="1"/>
          <w:numId w:val="1005"/>
        </w:numPr>
      </w:pPr>
      <w:r>
        <w:t xml:space="preserve">3 slots per MFD: 1 PRIMARY + 2 SECONDARY.</w:t>
      </w:r>
    </w:p>
    <w:p>
      <w:pPr>
        <w:pStyle w:val="Compact"/>
        <w:numPr>
          <w:ilvl w:val="1"/>
          <w:numId w:val="1005"/>
        </w:numPr>
      </w:pPr>
      <w:r>
        <w:t xml:space="preserve">Slot architecture and inside→outside cycling principle.</w:t>
      </w:r>
    </w:p>
    <w:p>
      <w:pPr>
        <w:pStyle w:val="Compact"/>
        <w:numPr>
          <w:ilvl w:val="1"/>
          <w:numId w:val="1005"/>
        </w:numPr>
      </w:pPr>
      <w:r>
        <w:t xml:space="preserve">Reference to the 16 available formats from Dash‑34 2.1.6.2.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User actions: how to change formats</w:t>
      </w:r>
      <w:r>
        <w:t xml:space="preserve"> </w:t>
      </w:r>
      <w:r>
        <w:t xml:space="preserve">(three main paths):</w:t>
      </w:r>
    </w:p>
    <w:p>
      <w:pPr>
        <w:pStyle w:val="Compact"/>
        <w:numPr>
          <w:ilvl w:val="1"/>
          <w:numId w:val="1006"/>
        </w:numPr>
      </w:pPr>
      <w:r>
        <w:t xml:space="preserve">Path A: Direct OSB selection of secondary format.</w:t>
      </w:r>
    </w:p>
    <w:p>
      <w:pPr>
        <w:pStyle w:val="Compact"/>
        <w:numPr>
          <w:ilvl w:val="1"/>
          <w:numId w:val="1006"/>
        </w:numPr>
      </w:pPr>
      <w:r>
        <w:t xml:space="preserve">Path B: DMS Left/Right cycling through formats.</w:t>
      </w:r>
    </w:p>
    <w:p>
      <w:pPr>
        <w:pStyle w:val="Compact"/>
        <w:numPr>
          <w:ilvl w:val="1"/>
          <w:numId w:val="1006"/>
        </w:numPr>
      </w:pPr>
      <w:r>
        <w:t xml:space="preserve">Path C: Master Menu (full 16‑format menu).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Special cases:</w:t>
      </w:r>
    </w:p>
    <w:p>
      <w:pPr>
        <w:pStyle w:val="Compact"/>
        <w:numPr>
          <w:ilvl w:val="1"/>
          <w:numId w:val="1007"/>
        </w:numPr>
      </w:pPr>
      <w:r>
        <w:t xml:space="preserve">SWAP between left/right MFDs.</w:t>
      </w:r>
    </w:p>
    <w:p>
      <w:pPr>
        <w:pStyle w:val="Compact"/>
        <w:numPr>
          <w:ilvl w:val="1"/>
          <w:numId w:val="1007"/>
        </w:numPr>
      </w:pPr>
      <w:r>
        <w:t xml:space="preserve">BLANK format behaviour.</w:t>
      </w:r>
    </w:p>
    <w:p>
      <w:pPr>
        <w:pStyle w:val="Compact"/>
        <w:numPr>
          <w:ilvl w:val="1"/>
          <w:numId w:val="1007"/>
        </w:numPr>
      </w:pPr>
      <w:r>
        <w:t xml:space="preserve">OFF format behaviour.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Constraint:</w:t>
      </w:r>
      <w:r>
        <w:t xml:space="preserve"> </w:t>
      </w:r>
      <w:r>
        <w:t xml:space="preserve">No duplicate formats across the 6 total slots; BLANK as escape.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Relationship to SOI:</w:t>
      </w:r>
    </w:p>
    <w:p>
      <w:pPr>
        <w:pStyle w:val="Compact"/>
        <w:numPr>
          <w:ilvl w:val="1"/>
          <w:numId w:val="1008"/>
        </w:numPr>
      </w:pPr>
      <w:r>
        <w:t xml:space="preserve">SOI as “who gets HOTAS control”, vs format as “what is displayed”.</w:t>
      </w:r>
    </w:p>
    <w:p>
      <w:pPr>
        <w:pStyle w:val="Compact"/>
        <w:numPr>
          <w:ilvl w:val="1"/>
          <w:numId w:val="1008"/>
        </w:numPr>
      </w:pPr>
      <w:r>
        <w:t xml:space="preserve">Visual indicators (MFD border, HUD asterisk).</w:t>
      </w:r>
    </w:p>
    <w:p>
      <w:pPr>
        <w:pStyle w:val="Compact"/>
        <w:numPr>
          <w:ilvl w:val="1"/>
          <w:numId w:val="1008"/>
        </w:numPr>
      </w:pPr>
      <w:r>
        <w:t xml:space="preserve">Interaction with DMS Up/Down.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Operational workflows:</w:t>
      </w:r>
    </w:p>
    <w:p>
      <w:pPr>
        <w:pStyle w:val="Compact"/>
        <w:numPr>
          <w:ilvl w:val="1"/>
          <w:numId w:val="1009"/>
        </w:numPr>
      </w:pPr>
      <w:r>
        <w:t xml:space="preserve">Radar-focused mission setup.</w:t>
      </w:r>
    </w:p>
    <w:p>
      <w:pPr>
        <w:pStyle w:val="Compact"/>
        <w:numPr>
          <w:ilvl w:val="1"/>
          <w:numId w:val="1009"/>
        </w:numPr>
      </w:pPr>
      <w:r>
        <w:t xml:space="preserve">Tactical reorientation with SWAP.</w:t>
      </w:r>
    </w:p>
    <w:p>
      <w:pPr>
        <w:pStyle w:val="Compact"/>
        <w:numPr>
          <w:ilvl w:val="1"/>
          <w:numId w:val="1009"/>
        </w:numPr>
      </w:pPr>
      <w:r>
        <w:t xml:space="preserve">Handling an unavailable format (“OFF”).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Key writing principles:</w:t>
      </w:r>
    </w:p>
    <w:p>
      <w:pPr>
        <w:pStyle w:val="Compact"/>
        <w:numPr>
          <w:ilvl w:val="1"/>
          <w:numId w:val="1010"/>
        </w:numPr>
      </w:pPr>
      <w:r>
        <w:t xml:space="preserve">Use Dash‑34 language.</w:t>
      </w:r>
    </w:p>
    <w:p>
      <w:pPr>
        <w:pStyle w:val="Compact"/>
        <w:numPr>
          <w:ilvl w:val="1"/>
          <w:numId w:val="1010"/>
        </w:numPr>
      </w:pPr>
      <w:r>
        <w:t xml:space="preserve">Emphasize no-duplicates rule.</w:t>
      </w:r>
    </w:p>
    <w:p>
      <w:pPr>
        <w:pStyle w:val="Compact"/>
        <w:numPr>
          <w:ilvl w:val="1"/>
          <w:numId w:val="1010"/>
        </w:numPr>
      </w:pPr>
      <w:r>
        <w:t xml:space="preserve">Treat the three selection paths symmetrically.</w:t>
      </w:r>
    </w:p>
    <w:p>
      <w:pPr>
        <w:pStyle w:val="Compact"/>
        <w:numPr>
          <w:ilvl w:val="1"/>
          <w:numId w:val="1010"/>
        </w:numPr>
      </w:pPr>
      <w:r>
        <w:t xml:space="preserve">Link to SOI concept without re‑explaining it fully.</w:t>
      </w:r>
    </w:p>
    <w:p>
      <w:pPr>
        <w:numPr>
          <w:ilvl w:val="0"/>
          <w:numId w:val="1003"/>
        </w:numPr>
      </w:pPr>
      <w:r>
        <w:t xml:space="preserve">A final</w:t>
      </w:r>
      <w:r>
        <w:t xml:space="preserve"> </w:t>
      </w:r>
      <w:r>
        <w:rPr>
          <w:b/>
          <w:bCs/>
        </w:rPr>
        <w:t xml:space="preserve">outline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4.3 MFDS DISPLAY FORMAT SELECTION</w:t>
      </w:r>
      <w:r>
        <w:br/>
      </w:r>
      <w:r>
        <w:rPr>
          <w:rStyle w:val="VerbatimChar"/>
        </w:rPr>
        <w:t xml:space="preserve">├─ 4.3.1 Format Architecture</w:t>
      </w:r>
      <w:r>
        <w:br/>
      </w:r>
      <w:r>
        <w:rPr>
          <w:rStyle w:val="VerbatimChar"/>
        </w:rPr>
        <w:t xml:space="preserve">│  └─ Slot Structure (3+3, no duplicates)</w:t>
      </w:r>
      <w:r>
        <w:br/>
      </w:r>
      <w:r>
        <w:rPr>
          <w:rStyle w:val="VerbatimChar"/>
        </w:rPr>
        <w:t xml:space="preserve">├─ 4.3.2 Selecting Formats</w:t>
      </w:r>
      <w:r>
        <w:br/>
      </w:r>
      <w:r>
        <w:rPr>
          <w:rStyle w:val="VerbatimChar"/>
        </w:rPr>
        <w:t xml:space="preserve">│  ├─ Direct OSB Selection</w:t>
      </w:r>
      <w:r>
        <w:br/>
      </w:r>
      <w:r>
        <w:rPr>
          <w:rStyle w:val="VerbatimChar"/>
        </w:rPr>
        <w:t xml:space="preserve">│  ├─ DMS Left/Right Cycling</w:t>
      </w:r>
      <w:r>
        <w:br/>
      </w:r>
      <w:r>
        <w:rPr>
          <w:rStyle w:val="VerbatimChar"/>
        </w:rPr>
        <w:t xml:space="preserve">│  └─ Master Menu Access</w:t>
      </w:r>
      <w:r>
        <w:br/>
      </w:r>
      <w:r>
        <w:rPr>
          <w:rStyle w:val="VerbatimChar"/>
        </w:rPr>
        <w:t xml:space="preserve">├─ 4.3.3 Special Operations</w:t>
      </w:r>
      <w:r>
        <w:br/>
      </w:r>
      <w:r>
        <w:rPr>
          <w:rStyle w:val="VerbatimChar"/>
        </w:rPr>
        <w:t xml:space="preserve">│  ├─ SWAP Between MFDs</w:t>
      </w:r>
      <w:r>
        <w:br/>
      </w:r>
      <w:r>
        <w:rPr>
          <w:rStyle w:val="VerbatimChar"/>
        </w:rPr>
        <w:t xml:space="preserve">│  ├─ BLANK Format</w:t>
      </w:r>
      <w:r>
        <w:br/>
      </w:r>
      <w:r>
        <w:rPr>
          <w:rStyle w:val="VerbatimChar"/>
        </w:rPr>
        <w:t xml:space="preserve">│  └─ OFF Format</w:t>
      </w:r>
      <w:r>
        <w:br/>
      </w:r>
      <w:r>
        <w:rPr>
          <w:rStyle w:val="VerbatimChar"/>
        </w:rPr>
        <w:t xml:space="preserve">├─ 4.3.4 Format Availability</w:t>
      </w:r>
      <w:r>
        <w:br/>
      </w:r>
      <w:r>
        <w:rPr>
          <w:rStyle w:val="VerbatimChar"/>
        </w:rPr>
        <w:t xml:space="preserve">│  └─ No Duplicates Rule (+ BLANK exception)</w:t>
      </w:r>
      <w:r>
        <w:br/>
      </w:r>
      <w:r>
        <w:rPr>
          <w:rStyle w:val="VerbatimChar"/>
        </w:rPr>
        <w:t xml:space="preserve">└─ 4.3.5 Interaction with SOI</w:t>
      </w:r>
      <w:r>
        <w:br/>
      </w:r>
      <w:r>
        <w:rPr>
          <w:rStyle w:val="VerbatimChar"/>
        </w:rPr>
        <w:t xml:space="preserve">   └─ Format vs SOI distinction</w:t>
      </w:r>
    </w:p>
    <w:bookmarkEnd w:id="12"/>
    <w:bookmarkStart w:id="13" w:name="Xb694f907d7e707dd950115d359e645987626443"/>
    <w:p>
      <w:pPr>
        <w:pStyle w:val="Heading3"/>
      </w:pPr>
      <w:r>
        <w:t xml:space="preserve">1.2 Alignment/conflict with the current blueprint</w:t>
      </w:r>
    </w:p>
    <w:p>
      <w:pPr>
        <w:pStyle w:val="FirstParagraph"/>
      </w:pPr>
      <w:r>
        <w:t xml:space="preserve">Under the</w:t>
      </w:r>
      <w:r>
        <w:t xml:space="preserve"> </w:t>
      </w:r>
      <w:r>
        <w:rPr>
          <w:b/>
          <w:bCs/>
        </w:rPr>
        <w:t xml:space="preserve">unified C4 blueprint v1.1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old “4.3 MFDS Display Formats” section</w:t>
      </w:r>
      <w:r>
        <w:t xml:space="preserve"> </w:t>
      </w:r>
      <w:r>
        <w:rPr>
          <w:b/>
          <w:bCs/>
        </w:rPr>
        <w:t xml:space="preserve">no longer exists</w:t>
      </w:r>
      <w:r>
        <w:t xml:space="preserve"> </w:t>
      </w:r>
      <w:r>
        <w:t xml:space="preserve">as a separate major section.</w:t>
      </w:r>
    </w:p>
    <w:p>
      <w:pPr>
        <w:pStyle w:val="Compact"/>
        <w:numPr>
          <w:ilvl w:val="0"/>
          <w:numId w:val="1011"/>
        </w:numPr>
      </w:pPr>
      <w:r>
        <w:t xml:space="preserve">All MFDS format selection/cycling content must now live primarily in: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4.2.3 DMS Left / Right: Cycle MFD Formats</w:t>
      </w:r>
      <w:r>
        <w:t xml:space="preserve">, and secondarily in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4.2.4 Master Mode Behavior — DMS Summary</w:t>
      </w:r>
      <w:r>
        <w:t xml:space="preserve"> </w:t>
      </w:r>
      <w:r>
        <w:t xml:space="preserve">(short recaps + consolidated table).</w:t>
      </w:r>
    </w:p>
    <w:p>
      <w:pPr>
        <w:pStyle w:val="FirstParagraph"/>
      </w:pPr>
      <w:r>
        <w:t xml:space="preserve">Consequence: the</w:t>
      </w:r>
      <w: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proposed in this file is obsolete (as a chapter outline), but the</w:t>
      </w:r>
      <w:r>
        <w:t xml:space="preserve"> </w:t>
      </w:r>
      <w:r>
        <w:rPr>
          <w:b/>
          <w:bCs/>
        </w:rPr>
        <w:t xml:space="preserve">content</w:t>
      </w:r>
      <w:r>
        <w:t xml:space="preserve"> </w:t>
      </w:r>
      <w:r>
        <w:t xml:space="preserve">remains extremely valuable. It needs to be remapped to the new 4.2.3 subsections.</w:t>
      </w:r>
    </w:p>
    <w:bookmarkEnd w:id="13"/>
    <w:bookmarkStart w:id="18" w:name="direct-mapping-to-4.2.3-subsections"/>
    <w:p>
      <w:pPr>
        <w:pStyle w:val="Heading3"/>
      </w:pPr>
      <w:r>
        <w:t xml:space="preserve">1.3 Direct mapping to 4.2.3 subsections</w:t>
      </w:r>
    </w:p>
    <w:bookmarkStart w:id="14" w:name="format-cycling-mechanics"/>
    <w:p>
      <w:pPr>
        <w:pStyle w:val="Heading4"/>
      </w:pPr>
      <w:r>
        <w:t xml:space="preserve">4.2.3.1 Format Cycling Mechanics</w:t>
      </w:r>
    </w:p>
    <w:p>
      <w:pPr>
        <w:pStyle w:val="FirstParagraph"/>
      </w:pPr>
      <w:r>
        <w:t xml:space="preserve">Use from</w:t>
      </w:r>
      <w:r>
        <w:t xml:space="preserve"> </w:t>
      </w:r>
      <w:r>
        <w:rPr>
          <w:rStyle w:val="VerbatimChar"/>
        </w:rPr>
        <w:t xml:space="preserve">section_4_3_plan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“Primary concept: format slots”</w:t>
      </w:r>
    </w:p>
    <w:p>
      <w:pPr>
        <w:pStyle w:val="Compact"/>
        <w:numPr>
          <w:ilvl w:val="1"/>
          <w:numId w:val="1014"/>
        </w:numPr>
      </w:pPr>
      <w:r>
        <w:t xml:space="preserve">3 slots per MFD: 1 PRIMARY + 2 SECONDARY.</w:t>
      </w:r>
    </w:p>
    <w:p>
      <w:pPr>
        <w:pStyle w:val="Compact"/>
        <w:numPr>
          <w:ilvl w:val="1"/>
          <w:numId w:val="1014"/>
        </w:numPr>
      </w:pPr>
      <w:r>
        <w:t xml:space="preserve">Explanation of slot architecture.</w:t>
      </w:r>
    </w:p>
    <w:p>
      <w:pPr>
        <w:pStyle w:val="Compact"/>
        <w:numPr>
          <w:ilvl w:val="0"/>
          <w:numId w:val="1013"/>
        </w:numPr>
      </w:pPr>
      <w:r>
        <w:t xml:space="preserve">“Inside to outside” cycling principle.</w:t>
      </w:r>
    </w:p>
    <w:p>
      <w:pPr>
        <w:pStyle w:val="Compact"/>
        <w:numPr>
          <w:ilvl w:val="0"/>
          <w:numId w:val="1013"/>
        </w:numPr>
      </w:pPr>
      <w:r>
        <w:t xml:space="preserve">Emphasis on the</w:t>
      </w:r>
      <w:r>
        <w:t xml:space="preserve"> </w:t>
      </w:r>
      <w:r>
        <w:rPr>
          <w:b/>
          <w:bCs/>
        </w:rPr>
        <w:t xml:space="preserve">cycling behaviour</w:t>
      </w:r>
      <w:r>
        <w:t xml:space="preserve"> </w:t>
      </w:r>
      <w:r>
        <w:t xml:space="preserve">when using DMS Left/Right:</w:t>
      </w:r>
    </w:p>
    <w:p>
      <w:pPr>
        <w:pStyle w:val="Compact"/>
        <w:numPr>
          <w:ilvl w:val="1"/>
          <w:numId w:val="1015"/>
        </w:numPr>
      </w:pPr>
      <w:r>
        <w:t xml:space="preserve">PRIMARY → next → next → PRIMARY (circular), skipping BLANK.</w:t>
      </w:r>
    </w:p>
    <w:p>
      <w:pPr>
        <w:pStyle w:val="FirstParagraph"/>
      </w:pPr>
      <w:r>
        <w:t xml:space="preserve">Here, the file gives good prose building blocks for:</w:t>
      </w:r>
    </w:p>
    <w:p>
      <w:pPr>
        <w:pStyle w:val="Compact"/>
        <w:numPr>
          <w:ilvl w:val="0"/>
          <w:numId w:val="1016"/>
        </w:numPr>
      </w:pPr>
      <w:r>
        <w:t xml:space="preserve">A clear, high‑level explanation of the</w:t>
      </w:r>
      <w:r>
        <w:t xml:space="preserve"> </w:t>
      </w:r>
      <w:r>
        <w:rPr>
          <w:b/>
          <w:bCs/>
        </w:rPr>
        <w:t xml:space="preserve">slot system</w:t>
      </w:r>
      <w:r>
        <w:t xml:space="preserve">, independent of master mode.</w:t>
      </w:r>
    </w:p>
    <w:p>
      <w:pPr>
        <w:pStyle w:val="Compact"/>
        <w:numPr>
          <w:ilvl w:val="0"/>
          <w:numId w:val="1016"/>
        </w:numPr>
      </w:pPr>
      <w:r>
        <w:t xml:space="preserve">An intuitive explanation of the</w:t>
      </w:r>
      <w:r>
        <w:t xml:space="preserve"> </w:t>
      </w:r>
      <w:r>
        <w:rPr>
          <w:b/>
          <w:bCs/>
        </w:rPr>
        <w:t xml:space="preserve">cycling order</w:t>
      </w:r>
      <w:r>
        <w:t xml:space="preserve"> </w:t>
      </w:r>
      <w:r>
        <w:t xml:space="preserve">that will be critical for pilots.</w:t>
      </w:r>
    </w:p>
    <w:bookmarkEnd w:id="14"/>
    <w:bookmarkStart w:id="15" w:name="available-formats-by-master-mode"/>
    <w:p>
      <w:pPr>
        <w:pStyle w:val="Heading4"/>
      </w:pPr>
      <w:r>
        <w:t xml:space="preserve">4.2.3.2 Available Formats by Master Mode</w:t>
      </w:r>
    </w:p>
    <w:p>
      <w:pPr>
        <w:pStyle w:val="FirstParagraph"/>
      </w:pPr>
      <w:r>
        <w:t xml:space="preserve">Use from</w:t>
      </w:r>
      <w:r>
        <w:t xml:space="preserve"> </w:t>
      </w:r>
      <w:r>
        <w:rPr>
          <w:rStyle w:val="VerbatimChar"/>
        </w:rPr>
        <w:t xml:space="preserve">section_4_3_plan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The reference to</w:t>
      </w:r>
      <w:r>
        <w:t xml:space="preserve"> </w:t>
      </w:r>
      <w:r>
        <w:rPr>
          <w:b/>
          <w:bCs/>
        </w:rPr>
        <w:t xml:space="preserve">16 available formats</w:t>
      </w:r>
      <w:r>
        <w:t xml:space="preserve"> </w:t>
      </w:r>
      <w:r>
        <w:t xml:space="preserve">(from Dash‑34 2.1.6.2):</w:t>
      </w:r>
    </w:p>
    <w:p>
      <w:pPr>
        <w:pStyle w:val="Compact"/>
        <w:numPr>
          <w:ilvl w:val="1"/>
          <w:numId w:val="1018"/>
        </w:numPr>
      </w:pPr>
      <w:r>
        <w:t xml:space="preserve">FCR, TGP, WPN, HAD, HSD, SMS, DTE, TEST, FLIR, TFR, TCN, BLANK, etc.</w:t>
      </w:r>
    </w:p>
    <w:p>
      <w:pPr>
        <w:pStyle w:val="Compact"/>
        <w:numPr>
          <w:ilvl w:val="0"/>
          <w:numId w:val="1017"/>
        </w:numPr>
      </w:pPr>
      <w:r>
        <w:t xml:space="preserve">The idea of an overview table (though the exact table layout may be handled in</w:t>
      </w:r>
      <w:r>
        <w:t xml:space="preserve"> </w:t>
      </w:r>
      <w:r>
        <w:rPr>
          <w:rStyle w:val="VerbatimChar"/>
        </w:rPr>
        <w:t xml:space="preserve">MFD-formats.md</w:t>
      </w:r>
      <w:r>
        <w:t xml:space="preserve">).</w:t>
      </w:r>
    </w:p>
    <w:p>
      <w:pPr>
        <w:pStyle w:val="FirstParagraph"/>
      </w:pPr>
      <w:r>
        <w:t xml:space="preserve">In 4.2.3.2, the plan can be adapted to:</w:t>
      </w:r>
    </w:p>
    <w:p>
      <w:pPr>
        <w:pStyle w:val="Compact"/>
        <w:numPr>
          <w:ilvl w:val="0"/>
          <w:numId w:val="1019"/>
        </w:numPr>
      </w:pPr>
      <w:r>
        <w:t xml:space="preserve">Give a short</w:t>
      </w:r>
      <w:r>
        <w:t xml:space="preserve"> </w:t>
      </w:r>
      <w:r>
        <w:rPr>
          <w:b/>
          <w:bCs/>
        </w:rPr>
        <w:t xml:space="preserve">descriptive paragraph</w:t>
      </w:r>
      <w:r>
        <w:t xml:space="preserve"> </w:t>
      </w:r>
      <w:r>
        <w:t xml:space="preserve">of what kinds of formats exist.</w:t>
      </w:r>
    </w:p>
    <w:p>
      <w:pPr>
        <w:pStyle w:val="Compact"/>
        <w:numPr>
          <w:ilvl w:val="0"/>
          <w:numId w:val="1019"/>
        </w:numPr>
      </w:pPr>
      <w:r>
        <w:t xml:space="preserve">Optionally, a compact table listing formats vs “Video/Text/Both” (if needed for clarity).</w:t>
      </w:r>
    </w:p>
    <w:p>
      <w:pPr>
        <w:pStyle w:val="Compact"/>
        <w:numPr>
          <w:ilvl w:val="0"/>
          <w:numId w:val="1019"/>
        </w:numPr>
      </w:pPr>
      <w:r>
        <w:t xml:space="preserve">Without trying to fully restate master-mode‑by‑format details (those belong more to sensor/weapon chapters).</w:t>
      </w:r>
    </w:p>
    <w:bookmarkEnd w:id="15"/>
    <w:bookmarkStart w:id="16" w:name="leftright-and-soi-independence"/>
    <w:p>
      <w:pPr>
        <w:pStyle w:val="Heading4"/>
      </w:pPr>
      <w:r>
        <w:t xml:space="preserve">4.2.3.3 Left/Right and SOI Independence</w:t>
      </w:r>
    </w:p>
    <w:p>
      <w:pPr>
        <w:pStyle w:val="FirstParagraph"/>
      </w:pPr>
      <w:r>
        <w:t xml:space="preserve">Use from</w:t>
      </w:r>
      <w:r>
        <w:t xml:space="preserve"> </w:t>
      </w:r>
      <w:r>
        <w:rPr>
          <w:rStyle w:val="VerbatimChar"/>
        </w:rPr>
        <w:t xml:space="preserve">section_4_3_plan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Section “SENSOR OF INTEREST (SOI) RELATIONSHIP”.</w:t>
      </w:r>
    </w:p>
    <w:p>
      <w:pPr>
        <w:pStyle w:val="Compact"/>
        <w:numPr>
          <w:ilvl w:val="0"/>
          <w:numId w:val="1020"/>
        </w:numPr>
      </w:pPr>
      <w:r>
        <w:t xml:space="preserve">The distinction "format displayed vs SOI".</w:t>
      </w:r>
    </w:p>
    <w:p>
      <w:pPr>
        <w:pStyle w:val="Compact"/>
        <w:numPr>
          <w:ilvl w:val="0"/>
          <w:numId w:val="1020"/>
        </w:numPr>
      </w:pPr>
      <w:r>
        <w:t xml:space="preserve">Clarification that a format may be displayed but not SOI (</w:t>
      </w:r>
      <w:r>
        <w:rPr>
          <w:rStyle w:val="VerbatimChar"/>
        </w:rPr>
        <w:t xml:space="preserve">NOT SOI</w:t>
      </w:r>
      <w:r>
        <w:t xml:space="preserve"> </w:t>
      </w:r>
      <w:r>
        <w:t xml:space="preserve">indication).</w:t>
      </w:r>
    </w:p>
    <w:p>
      <w:pPr>
        <w:pStyle w:val="FirstParagraph"/>
      </w:pPr>
      <w:r>
        <w:t xml:space="preserve">Caution:</w:t>
      </w:r>
    </w:p>
    <w:p>
      <w:pPr>
        <w:pStyle w:val="Compact"/>
        <w:numPr>
          <w:ilvl w:val="0"/>
          <w:numId w:val="1021"/>
        </w:numPr>
      </w:pPr>
      <w:r>
        <w:t xml:space="preserve">SOI is</w:t>
      </w:r>
      <w:r>
        <w:t xml:space="preserve"> </w:t>
      </w:r>
      <w:r>
        <w:rPr>
          <w:b/>
          <w:bCs/>
        </w:rPr>
        <w:t xml:space="preserve">already fully defined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4.1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role of DMS in SOI selection is covered by</w:t>
      </w:r>
      <w:r>
        <w:t xml:space="preserve"> </w:t>
      </w:r>
      <w:r>
        <w:rPr>
          <w:b/>
          <w:bCs/>
        </w:rPr>
        <w:t xml:space="preserve">4.1.2</w:t>
      </w:r>
      <w:r>
        <w:t xml:space="preserve">,</w:t>
      </w:r>
      <w:r>
        <w:t xml:space="preserve"> </w:t>
      </w:r>
      <w:r>
        <w:rPr>
          <w:b/>
          <w:bCs/>
        </w:rPr>
        <w:t xml:space="preserve">4.2.1</w:t>
      </w:r>
      <w:r>
        <w:t xml:space="preserve"> </w:t>
      </w:r>
      <w:r>
        <w:t xml:space="preserve">(Up) and</w:t>
      </w:r>
      <w:r>
        <w:t xml:space="preserve"> </w:t>
      </w:r>
      <w:r>
        <w:rPr>
          <w:b/>
          <w:bCs/>
        </w:rPr>
        <w:t xml:space="preserve">4.2.2</w:t>
      </w:r>
      <w:r>
        <w:t xml:space="preserve"> </w:t>
      </w:r>
      <w:r>
        <w:t xml:space="preserve">(Down).</w:t>
      </w:r>
    </w:p>
    <w:p>
      <w:pPr>
        <w:pStyle w:val="FirstParagraph"/>
      </w:pPr>
      <w:r>
        <w:t xml:space="preserve">Therefore, in 4.2.3.3 this material should be</w:t>
      </w:r>
      <w:r>
        <w:t xml:space="preserve"> </w:t>
      </w:r>
      <w:r>
        <w:rPr>
          <w:b/>
          <w:bCs/>
        </w:rPr>
        <w:t xml:space="preserve">used only to reinforce the independence</w:t>
      </w:r>
      <w:r>
        <w:t xml:space="preserve"> </w:t>
      </w:r>
      <w:r>
        <w:t xml:space="preserve">of horizontal DMS (format cycling) from vertical DMS (SOI selection), for example:</w:t>
      </w:r>
    </w:p>
    <w:p>
      <w:pPr>
        <w:pStyle w:val="Compact"/>
        <w:numPr>
          <w:ilvl w:val="0"/>
          <w:numId w:val="1022"/>
        </w:numPr>
      </w:pPr>
      <w:r>
        <w:t xml:space="preserve">“DMS Left/Right does not change which display is SOI; it only changes which format is currently shown on each MFD.”</w:t>
      </w:r>
    </w:p>
    <w:p>
      <w:pPr>
        <w:pStyle w:val="FirstParagraph"/>
      </w:pPr>
      <w:r>
        <w:t xml:space="preserve">The old plan’s deeper SOI exposition should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repeated; just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4.1 and 4.2.1–4.2.2.</w:t>
      </w:r>
    </w:p>
    <w:bookmarkEnd w:id="16"/>
    <w:bookmarkStart w:id="17" w:name="dms-leftright-usage-table"/>
    <w:p>
      <w:pPr>
        <w:pStyle w:val="Heading4"/>
      </w:pPr>
      <w:r>
        <w:t xml:space="preserve">4.2.3.4 DMS Left/Right Usage Table</w:t>
      </w:r>
    </w:p>
    <w:p>
      <w:pPr>
        <w:pStyle w:val="FirstParagraph"/>
      </w:pPr>
      <w:r>
        <w:t xml:space="preserve">Use from</w:t>
      </w:r>
      <w:r>
        <w:t xml:space="preserve"> </w:t>
      </w:r>
      <w:r>
        <w:rPr>
          <w:rStyle w:val="VerbatimChar"/>
        </w:rPr>
        <w:t xml:space="preserve">section_4_3_plan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The three paths to format selection (OSB, DMS, Master Menu) as</w:t>
      </w:r>
      <w:r>
        <w:t xml:space="preserve"> </w:t>
      </w:r>
      <w:r>
        <w:rPr>
          <w:b/>
          <w:bCs/>
        </w:rPr>
        <w:t xml:space="preserve">nuance text</w:t>
      </w:r>
      <w:r>
        <w:t xml:space="preserve"> </w:t>
      </w:r>
      <w:r>
        <w:t xml:space="preserve">in the table’s Effect/Nuance column for DMS Left/Right.</w:t>
      </w:r>
    </w:p>
    <w:p>
      <w:pPr>
        <w:pStyle w:val="Compact"/>
        <w:numPr>
          <w:ilvl w:val="0"/>
          <w:numId w:val="1023"/>
        </w:numPr>
      </w:pPr>
      <w:r>
        <w:t xml:space="preserve">The “special operations” (SWAP, BLANK, OFF) as specific notes attached to lines or notes following the table.</w:t>
      </w:r>
    </w:p>
    <w:p>
      <w:pPr>
        <w:pStyle w:val="FirstParagraph"/>
      </w:pPr>
      <w:r>
        <w:t xml:space="preserve">Example mapping:</w:t>
      </w:r>
    </w:p>
    <w:p>
      <w:pPr>
        <w:pStyle w:val="Compact"/>
        <w:numPr>
          <w:ilvl w:val="0"/>
          <w:numId w:val="1024"/>
        </w:numPr>
      </w:pPr>
      <w:r>
        <w:t xml:space="preserve">NAV / A‑A / A‑G rows describing:</w:t>
      </w:r>
    </w:p>
    <w:p>
      <w:pPr>
        <w:pStyle w:val="Compact"/>
        <w:numPr>
          <w:ilvl w:val="1"/>
          <w:numId w:val="1025"/>
        </w:numPr>
      </w:pPr>
      <w:r>
        <w:t xml:space="preserve">“DMS Left/Right cycles PRIMARY format along the configured slots. BLANK slots are skipped (see BLANK format behaviour). SWAP exchanges L/R MFD content but is not a format change.”</w:t>
      </w:r>
    </w:p>
    <w:bookmarkEnd w:id="17"/>
    <w:bookmarkEnd w:id="18"/>
    <w:bookmarkStart w:id="19" w:name="X0cb3bdb625a9fadccc44415ff0589c0d04ca028"/>
    <w:p>
      <w:pPr>
        <w:pStyle w:val="Heading3"/>
      </w:pPr>
      <w:r>
        <w:t xml:space="preserve">1.4 What should be discarded or treated as legacy</w:t>
      </w:r>
    </w:p>
    <w:p>
      <w:pPr>
        <w:pStyle w:val="Compact"/>
        <w:numPr>
          <w:ilvl w:val="0"/>
          <w:numId w:val="102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section numbering</w:t>
      </w:r>
      <w:r>
        <w:t xml:space="preserve"> </w:t>
      </w:r>
      <w:r>
        <w:t xml:space="preserve">and “4.3.x” labels in this file are obsolete.</w:t>
      </w:r>
    </w:p>
    <w:p>
      <w:pPr>
        <w:pStyle w:val="Compact"/>
        <w:numPr>
          <w:ilvl w:val="0"/>
          <w:numId w:val="1026"/>
        </w:numPr>
      </w:pPr>
      <w:r>
        <w:t xml:space="preserve">Any implication that SOI would be</w:t>
      </w:r>
      <w:r>
        <w:t xml:space="preserve"> </w:t>
      </w:r>
      <w:r>
        <w:rPr>
          <w:b/>
          <w:bCs/>
        </w:rPr>
        <w:t xml:space="preserve">redefined</w:t>
      </w:r>
      <w:r>
        <w:t xml:space="preserve"> </w:t>
      </w:r>
      <w:r>
        <w:t xml:space="preserve">in this section should be dropped.</w:t>
      </w:r>
    </w:p>
    <w:p>
      <w:pPr>
        <w:pStyle w:val="Compact"/>
        <w:numPr>
          <w:ilvl w:val="0"/>
          <w:numId w:val="1026"/>
        </w:numPr>
      </w:pPr>
      <w:r>
        <w:t xml:space="preserve">Detailed master mode tables that try to replicate sensor‑oriented behaviour are better placed in:</w:t>
      </w:r>
    </w:p>
    <w:p>
      <w:pPr>
        <w:pStyle w:val="Compact"/>
        <w:numPr>
          <w:ilvl w:val="1"/>
          <w:numId w:val="1027"/>
        </w:numPr>
      </w:pPr>
      <w:r>
        <w:t xml:space="preserve">Chapter 3 (TMS) or</w:t>
      </w:r>
    </w:p>
    <w:p>
      <w:pPr>
        <w:pStyle w:val="Compact"/>
        <w:numPr>
          <w:ilvl w:val="1"/>
          <w:numId w:val="1027"/>
        </w:numPr>
      </w:pPr>
      <w:r>
        <w:t xml:space="preserve">Sensor/weapon‑specific chapters/tables, not in 4.2.3.</w:t>
      </w:r>
    </w:p>
    <w:p>
      <w:pPr>
        <w:pStyle w:val="FirstParagraph"/>
      </w:pPr>
      <w:r>
        <w:t xml:space="preserve">The file is best treated as: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b/>
          <w:bCs/>
        </w:rPr>
        <w:t xml:space="preserve">topic plan</w:t>
      </w:r>
      <w:r>
        <w:t xml:space="preserve"> </w:t>
      </w:r>
      <w:r>
        <w:t xml:space="preserve">for MFDS format handling, whose content is now spread across 4.2.3.1–4.2.3.4 under the new blueprint.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analysis-of-mfd-formats.md"/>
    <w:p>
      <w:pPr>
        <w:pStyle w:val="Heading2"/>
      </w:pPr>
      <w:r>
        <w:t xml:space="preserve">2. Analysis of</w:t>
      </w:r>
      <w:r>
        <w:t xml:space="preserve"> </w:t>
      </w:r>
      <w:r>
        <w:rPr>
          <w:rStyle w:val="VerbatimChar"/>
        </w:rPr>
        <w:t xml:space="preserve">MFD-formats.md</w:t>
      </w:r>
    </w:p>
    <w:bookmarkStart w:id="21" w:name="what-the-file-contains-1"/>
    <w:p>
      <w:pPr>
        <w:pStyle w:val="Heading3"/>
      </w:pPr>
      <w:r>
        <w:t xml:space="preserve">2.1 What the file contains</w:t>
      </w:r>
    </w:p>
    <w:p>
      <w:pPr>
        <w:pStyle w:val="FirstParagraph"/>
      </w:pPr>
      <w:r>
        <w:rPr>
          <w:rStyle w:val="VerbatimChar"/>
        </w:rPr>
        <w:t xml:space="preserve">MFD-formats.md</w:t>
      </w:r>
      <w:r>
        <w:t xml:space="preserve"> </w:t>
      </w:r>
      <w:r>
        <w:t xml:space="preserve">is essentially a</w:t>
      </w:r>
      <w:r>
        <w:t xml:space="preserve"> </w:t>
      </w:r>
      <w:r>
        <w:rPr>
          <w:b/>
          <w:bCs/>
        </w:rPr>
        <w:t xml:space="preserve">research digest</w:t>
      </w:r>
      <w:r>
        <w:t xml:space="preserve"> </w:t>
      </w:r>
      <w:r>
        <w:t xml:space="preserve">of Dash‑34 Section 2.1.6.x: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Format slots per MFD:</w:t>
      </w:r>
    </w:p>
    <w:p>
      <w:pPr>
        <w:pStyle w:val="Compact"/>
        <w:numPr>
          <w:ilvl w:val="1"/>
          <w:numId w:val="1029"/>
        </w:numPr>
      </w:pPr>
      <w:r>
        <w:t xml:space="preserve">3 per MFD (1 PRIMARY, 2 SECONDARY).</w:t>
      </w:r>
    </w:p>
    <w:p>
      <w:pPr>
        <w:pStyle w:val="Compact"/>
        <w:numPr>
          <w:ilvl w:val="1"/>
          <w:numId w:val="1029"/>
        </w:numPr>
      </w:pPr>
      <w:r>
        <w:t xml:space="preserve">Behaviour of OSBs adjacent to secondary formats.</w:t>
      </w:r>
    </w:p>
    <w:p>
      <w:pPr>
        <w:pStyle w:val="Compact"/>
        <w:numPr>
          <w:ilvl w:val="1"/>
          <w:numId w:val="1029"/>
        </w:numPr>
      </w:pPr>
      <w:r>
        <w:t xml:space="preserve">DMS Left/Right as a mechanism to change PRIMARY only.</w:t>
      </w:r>
    </w:p>
    <w:p>
      <w:pPr>
        <w:pStyle w:val="Compact"/>
        <w:numPr>
          <w:ilvl w:val="1"/>
          <w:numId w:val="1029"/>
        </w:numPr>
      </w:pPr>
      <w:r>
        <w:t xml:space="preserve">Clarification of “selection from inside to outside” as the cycling pattern.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Master Menu &amp; format changing:</w:t>
      </w:r>
    </w:p>
    <w:p>
      <w:pPr>
        <w:pStyle w:val="Compact"/>
        <w:numPr>
          <w:ilvl w:val="1"/>
          <w:numId w:val="1030"/>
        </w:numPr>
      </w:pPr>
      <w:r>
        <w:t xml:space="preserve">Access via OSB next to PRIMARY mnemonic.</w:t>
      </w:r>
    </w:p>
    <w:p>
      <w:pPr>
        <w:pStyle w:val="Compact"/>
        <w:numPr>
          <w:ilvl w:val="1"/>
          <w:numId w:val="1030"/>
        </w:numPr>
      </w:pPr>
      <w:r>
        <w:t xml:space="preserve">New selection replaces the previous PRIMARY.</w:t>
      </w:r>
    </w:p>
    <w:p>
      <w:pPr>
        <w:pStyle w:val="Compact"/>
        <w:numPr>
          <w:ilvl w:val="1"/>
          <w:numId w:val="1030"/>
        </w:numPr>
      </w:pPr>
      <w:r>
        <w:t xml:space="preserve">In‑flight configuration allowed.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Constraint: No duplicate formats:</w:t>
      </w:r>
    </w:p>
    <w:p>
      <w:pPr>
        <w:pStyle w:val="Compact"/>
        <w:numPr>
          <w:ilvl w:val="1"/>
          <w:numId w:val="1031"/>
        </w:numPr>
      </w:pPr>
      <w:r>
        <w:t xml:space="preserve">Across 6 total slots (3+3), no two can be the same.</w:t>
      </w:r>
    </w:p>
    <w:p>
      <w:pPr>
        <w:pStyle w:val="Compact"/>
        <w:numPr>
          <w:ilvl w:val="1"/>
          <w:numId w:val="1031"/>
        </w:numPr>
      </w:pPr>
      <w:r>
        <w:t xml:space="preserve">BLANK or TEST as special cases.</w:t>
      </w:r>
    </w:p>
    <w:p>
      <w:pPr>
        <w:pStyle w:val="Compact"/>
        <w:numPr>
          <w:ilvl w:val="1"/>
          <w:numId w:val="1031"/>
        </w:numPr>
      </w:pPr>
      <w:r>
        <w:t xml:space="preserve">Auto‑substitution with BLANK on conflicts.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DMS relationship with PRIMARY format cycling:</w:t>
      </w:r>
    </w:p>
    <w:p>
      <w:pPr>
        <w:pStyle w:val="Compact"/>
        <w:numPr>
          <w:ilvl w:val="1"/>
          <w:numId w:val="1032"/>
        </w:numPr>
      </w:pPr>
      <w:r>
        <w:t xml:space="preserve">DMS Left/Right changes PRIMARY only.</w:t>
      </w:r>
    </w:p>
    <w:p>
      <w:pPr>
        <w:pStyle w:val="Compact"/>
        <w:numPr>
          <w:ilvl w:val="1"/>
          <w:numId w:val="1032"/>
        </w:numPr>
      </w:pPr>
      <w:r>
        <w:t xml:space="preserve">Cycling pattern PRIMARY → middle → third → PRIMARY.</w:t>
      </w:r>
    </w:p>
    <w:p>
      <w:pPr>
        <w:pStyle w:val="Compact"/>
        <w:numPr>
          <w:ilvl w:val="1"/>
          <w:numId w:val="1032"/>
        </w:numPr>
      </w:pPr>
      <w:r>
        <w:t xml:space="preserve">BLANK skipped.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List of 16 available formats</w:t>
      </w:r>
      <w:r>
        <w:t xml:space="preserve"> </w:t>
      </w:r>
      <w:r>
        <w:t xml:space="preserve">(video/text/both).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SWAP function:</w:t>
      </w:r>
    </w:p>
    <w:p>
      <w:pPr>
        <w:pStyle w:val="Compact"/>
        <w:numPr>
          <w:ilvl w:val="1"/>
          <w:numId w:val="1033"/>
        </w:numPr>
      </w:pPr>
      <w:r>
        <w:t xml:space="preserve">Swaps entire left/right MFD content (video + text).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BLANK format:</w:t>
      </w:r>
    </w:p>
    <w:p>
      <w:pPr>
        <w:pStyle w:val="Compact"/>
        <w:numPr>
          <w:ilvl w:val="1"/>
          <w:numId w:val="1034"/>
        </w:numPr>
      </w:pPr>
      <w:r>
        <w:t xml:space="preserve">Manually selectable.</w:t>
      </w:r>
    </w:p>
    <w:p>
      <w:pPr>
        <w:pStyle w:val="Compact"/>
        <w:numPr>
          <w:ilvl w:val="1"/>
          <w:numId w:val="1034"/>
        </w:numPr>
      </w:pPr>
      <w:r>
        <w:t xml:space="preserve">Shows blank display.</w:t>
      </w:r>
    </w:p>
    <w:p>
      <w:pPr>
        <w:pStyle w:val="Compact"/>
        <w:numPr>
          <w:ilvl w:val="1"/>
          <w:numId w:val="1034"/>
        </w:numPr>
      </w:pPr>
      <w:r>
        <w:t xml:space="preserve">Skipped during DMS cycling.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DTE configuration:</w:t>
      </w:r>
    </w:p>
    <w:p>
      <w:pPr>
        <w:pStyle w:val="Compact"/>
        <w:numPr>
          <w:ilvl w:val="1"/>
          <w:numId w:val="1035"/>
        </w:numPr>
      </w:pPr>
      <w:r>
        <w:t xml:space="preserve">Pre‑flight via DTC.</w:t>
      </w:r>
    </w:p>
    <w:p>
      <w:pPr>
        <w:pStyle w:val="Compact"/>
        <w:numPr>
          <w:ilvl w:val="1"/>
          <w:numId w:val="1035"/>
        </w:numPr>
      </w:pPr>
      <w:r>
        <w:t xml:space="preserve">In‑flight persistence of changes.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Research coverage</w:t>
      </w:r>
      <w:r>
        <w:t xml:space="preserve"> </w:t>
      </w:r>
      <w:r>
        <w:t xml:space="preserve">of 2.1.6.2–2.1.6.10 (with notes on what was not reviewed).</w:t>
      </w:r>
    </w:p>
    <w:bookmarkEnd w:id="21"/>
    <w:bookmarkStart w:id="22" w:name="alignment-with-the-current-blueprint"/>
    <w:p>
      <w:pPr>
        <w:pStyle w:val="Heading3"/>
      </w:pPr>
      <w:r>
        <w:t xml:space="preserve">2.2 Alignment with the current blueprint</w:t>
      </w:r>
    </w:p>
    <w:p>
      <w:pPr>
        <w:pStyle w:val="FirstParagraph"/>
      </w:pPr>
      <w:r>
        <w:t xml:space="preserve">This file is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 type of factual foundation required to implement: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4.2.3.1 Format Cycling Mechanics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4.2.3.2 Available Formats by Master Mode</w:t>
      </w:r>
      <w:r>
        <w:t xml:space="preserve"> </w:t>
      </w:r>
      <w:r>
        <w:t xml:space="preserve">(at least the “available formats” part)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4.2.3.4 DMS Left/Right Usage Table</w:t>
      </w:r>
    </w:p>
    <w:p>
      <w:pPr>
        <w:pStyle w:val="FirstParagraph"/>
      </w:pPr>
      <w:r>
        <w:t xml:space="preserve">It is also a good cross‑check for 4.2.4 when summarising “what DMS can do” by master mode.</w:t>
      </w:r>
    </w:p>
    <w:p>
      <w:pPr>
        <w:pStyle w:val="BodyText"/>
      </w:pPr>
      <w:r>
        <w:t xml:space="preserve">There is no structural conflict with the current blueprint; the only care needed is to:</w:t>
      </w:r>
    </w:p>
    <w:p>
      <w:pPr>
        <w:pStyle w:val="Compact"/>
        <w:numPr>
          <w:ilvl w:val="0"/>
          <w:numId w:val="1037"/>
        </w:numPr>
      </w:pPr>
      <w:r>
        <w:t xml:space="preserve">Avoid re‑explaining SOI in 4.2.3 (that’s in 4.1 / 4.2.1–4.2.2).</w:t>
      </w:r>
    </w:p>
    <w:p>
      <w:pPr>
        <w:pStyle w:val="Compact"/>
        <w:numPr>
          <w:ilvl w:val="0"/>
          <w:numId w:val="1037"/>
        </w:numPr>
      </w:pPr>
      <w:r>
        <w:t xml:space="preserve">Keep DMS Left/Right focused on</w:t>
      </w:r>
      <w:r>
        <w:t xml:space="preserve"> </w:t>
      </w:r>
      <w:r>
        <w:rPr>
          <w:b/>
          <w:bCs/>
        </w:rPr>
        <w:t xml:space="preserve">format cycling</w:t>
      </w:r>
      <w:r>
        <w:t xml:space="preserve">, not on SOI.</w:t>
      </w:r>
    </w:p>
    <w:bookmarkEnd w:id="22"/>
    <w:bookmarkStart w:id="27" w:name="direct-mapping-to-4.2.3-subsections-1"/>
    <w:p>
      <w:pPr>
        <w:pStyle w:val="Heading3"/>
      </w:pPr>
      <w:r>
        <w:t xml:space="preserve">2.3 Direct mapping to 4.2.3 subsections</w:t>
      </w:r>
    </w:p>
    <w:bookmarkStart w:id="23" w:name="format-cycling-mechanics-1"/>
    <w:p>
      <w:pPr>
        <w:pStyle w:val="Heading4"/>
      </w:pPr>
      <w:r>
        <w:t xml:space="preserve">4.2.3.1 Format Cycling Mechanics</w:t>
      </w:r>
    </w:p>
    <w:p>
      <w:pPr>
        <w:pStyle w:val="FirstParagraph"/>
      </w:pPr>
      <w:r>
        <w:t xml:space="preserve">Use from</w:t>
      </w:r>
      <w:r>
        <w:t xml:space="preserve"> </w:t>
      </w:r>
      <w:r>
        <w:rPr>
          <w:rStyle w:val="VerbatimChar"/>
        </w:rPr>
        <w:t xml:space="preserve">MFD-formats.md</w:t>
      </w:r>
      <w:r>
        <w:t xml:space="preserve">:</w:t>
      </w:r>
    </w:p>
    <w:p>
      <w:pPr>
        <w:pStyle w:val="Compact"/>
        <w:numPr>
          <w:ilvl w:val="0"/>
          <w:numId w:val="1038"/>
        </w:numPr>
      </w:pPr>
      <w:r>
        <w:t xml:space="preserve">Slot architecture:</w:t>
      </w:r>
    </w:p>
    <w:p>
      <w:pPr>
        <w:pStyle w:val="Compact"/>
        <w:numPr>
          <w:ilvl w:val="1"/>
          <w:numId w:val="1039"/>
        </w:numPr>
      </w:pPr>
      <w:r>
        <w:t xml:space="preserve">3 slots per MFD (PRIMARY + 2 SECONDARY).</w:t>
      </w:r>
    </w:p>
    <w:p>
      <w:pPr>
        <w:pStyle w:val="Compact"/>
        <w:numPr>
          <w:ilvl w:val="0"/>
          <w:numId w:val="1038"/>
        </w:numPr>
      </w:pPr>
      <w:r>
        <w:t xml:space="preserve">Behaviour of OSBs next to secondary labels.</w:t>
      </w:r>
    </w:p>
    <w:p>
      <w:pPr>
        <w:pStyle w:val="Compact"/>
        <w:numPr>
          <w:ilvl w:val="0"/>
          <w:numId w:val="1038"/>
        </w:numPr>
      </w:pPr>
      <w:r>
        <w:t xml:space="preserve">DMS Left/Right role:</w:t>
      </w:r>
    </w:p>
    <w:p>
      <w:pPr>
        <w:pStyle w:val="Compact"/>
        <w:numPr>
          <w:ilvl w:val="1"/>
          <w:numId w:val="1040"/>
        </w:numPr>
      </w:pPr>
      <w:r>
        <w:t xml:space="preserve">Changes PRIMARY only.</w:t>
      </w:r>
    </w:p>
    <w:p>
      <w:pPr>
        <w:pStyle w:val="Compact"/>
        <w:numPr>
          <w:ilvl w:val="1"/>
          <w:numId w:val="1040"/>
        </w:numPr>
      </w:pPr>
      <w:r>
        <w:t xml:space="preserve">Inside→outside cycling.</w:t>
      </w:r>
    </w:p>
    <w:p>
      <w:pPr>
        <w:pStyle w:val="Compact"/>
        <w:numPr>
          <w:ilvl w:val="1"/>
          <w:numId w:val="1040"/>
        </w:numPr>
      </w:pPr>
      <w:r>
        <w:t xml:space="preserve">BLANK skipped.</w:t>
      </w:r>
    </w:p>
    <w:p>
      <w:pPr>
        <w:pStyle w:val="FirstParagraph"/>
      </w:pPr>
      <w:r>
        <w:t xml:space="preserve">These points can be turned almost directly into a concise narrative:</w:t>
      </w:r>
    </w:p>
    <w:p>
      <w:pPr>
        <w:pStyle w:val="Compact"/>
        <w:numPr>
          <w:ilvl w:val="0"/>
          <w:numId w:val="1041"/>
        </w:numPr>
      </w:pPr>
      <w:r>
        <w:t xml:space="preserve">Describe how pilots configure the three slots (often pre‑flight via DTC, but adjustable in flight).</w:t>
      </w:r>
    </w:p>
    <w:p>
      <w:pPr>
        <w:pStyle w:val="Compact"/>
        <w:numPr>
          <w:ilvl w:val="0"/>
          <w:numId w:val="1041"/>
        </w:numPr>
      </w:pPr>
      <w:r>
        <w:t xml:space="preserve">Describe how, once slots are populated, DMS Left/Right allows rapid cycling between them during operations.</w:t>
      </w:r>
    </w:p>
    <w:bookmarkEnd w:id="23"/>
    <w:bookmarkStart w:id="24" w:name="available-formats-by-master-mode-1"/>
    <w:p>
      <w:pPr>
        <w:pStyle w:val="Heading4"/>
      </w:pPr>
      <w:r>
        <w:t xml:space="preserve">4.2.3.2 Available Formats by Master Mode</w:t>
      </w:r>
    </w:p>
    <w:p>
      <w:pPr>
        <w:pStyle w:val="FirstParagraph"/>
      </w:pPr>
      <w:r>
        <w:t xml:space="preserve">Use from</w:t>
      </w:r>
      <w:r>
        <w:t xml:space="preserve"> </w:t>
      </w:r>
      <w:r>
        <w:rPr>
          <w:rStyle w:val="VerbatimChar"/>
        </w:rPr>
        <w:t xml:space="preserve">MFD-formats.md</w:t>
      </w:r>
      <w:r>
        <w:t xml:space="preserve">:</w:t>
      </w:r>
    </w:p>
    <w:p>
      <w:pPr>
        <w:pStyle w:val="Compact"/>
        <w:numPr>
          <w:ilvl w:val="0"/>
          <w:numId w:val="1042"/>
        </w:numPr>
      </w:pPr>
      <w:r>
        <w:t xml:space="preserve">The enumerated list of formats from 2.1.6.2:</w:t>
      </w:r>
    </w:p>
    <w:p>
      <w:pPr>
        <w:pStyle w:val="Compact"/>
        <w:numPr>
          <w:ilvl w:val="1"/>
          <w:numId w:val="1043"/>
        </w:numPr>
      </w:pPr>
      <w:r>
        <w:t xml:space="preserve">FCR, TGP, WPN, HAD, HSD, SMS, DTE, TEST, FLIR, TFR, TCN, BLANK, etc.</w:t>
      </w:r>
    </w:p>
    <w:p>
      <w:pPr>
        <w:pStyle w:val="FirstParagraph"/>
      </w:pPr>
      <w:r>
        <w:t xml:space="preserve">In 4.2.3.2, this list can provide the</w:t>
      </w:r>
      <w:r>
        <w:t xml:space="preserve"> </w:t>
      </w:r>
      <w:r>
        <w:rPr>
          <w:b/>
          <w:bCs/>
        </w:rPr>
        <w:t xml:space="preserve">baseline universe of formats</w:t>
      </w:r>
      <w:r>
        <w:t xml:space="preserve">. The text can then briefly comment on which formats are commonly used in NAV, A‑A, and A‑G, without reproducing full master‑mode tables from Dash‑34.</w:t>
      </w:r>
    </w:p>
    <w:bookmarkEnd w:id="24"/>
    <w:bookmarkStart w:id="25" w:name="leftright-and-soi-independence-1"/>
    <w:p>
      <w:pPr>
        <w:pStyle w:val="Heading4"/>
      </w:pPr>
      <w:r>
        <w:t xml:space="preserve">4.2.3.3 Left/Right and SOI Independence</w:t>
      </w:r>
    </w:p>
    <w:p>
      <w:pPr>
        <w:pStyle w:val="FirstParagraph"/>
      </w:pPr>
      <w:r>
        <w:t xml:space="preserve">Use from</w:t>
      </w:r>
      <w:r>
        <w:t xml:space="preserve"> </w:t>
      </w:r>
      <w:r>
        <w:rPr>
          <w:rStyle w:val="VerbatimChar"/>
        </w:rPr>
        <w:t xml:space="preserve">MFD-formats.md</w:t>
      </w:r>
      <w:r>
        <w:t xml:space="preserve"> </w:t>
      </w:r>
      <w:r>
        <w:t xml:space="preserve">only indirectly:</w:t>
      </w:r>
    </w:p>
    <w:p>
      <w:pPr>
        <w:pStyle w:val="Compact"/>
        <w:numPr>
          <w:ilvl w:val="0"/>
          <w:numId w:val="1044"/>
        </w:numPr>
      </w:pPr>
      <w:r>
        <w:t xml:space="preserve">The section “SOI Concept” in this file is mainly a</w:t>
      </w:r>
      <w:r>
        <w:t xml:space="preserve"> </w:t>
      </w:r>
      <w:r>
        <w:rPr>
          <w:b/>
          <w:bCs/>
        </w:rPr>
        <w:t xml:space="preserve">reminder</w:t>
      </w:r>
      <w:r>
        <w:t xml:space="preserve"> </w:t>
      </w:r>
      <w:r>
        <w:t xml:space="preserve">to maintain correct conceptual separation:</w:t>
      </w:r>
    </w:p>
    <w:p>
      <w:pPr>
        <w:pStyle w:val="Compact"/>
        <w:numPr>
          <w:ilvl w:val="1"/>
          <w:numId w:val="1045"/>
        </w:numPr>
      </w:pPr>
      <w:r>
        <w:t xml:space="preserve">SOI is a routing mechanism for HOTAS.</w:t>
      </w:r>
    </w:p>
    <w:p>
      <w:pPr>
        <w:pStyle w:val="Compact"/>
        <w:numPr>
          <w:ilvl w:val="1"/>
          <w:numId w:val="1045"/>
        </w:numPr>
      </w:pPr>
      <w:r>
        <w:t xml:space="preserve">DMS Up/Down manage SOI.</w:t>
      </w:r>
    </w:p>
    <w:p>
      <w:pPr>
        <w:pStyle w:val="Compact"/>
        <w:numPr>
          <w:ilvl w:val="1"/>
          <w:numId w:val="1045"/>
        </w:numPr>
      </w:pPr>
      <w:r>
        <w:t xml:space="preserve">DMS Left/Right manage formats.</w:t>
      </w:r>
    </w:p>
    <w:p>
      <w:pPr>
        <w:pStyle w:val="FirstParagraph"/>
      </w:pPr>
      <w:r>
        <w:t xml:space="preserve">No detailed SOI exposition from this file should be copied into 4.2.3; instead, 4.2.3.3 can simply refer back to 4.1 / 4.2.1 / 4.2.2.</w:t>
      </w:r>
    </w:p>
    <w:bookmarkEnd w:id="25"/>
    <w:bookmarkStart w:id="26" w:name="dms-leftright-usage-table-1"/>
    <w:p>
      <w:pPr>
        <w:pStyle w:val="Heading4"/>
      </w:pPr>
      <w:r>
        <w:t xml:space="preserve">4.2.3.4 DMS Left/Right Usage Table</w:t>
      </w:r>
    </w:p>
    <w:p>
      <w:pPr>
        <w:pStyle w:val="FirstParagraph"/>
      </w:pPr>
      <w:r>
        <w:t xml:space="preserve">Use from</w:t>
      </w:r>
      <w:r>
        <w:t xml:space="preserve"> </w:t>
      </w:r>
      <w:r>
        <w:rPr>
          <w:rStyle w:val="VerbatimChar"/>
        </w:rPr>
        <w:t xml:space="preserve">MFD-formats.md</w:t>
      </w:r>
      <w:r>
        <w:t xml:space="preserve">:</w:t>
      </w:r>
    </w:p>
    <w:p>
      <w:pPr>
        <w:pStyle w:val="Compact"/>
        <w:numPr>
          <w:ilvl w:val="0"/>
          <w:numId w:val="1046"/>
        </w:numPr>
      </w:pPr>
      <w:r>
        <w:t xml:space="preserve">“UI/UX Pattern Recognition” section:</w:t>
      </w:r>
    </w:p>
    <w:p>
      <w:pPr>
        <w:pStyle w:val="Compact"/>
        <w:numPr>
          <w:ilvl w:val="1"/>
          <w:numId w:val="1047"/>
        </w:numPr>
      </w:pPr>
      <w:r>
        <w:t xml:space="preserve">Format selection hierarchy: OSB → DMS → Master Menu.</w:t>
      </w:r>
    </w:p>
    <w:p>
      <w:pPr>
        <w:pStyle w:val="Compact"/>
        <w:numPr>
          <w:ilvl w:val="1"/>
          <w:numId w:val="1047"/>
        </w:numPr>
      </w:pPr>
      <w:r>
        <w:t xml:space="preserve">No‑duplicates rule.</w:t>
      </w:r>
    </w:p>
    <w:p>
      <w:pPr>
        <w:pStyle w:val="Compact"/>
        <w:numPr>
          <w:ilvl w:val="1"/>
          <w:numId w:val="1047"/>
        </w:numPr>
      </w:pPr>
      <w:r>
        <w:t xml:space="preserve">BLANK behaviour.</w:t>
      </w:r>
    </w:p>
    <w:p>
      <w:pPr>
        <w:pStyle w:val="FirstParagraph"/>
      </w:pPr>
      <w:r>
        <w:t xml:space="preserve">These become ideal material for the</w:t>
      </w:r>
      <w:r>
        <w:t xml:space="preserve"> </w:t>
      </w:r>
      <w:r>
        <w:rPr>
          <w:b/>
          <w:bCs/>
        </w:rPr>
        <w:t xml:space="preserve">Effect / Nuance</w:t>
      </w:r>
      <w:r>
        <w:t xml:space="preserve"> </w:t>
      </w:r>
      <w:r>
        <w:t xml:space="preserve">column in the DMS Left/Right HOTAS table:</w:t>
      </w:r>
    </w:p>
    <w:p>
      <w:pPr>
        <w:pStyle w:val="Compact"/>
        <w:numPr>
          <w:ilvl w:val="0"/>
          <w:numId w:val="1048"/>
        </w:numPr>
      </w:pPr>
      <w:r>
        <w:t xml:space="preserve">For NAV:</w:t>
      </w:r>
    </w:p>
    <w:p>
      <w:pPr>
        <w:pStyle w:val="Compact"/>
        <w:numPr>
          <w:ilvl w:val="1"/>
          <w:numId w:val="1049"/>
        </w:numPr>
      </w:pPr>
      <w:r>
        <w:t xml:space="preserve">“DMS Left/Right cycles between configured NAV/SA formats on each MFD (e.g. HSD, FCR, SMS). BLANK slots are skipped, allowing pilots to reserve dormant slots.”</w:t>
      </w:r>
    </w:p>
    <w:p>
      <w:pPr>
        <w:pStyle w:val="Compact"/>
        <w:numPr>
          <w:ilvl w:val="0"/>
          <w:numId w:val="1048"/>
        </w:numPr>
      </w:pPr>
      <w:r>
        <w:t xml:space="preserve">For A‑A:</w:t>
      </w:r>
    </w:p>
    <w:p>
      <w:pPr>
        <w:pStyle w:val="Compact"/>
        <w:numPr>
          <w:ilvl w:val="1"/>
          <w:numId w:val="1050"/>
        </w:numPr>
      </w:pPr>
      <w:r>
        <w:t xml:space="preserve">“DMS Left/Right provides rapid cycling between FCR/HSD/SMS in the MFD that currently hosts those formats, independent of which display is SOI.”</w:t>
      </w:r>
    </w:p>
    <w:p>
      <w:pPr>
        <w:pStyle w:val="Compact"/>
        <w:numPr>
          <w:ilvl w:val="0"/>
          <w:numId w:val="1048"/>
        </w:numPr>
      </w:pPr>
      <w:r>
        <w:t xml:space="preserve">For A‑G:</w:t>
      </w:r>
    </w:p>
    <w:p>
      <w:pPr>
        <w:pStyle w:val="Compact"/>
        <w:numPr>
          <w:ilvl w:val="1"/>
          <w:numId w:val="1051"/>
        </w:numPr>
      </w:pPr>
      <w:r>
        <w:t xml:space="preserve">“DMS Left/Right is used to quickly toggle between TGP/WPN/HAD/FCR formats on each MFD, while DMS Up/Down and TMS manage SOI and targeting.”</w:t>
      </w:r>
    </w:p>
    <w:bookmarkEnd w:id="26"/>
    <w:bookmarkEnd w:id="27"/>
    <w:bookmarkStart w:id="28" w:name="what-should-be-treated-cautiously"/>
    <w:p>
      <w:pPr>
        <w:pStyle w:val="Heading3"/>
      </w:pPr>
      <w:r>
        <w:t xml:space="preserve">2.4 What should be treated cautiously</w:t>
      </w:r>
    </w:p>
    <w:p>
      <w:pPr>
        <w:pStyle w:val="Compact"/>
        <w:numPr>
          <w:ilvl w:val="0"/>
          <w:numId w:val="1052"/>
        </w:numPr>
      </w:pPr>
      <w:r>
        <w:t xml:space="preserve">Any parts of</w:t>
      </w:r>
      <w:r>
        <w:t xml:space="preserve"> </w:t>
      </w:r>
      <w:r>
        <w:rPr>
          <w:rStyle w:val="VerbatimChar"/>
        </w:rPr>
        <w:t xml:space="preserve">MFD-formats.md</w:t>
      </w:r>
      <w:r>
        <w:t xml:space="preserve"> </w:t>
      </w:r>
      <w:r>
        <w:t xml:space="preserve">that attempt to re‑specify</w:t>
      </w:r>
      <w:r>
        <w:t xml:space="preserve"> </w:t>
      </w:r>
      <w:r>
        <w:rPr>
          <w:b/>
          <w:bCs/>
        </w:rPr>
        <w:t xml:space="preserve">SOI behaviour</w:t>
      </w:r>
      <w:r>
        <w:t xml:space="preserve"> </w:t>
      </w:r>
      <w:r>
        <w:t xml:space="preserve">or DMS Up/Down logic must be reconciled with the now‑final 4.1 and 4.2.1 sections:</w:t>
      </w:r>
    </w:p>
    <w:p>
      <w:pPr>
        <w:pStyle w:val="Compact"/>
        <w:numPr>
          <w:ilvl w:val="1"/>
          <w:numId w:val="1053"/>
        </w:numPr>
      </w:pPr>
      <w:r>
        <w:t xml:space="preserve">They should be used only as cross-checks or reminders, not as new primary text.</w:t>
      </w:r>
    </w:p>
    <w:p>
      <w:pPr>
        <w:pStyle w:val="Compact"/>
        <w:numPr>
          <w:ilvl w:val="0"/>
          <w:numId w:val="1052"/>
        </w:numPr>
      </w:pPr>
      <w:r>
        <w:t xml:space="preserve">Very detailed DTE configuration discussion may be beyond the intended scope of Chapter 4 (DMS) and may be better placed in:</w:t>
      </w:r>
    </w:p>
    <w:p>
      <w:pPr>
        <w:pStyle w:val="Compact"/>
        <w:numPr>
          <w:ilvl w:val="1"/>
          <w:numId w:val="1054"/>
        </w:numPr>
      </w:pPr>
      <w:r>
        <w:t xml:space="preserve">Chapter 2 (HOTAS Fundamentals / Mission Setup), or</w:t>
      </w:r>
    </w:p>
    <w:p>
      <w:pPr>
        <w:pStyle w:val="Compact"/>
        <w:numPr>
          <w:ilvl w:val="1"/>
          <w:numId w:val="1054"/>
        </w:numPr>
      </w:pPr>
      <w:r>
        <w:t xml:space="preserve">An appendix about</w:t>
      </w:r>
      <w:r>
        <w:t xml:space="preserve"> </w:t>
      </w:r>
      <w:r>
        <w:rPr>
          <w:b/>
          <w:bCs/>
        </w:rPr>
        <w:t xml:space="preserve">DTC / MSMD</w:t>
      </w:r>
      <w:r>
        <w:t xml:space="preserve"> </w:t>
      </w:r>
      <w:r>
        <w:t xml:space="preserve">usage.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ractical-guidance-for-future-c4-work"/>
    <w:p>
      <w:pPr>
        <w:pStyle w:val="Heading2"/>
      </w:pPr>
      <w:r>
        <w:t xml:space="preserve">3. Practical Guidance for Future C4 Work</w:t>
      </w:r>
    </w:p>
    <w:p>
      <w:pPr>
        <w:pStyle w:val="FirstParagraph"/>
      </w:pPr>
      <w:r>
        <w:t xml:space="preserve">When writing</w:t>
      </w:r>
      <w:r>
        <w:t xml:space="preserve"> </w:t>
      </w:r>
      <w:r>
        <w:rPr>
          <w:b/>
          <w:bCs/>
        </w:rPr>
        <w:t xml:space="preserve">4.2.2, 4.2.3, 4.2.4</w:t>
      </w:r>
      <w:r>
        <w:t xml:space="preserve">, these two research files should be used in the following way:</w:t>
      </w:r>
    </w:p>
    <w:bookmarkStart w:id="30" w:name="for-4.2.2-dms-down"/>
    <w:p>
      <w:pPr>
        <w:pStyle w:val="Heading3"/>
      </w:pPr>
      <w:r>
        <w:t xml:space="preserve">3.1 For 4.2.2 DMS Down</w:t>
      </w:r>
    </w:p>
    <w:p>
      <w:pPr>
        <w:pStyle w:val="FirstParagraph"/>
      </w:pPr>
      <w:r>
        <w:t xml:space="preserve">These files are</w:t>
      </w:r>
      <w:r>
        <w:t xml:space="preserve"> </w:t>
      </w:r>
      <w:r>
        <w:rPr>
          <w:b/>
          <w:bCs/>
        </w:rPr>
        <w:t xml:space="preserve">indirectly</w:t>
      </w:r>
      <w:r>
        <w:t xml:space="preserve"> </w:t>
      </w:r>
      <w:r>
        <w:t xml:space="preserve">helpful:</w:t>
      </w:r>
    </w:p>
    <w:p>
      <w:pPr>
        <w:pStyle w:val="Compact"/>
        <w:numPr>
          <w:ilvl w:val="0"/>
          <w:numId w:val="1055"/>
        </w:numPr>
      </w:pPr>
      <w:r>
        <w:t xml:space="preserve">They remind that:</w:t>
      </w:r>
    </w:p>
    <w:p>
      <w:pPr>
        <w:pStyle w:val="Compact"/>
        <w:numPr>
          <w:ilvl w:val="1"/>
          <w:numId w:val="1056"/>
        </w:numPr>
      </w:pPr>
      <w:r>
        <w:t xml:space="preserve">Left/Right MFD concepts must be used carefully (state of SOI vs format).</w:t>
      </w:r>
    </w:p>
    <w:p>
      <w:pPr>
        <w:pStyle w:val="Compact"/>
        <w:numPr>
          <w:ilvl w:val="1"/>
          <w:numId w:val="1056"/>
        </w:numPr>
      </w:pPr>
      <w:r>
        <w:t xml:space="preserve">DMS Down moves SOI between</w:t>
      </w:r>
      <w:r>
        <w:t xml:space="preserve"> </w:t>
      </w:r>
      <w:r>
        <w:rPr>
          <w:b/>
          <w:bCs/>
        </w:rPr>
        <w:t xml:space="preserve">HUD / Right MFD / Left MFD</w:t>
      </w:r>
      <w:r>
        <w:t xml:space="preserve">, not formats.</w:t>
      </w:r>
    </w:p>
    <w:p>
      <w:pPr>
        <w:pStyle w:val="FirstParagraph"/>
      </w:pPr>
      <w:r>
        <w:t xml:space="preserve">But there is</w:t>
      </w:r>
      <w:r>
        <w:t xml:space="preserve"> </w:t>
      </w:r>
      <w:r>
        <w:rPr>
          <w:b/>
          <w:bCs/>
        </w:rPr>
        <w:t xml:space="preserve">little direct text</w:t>
      </w:r>
      <w:r>
        <w:t xml:space="preserve"> </w:t>
      </w:r>
      <w:r>
        <w:t xml:space="preserve">to lift from them for DMS Down. They serve more as:</w:t>
      </w:r>
    </w:p>
    <w:p>
      <w:pPr>
        <w:pStyle w:val="Compact"/>
        <w:numPr>
          <w:ilvl w:val="0"/>
          <w:numId w:val="1057"/>
        </w:numPr>
      </w:pPr>
      <w:r>
        <w:t xml:space="preserve">A check that any mention of MFDs in 4.2.2 does not accidentally conflate</w:t>
      </w:r>
      <w:r>
        <w:t xml:space="preserve"> </w:t>
      </w:r>
      <w:r>
        <w:rPr>
          <w:b/>
          <w:bCs/>
        </w:rPr>
        <w:t xml:space="preserve">SOI movement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format cycling</w:t>
      </w:r>
      <w:r>
        <w:t xml:space="preserve">.</w:t>
      </w:r>
    </w:p>
    <w:bookmarkEnd w:id="30"/>
    <w:bookmarkStart w:id="31" w:name="for-4.2.3-dms-left-right"/>
    <w:p>
      <w:pPr>
        <w:pStyle w:val="Heading3"/>
      </w:pPr>
      <w:r>
        <w:t xml:space="preserve">3.2 For 4.2.3 DMS Left / Right</w:t>
      </w:r>
    </w:p>
    <w:p>
      <w:pPr>
        <w:pStyle w:val="FirstParagraph"/>
      </w:pPr>
      <w:r>
        <w:t xml:space="preserve">These files are the</w:t>
      </w:r>
      <w:r>
        <w:t xml:space="preserve"> </w:t>
      </w:r>
      <w:r>
        <w:rPr>
          <w:b/>
          <w:bCs/>
        </w:rPr>
        <w:t xml:space="preserve">primary source</w:t>
      </w:r>
      <w:r>
        <w:t xml:space="preserve"> </w:t>
      </w:r>
      <w:r>
        <w:t xml:space="preserve">of:</w:t>
      </w:r>
    </w:p>
    <w:p>
      <w:pPr>
        <w:pStyle w:val="Compact"/>
        <w:numPr>
          <w:ilvl w:val="0"/>
          <w:numId w:val="1058"/>
        </w:numPr>
      </w:pPr>
      <w:r>
        <w:t xml:space="preserve">Slot architecture description.</w:t>
      </w:r>
    </w:p>
    <w:p>
      <w:pPr>
        <w:pStyle w:val="Compact"/>
        <w:numPr>
          <w:ilvl w:val="0"/>
          <w:numId w:val="1058"/>
        </w:numPr>
      </w:pPr>
      <w:r>
        <w:t xml:space="preserve">DMS Left/Right mechanics.</w:t>
      </w:r>
    </w:p>
    <w:p>
      <w:pPr>
        <w:pStyle w:val="Compact"/>
        <w:numPr>
          <w:ilvl w:val="0"/>
          <w:numId w:val="1058"/>
        </w:numPr>
      </w:pPr>
      <w:r>
        <w:t xml:space="preserve">SWAP, BLANK, OFF behaviours.</w:t>
      </w:r>
    </w:p>
    <w:p>
      <w:pPr>
        <w:pStyle w:val="Compact"/>
        <w:numPr>
          <w:ilvl w:val="0"/>
          <w:numId w:val="1058"/>
        </w:numPr>
      </w:pPr>
      <w:r>
        <w:t xml:space="preserve">Non‑duplicate rules.</w:t>
      </w:r>
    </w:p>
    <w:p>
      <w:pPr>
        <w:pStyle w:val="Compact"/>
        <w:numPr>
          <w:ilvl w:val="0"/>
          <w:numId w:val="1058"/>
        </w:numPr>
      </w:pPr>
      <w:r>
        <w:t xml:space="preserve">Format universe description.</w:t>
      </w:r>
    </w:p>
    <w:p>
      <w:pPr>
        <w:pStyle w:val="Compact"/>
        <w:numPr>
          <w:ilvl w:val="0"/>
          <w:numId w:val="1058"/>
        </w:numPr>
      </w:pPr>
      <w:r>
        <w:t xml:space="preserve">User workflow examples.</w:t>
      </w:r>
    </w:p>
    <w:p>
      <w:pPr>
        <w:pStyle w:val="FirstParagraph"/>
      </w:pPr>
      <w:r>
        <w:t xml:space="preserve">In practice, when drafting 4.2.3:</w:t>
      </w:r>
    </w:p>
    <w:p>
      <w:pPr>
        <w:pStyle w:val="Compact"/>
        <w:numPr>
          <w:ilvl w:val="0"/>
          <w:numId w:val="1059"/>
        </w:numPr>
      </w:pPr>
      <w:r>
        <w:t xml:space="preserve">Start from</w:t>
      </w:r>
      <w:r>
        <w:t xml:space="preserve"> </w:t>
      </w:r>
      <w:r>
        <w:rPr>
          <w:rStyle w:val="VerbatimChar"/>
        </w:rPr>
        <w:t xml:space="preserve">MFD-formats.md</w:t>
      </w:r>
      <w:r>
        <w:t xml:space="preserve"> </w:t>
      </w:r>
      <w:r>
        <w:t xml:space="preserve">for factual, Dash‑34‑aligned statements.</w:t>
      </w:r>
    </w:p>
    <w:p>
      <w:pPr>
        <w:pStyle w:val="Compact"/>
        <w:numPr>
          <w:ilvl w:val="0"/>
          <w:numId w:val="105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section_4_3_plan</w:t>
      </w:r>
      <w:r>
        <w:t xml:space="preserve"> </w:t>
      </w:r>
      <w:r>
        <w:t xml:space="preserve">for narrative structure, examples and phrasing ideas.</w:t>
      </w:r>
    </w:p>
    <w:p>
      <w:pPr>
        <w:pStyle w:val="Compact"/>
        <w:numPr>
          <w:ilvl w:val="0"/>
          <w:numId w:val="1059"/>
        </w:numPr>
      </w:pPr>
      <w:r>
        <w:t xml:space="preserve">Always cross‑check that</w:t>
      </w:r>
      <w:r>
        <w:t xml:space="preserve"> </w:t>
      </w:r>
      <w:r>
        <w:rPr>
          <w:b/>
          <w:bCs/>
        </w:rPr>
        <w:t xml:space="preserve">SOI mentions</w:t>
      </w:r>
      <w:r>
        <w:t xml:space="preserve"> </w:t>
      </w:r>
      <w:r>
        <w:t xml:space="preserve">in 4.2.3 are brief and reference 4.1/4.2.1/4.2.2.</w:t>
      </w:r>
    </w:p>
    <w:bookmarkEnd w:id="31"/>
    <w:bookmarkStart w:id="32" w:name="for-4.2.4-master-mode-summary"/>
    <w:p>
      <w:pPr>
        <w:pStyle w:val="Heading3"/>
      </w:pPr>
      <w:r>
        <w:t xml:space="preserve">3.3 For 4.2.4 Master Mode Summary</w:t>
      </w:r>
    </w:p>
    <w:p>
      <w:pPr>
        <w:pStyle w:val="FirstParagraph"/>
      </w:pPr>
      <w:r>
        <w:t xml:space="preserve">From these notes, 4.2.4 can inherit:</w:t>
      </w:r>
    </w:p>
    <w:p>
      <w:pPr>
        <w:pStyle w:val="Compact"/>
        <w:numPr>
          <w:ilvl w:val="0"/>
          <w:numId w:val="1060"/>
        </w:numPr>
      </w:pPr>
      <w:r>
        <w:t xml:space="preserve">Short, high‑level descriptions that capture:</w:t>
      </w:r>
    </w:p>
    <w:p>
      <w:pPr>
        <w:pStyle w:val="Compact"/>
        <w:numPr>
          <w:ilvl w:val="1"/>
          <w:numId w:val="1061"/>
        </w:numPr>
      </w:pPr>
      <w:r>
        <w:t xml:space="preserve">“In NAV, DMS Left/Right mainly manages SA formats (HSD/FCR/SMS).”</w:t>
      </w:r>
    </w:p>
    <w:p>
      <w:pPr>
        <w:pStyle w:val="Compact"/>
        <w:numPr>
          <w:ilvl w:val="1"/>
          <w:numId w:val="1061"/>
        </w:numPr>
      </w:pPr>
      <w:r>
        <w:t xml:space="preserve">“In A‑A, DMS Left/Right cycles radar/SA/system pages while SOI stays on combat‑critical surfaces.”</w:t>
      </w:r>
    </w:p>
    <w:p>
      <w:pPr>
        <w:pStyle w:val="Compact"/>
        <w:numPr>
          <w:ilvl w:val="1"/>
          <w:numId w:val="1061"/>
        </w:numPr>
      </w:pPr>
      <w:r>
        <w:t xml:space="preserve">“In A‑G, DMS Left/Right is often used to keep TGP/WPN/HAD available on one side while HUD/HMCS plus DMS Up/Down and TMS drive targeting.”</w:t>
      </w:r>
    </w:p>
    <w:p>
      <w:pPr>
        <w:pStyle w:val="FirstParagraph"/>
      </w:pPr>
      <w:r>
        <w:t xml:space="preserve">These will feed into the</w:t>
      </w:r>
      <w:r>
        <w:t xml:space="preserve"> </w:t>
      </w:r>
      <w:r>
        <w:rPr>
          <w:b/>
          <w:bCs/>
        </w:rPr>
        <w:t xml:space="preserve">consolidated DMS × Master Mode</w:t>
      </w:r>
      <w:r>
        <w:t xml:space="preserve"> </w:t>
      </w:r>
      <w:r>
        <w:t xml:space="preserve">table and help keep the summary grounded in real MFDS behaviour.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ummary-of-usefulness"/>
    <w:p>
      <w:pPr>
        <w:pStyle w:val="Heading2"/>
      </w:pPr>
      <w:r>
        <w:t xml:space="preserve">4. Summary of Usefulness</w:t>
      </w:r>
    </w:p>
    <w:bookmarkStart w:id="34" w:name="section_4_3_plan.md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section_4_3_plan.md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Structural plan:</w:t>
      </w:r>
      <w:r>
        <w:t xml:space="preserve"> </w:t>
      </w:r>
      <w:r>
        <w:t xml:space="preserve">obsolete (4.3 no longer exists as a standalone section).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highly reusable for</w:t>
      </w:r>
      <w:r>
        <w:t xml:space="preserve"> </w:t>
      </w:r>
      <w:r>
        <w:rPr>
          <w:b/>
          <w:bCs/>
        </w:rPr>
        <w:t xml:space="preserve">4.2.3</w:t>
      </w:r>
      <w:r>
        <w:t xml:space="preserve">, especially:</w:t>
      </w:r>
    </w:p>
    <w:p>
      <w:pPr>
        <w:pStyle w:val="Compact"/>
        <w:numPr>
          <w:ilvl w:val="1"/>
          <w:numId w:val="1063"/>
        </w:numPr>
      </w:pPr>
      <w:r>
        <w:t xml:space="preserve">Conceptual explanations (slots, 3 paths to selection).</w:t>
      </w:r>
    </w:p>
    <w:p>
      <w:pPr>
        <w:pStyle w:val="Compact"/>
        <w:numPr>
          <w:ilvl w:val="1"/>
          <w:numId w:val="1063"/>
        </w:numPr>
      </w:pPr>
      <w:r>
        <w:t xml:space="preserve">Special cases (SWAP, BLANK, OFF).</w:t>
      </w:r>
    </w:p>
    <w:p>
      <w:pPr>
        <w:pStyle w:val="Compact"/>
        <w:numPr>
          <w:ilvl w:val="1"/>
          <w:numId w:val="1063"/>
        </w:numPr>
      </w:pPr>
      <w:r>
        <w:t xml:space="preserve">Operational examples.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Best usage:</w:t>
      </w:r>
      <w:r>
        <w:t xml:space="preserve"> </w:t>
      </w:r>
      <w:r>
        <w:t xml:space="preserve">treat as a</w:t>
      </w:r>
      <w:r>
        <w:t xml:space="preserve"> </w:t>
      </w:r>
      <w:r>
        <w:rPr>
          <w:b/>
          <w:bCs/>
        </w:rPr>
        <w:t xml:space="preserve">conceptual outline</w:t>
      </w:r>
      <w:r>
        <w:t xml:space="preserve"> </w:t>
      </w:r>
      <w:r>
        <w:t xml:space="preserve">for drafting the narrative parts of 4.2.3, mapping its subtopics into 4.2.3.1–4.2.3.4.</w:t>
      </w:r>
    </w:p>
    <w:bookmarkEnd w:id="34"/>
    <w:bookmarkStart w:id="35" w:name="mfd-formats.md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MFD-formats.md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Structural content:</w:t>
      </w:r>
      <w:r>
        <w:t xml:space="preserve"> </w:t>
      </w:r>
      <w:r>
        <w:t xml:space="preserve">N/A (it is a research digest, not an outline).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primary factual backbone for</w:t>
      </w:r>
      <w:r>
        <w:t xml:space="preserve"> </w:t>
      </w:r>
      <w:r>
        <w:rPr>
          <w:b/>
          <w:bCs/>
        </w:rPr>
        <w:t xml:space="preserve">4.2.3</w:t>
      </w:r>
      <w:r>
        <w:t xml:space="preserve"> </w:t>
      </w:r>
      <w:r>
        <w:t xml:space="preserve">and support for 4.2.4:</w:t>
      </w:r>
    </w:p>
    <w:p>
      <w:pPr>
        <w:pStyle w:val="Compact"/>
        <w:numPr>
          <w:ilvl w:val="1"/>
          <w:numId w:val="1065"/>
        </w:numPr>
      </w:pPr>
      <w:r>
        <w:t xml:space="preserve">Slot mechanics, DMS Left/Right behaviour, SWAP, BLANK, OFF, no-duplicates rule, format list.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Best usage:</w:t>
      </w:r>
      <w:r>
        <w:t xml:space="preserve"> </w:t>
      </w:r>
      <w:r>
        <w:t xml:space="preserve">treat as the</w:t>
      </w:r>
      <w:r>
        <w:t xml:space="preserve"> </w:t>
      </w:r>
      <w:r>
        <w:rPr>
          <w:b/>
          <w:bCs/>
        </w:rPr>
        <w:t xml:space="preserve">authoritative technical source</w:t>
      </w:r>
      <w:r>
        <w:t xml:space="preserve"> </w:t>
      </w:r>
      <w:r>
        <w:t xml:space="preserve">when writing 4.2.3.1/4.2.3.2/4.2.3.4, ensuring all claims match Dash‑34 2.1.6.x.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commended-workflow-for-future-sessions"/>
    <w:p>
      <w:pPr>
        <w:pStyle w:val="Heading2"/>
      </w:pPr>
      <w:r>
        <w:t xml:space="preserve">5. Recommended Workflow for Future Sessions</w:t>
      </w:r>
    </w:p>
    <w:p>
      <w:pPr>
        <w:pStyle w:val="FirstParagraph"/>
      </w:pPr>
      <w:r>
        <w:t xml:space="preserve">When a future AI session continues Chapter 4 (DMS) work: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Load references:</w:t>
      </w:r>
    </w:p>
    <w:p>
      <w:pPr>
        <w:pStyle w:val="Compact"/>
        <w:numPr>
          <w:ilvl w:val="1"/>
          <w:numId w:val="1067"/>
        </w:numPr>
      </w:pPr>
      <w:r>
        <w:t xml:space="preserve">Unified C4 blueprint v1.1 (</w:t>
      </w:r>
      <w:r>
        <w:rPr>
          <w:rStyle w:val="VerbatimChar"/>
        </w:rPr>
        <w:t xml:space="preserve">C4-DMS-blueprint.md</w:t>
      </w:r>
      <w:r>
        <w:t xml:space="preserve">).</w:t>
      </w:r>
    </w:p>
    <w:p>
      <w:pPr>
        <w:pStyle w:val="Compact"/>
        <w:numPr>
          <w:ilvl w:val="1"/>
          <w:numId w:val="1067"/>
        </w:numPr>
      </w:pPr>
      <w:r>
        <w:t xml:space="preserve">This note (</w:t>
      </w:r>
      <w:r>
        <w:rPr>
          <w:rStyle w:val="VerbatimChar"/>
        </w:rPr>
        <w:t xml:space="preserve">C4-DMS-MFDS-research-notes.md</w:t>
      </w:r>
      <w:r>
        <w:t xml:space="preserve">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MFD-formats.md</w:t>
      </w:r>
      <w:r>
        <w:t xml:space="preserve"> </w:t>
      </w:r>
      <w:r>
        <w:t xml:space="preserve">(for raw Dash‑34 data).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section_4_3_plan.md</w:t>
      </w:r>
      <w:r>
        <w:t xml:space="preserve"> </w:t>
      </w:r>
      <w:r>
        <w:t xml:space="preserve">(for example flows and phrasing).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Draft 4.2.3 in this order:</w:t>
      </w:r>
    </w:p>
    <w:p>
      <w:pPr>
        <w:pStyle w:val="Compact"/>
        <w:numPr>
          <w:ilvl w:val="1"/>
          <w:numId w:val="1068"/>
        </w:numPr>
      </w:pPr>
      <w:r>
        <w:t xml:space="preserve">Write 4.2.3.1 (mechanics) from</w:t>
      </w:r>
      <w:r>
        <w:t xml:space="preserve"> </w:t>
      </w:r>
      <w:r>
        <w:rPr>
          <w:rStyle w:val="VerbatimChar"/>
        </w:rPr>
        <w:t xml:space="preserve">MFD-formats.md</w:t>
      </w:r>
      <w:r>
        <w:t xml:space="preserve">.</w:t>
      </w:r>
    </w:p>
    <w:p>
      <w:pPr>
        <w:pStyle w:val="Compact"/>
        <w:numPr>
          <w:ilvl w:val="1"/>
          <w:numId w:val="1068"/>
        </w:numPr>
      </w:pPr>
      <w:r>
        <w:t xml:space="preserve">Write 4.2.3.2 (available formats) using the list of formats and adding light contextual text.</w:t>
      </w:r>
    </w:p>
    <w:p>
      <w:pPr>
        <w:pStyle w:val="Compact"/>
        <w:numPr>
          <w:ilvl w:val="1"/>
          <w:numId w:val="1068"/>
        </w:numPr>
      </w:pPr>
      <w:r>
        <w:t xml:space="preserve">Write 4.2.3.3 explicitly stating Left/Right ≠ SOI change; reference 4.1/4.2.1/4.2.2.</w:t>
      </w:r>
    </w:p>
    <w:p>
      <w:pPr>
        <w:pStyle w:val="Compact"/>
        <w:numPr>
          <w:ilvl w:val="1"/>
          <w:numId w:val="1068"/>
        </w:numPr>
      </w:pPr>
      <w:r>
        <w:t xml:space="preserve">Design 4.2.3.4 HOTAS table using insights from both research files.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Only then</w:t>
      </w:r>
      <w:r>
        <w:t xml:space="preserve"> </w:t>
      </w:r>
      <w:r>
        <w:t xml:space="preserve">derive any short phrases needed for 4.2.4.</w:t>
      </w:r>
    </w:p>
    <w:p>
      <w:pPr>
        <w:pStyle w:val="FirstParagraph"/>
      </w:pPr>
      <w:r>
        <w:t xml:space="preserve">This preserves architectural clarity (vertical vs horizontal DMS axes) while taking full advantage of the research already done in these two files.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2026-01-15T05:41:26Z</dcterms:created>
  <dcterms:modified xsi:type="dcterms:W3CDTF">2026-01-15T05:41:26Z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