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training-mission-reference-table-v1.0"/>
    <w:p>
      <w:pPr>
        <w:pStyle w:val="Heading1"/>
      </w:pPr>
      <w:r>
        <w:t xml:space="preserve">TRAINING MISSION REFERENCE TABLE v1.0</w:t>
      </w:r>
    </w:p>
    <w:bookmarkStart w:id="9" w:name="X6485076795f83a088db01d68da9dd88d58e673b"/>
    <w:p>
      <w:pPr>
        <w:pStyle w:val="Heading2"/>
      </w:pPr>
      <w:r>
        <w:t xml:space="preserve">TMS/DMS/CMS Usage Guide — Standardized Abbreviations</w:t>
      </w:r>
    </w:p>
    <w:p>
      <w:pPr>
        <w:pStyle w:val="FirstParagraph"/>
      </w:pPr>
      <w:r>
        <w:rPr>
          <w:b/>
          <w:bCs/>
        </w:rPr>
        <w:t xml:space="preserve">Document Type:</w:t>
      </w:r>
      <w:r>
        <w:t xml:space="preserve"> </w:t>
      </w:r>
      <w:r>
        <w:t xml:space="preserve">Reference Standard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Created:</w:t>
      </w:r>
      <w:r>
        <w:t xml:space="preserve"> </w:t>
      </w:r>
      <w:r>
        <w:t xml:space="preserve">10 January 2026</w:t>
      </w:r>
      <w:r>
        <w:br/>
      </w:r>
      <w:r>
        <w:rPr>
          <w:b/>
          <w:bCs/>
        </w:rPr>
        <w:t xml:space="preserve">Scope:</w:t>
      </w:r>
      <w:r>
        <w:t xml:space="preserve"> </w:t>
      </w:r>
      <w:r>
        <w:t xml:space="preserve">TMS/DMS/CMS Usage Guide Project</w:t>
      </w:r>
      <w:r>
        <w:br/>
      </w:r>
      <w:r>
        <w:rPr>
          <w:b/>
          <w:bCs/>
        </w:rPr>
        <w:t xml:space="preserve">Effective Date:</w:t>
      </w:r>
      <w:r>
        <w:t xml:space="preserve"> </w:t>
      </w:r>
      <w:r>
        <w:t xml:space="preserve">10 January 2026</w:t>
      </w:r>
    </w:p>
    <w:p>
      <w:r>
        <w:pict>
          <v:rect style="width:0;height:1.5pt" o:hralign="center" o:hrstd="t" o:hr="t"/>
        </w:pict>
      </w:r>
    </w:p>
    <w:bookmarkEnd w:id="9"/>
    <w:bookmarkStart w:id="1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document establishes standardized abbreviations for all 33 BMS 4.38.1 training missions. It serves as the authoritative reference for populating the</w:t>
      </w:r>
      <w:r>
        <w:t xml:space="preserve"> </w:t>
      </w:r>
      <w:r>
        <w:rPr>
          <w:b/>
          <w:bCs/>
        </w:rPr>
        <w:t xml:space="preserve">Train (Column 7)</w:t>
      </w:r>
      <w:r>
        <w:t xml:space="preserve"> </w:t>
      </w:r>
      <w:r>
        <w:t xml:space="preserve">column in all HOTAS tables throughout the Falcon BMS TMS/DMS/CMS Usage Guide (guide.tex v0.2.2.0 and beyond).</w:t>
      </w:r>
    </w:p>
    <w:p>
      <w:pPr>
        <w:pStyle w:val="BodyText"/>
      </w:pPr>
      <w:r>
        <w:t xml:space="preserve">The abbreviations in this table are designed to: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Fit within column width constraints</w:t>
      </w:r>
      <w:r>
        <w:t xml:space="preserve"> </w:t>
      </w:r>
      <w:r>
        <w:t xml:space="preserve">(1.4 cm,</w:t>
      </w:r>
      <w:r>
        <w:t xml:space="preserve"> </w:t>
      </w:r>
      <w:r>
        <w:rPr>
          <w:rStyle w:val="VerbatimChar"/>
        </w:rPr>
        <w:t xml:space="preserve">\small</w:t>
      </w:r>
      <w:r>
        <w:t xml:space="preserve"> </w:t>
      </w:r>
      <w:r>
        <w:t xml:space="preserve">font,</w:t>
      </w:r>
      <w:r>
        <w:t xml:space="preserve"> </w:t>
      </w:r>
      <w:r>
        <w:rPr>
          <w:rStyle w:val="VerbatimChar"/>
        </w:rPr>
        <w:t xml:space="preserve">\arraystretch = 1.25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Maintain clarity and readability</w:t>
      </w:r>
      <w:r>
        <w:t xml:space="preserve"> </w:t>
      </w:r>
      <w:r>
        <w:t xml:space="preserve">across all table contexts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consistency</w:t>
      </w:r>
      <w:r>
        <w:t xml:space="preserve"> </w:t>
      </w:r>
      <w:r>
        <w:t xml:space="preserve">in training mission references throughout the document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Follow industry and BMS community standards</w:t>
      </w:r>
      <w:r>
        <w:t xml:space="preserve"> </w:t>
      </w:r>
      <w:r>
        <w:t xml:space="preserve">for acronym usage</w:t>
      </w:r>
    </w:p>
    <w:p>
      <w:r>
        <w:pict>
          <v:rect style="width:0;height:1.5pt" o:hralign="center" o:hrstd="t" o:hr="t"/>
        </w:pict>
      </w:r>
    </w:p>
    <w:bookmarkEnd w:id="10"/>
    <w:bookmarkStart w:id="11" w:name="integration"/>
    <w:p>
      <w:pPr>
        <w:pStyle w:val="Heading2"/>
      </w:pPr>
      <w:r>
        <w:t xml:space="preserve">INTEGRATION</w:t>
      </w:r>
    </w:p>
    <w:p>
      <w:pPr>
        <w:pStyle w:val="FirstParagraph"/>
      </w:pPr>
      <w:r>
        <w:t xml:space="preserve">This document is adopted as a referente for the TMS/DMS/CMS Usage Guide project. It is referenced in: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briefing document</w:t>
      </w:r>
    </w:p>
    <w:p>
      <w:pPr>
        <w:pStyle w:val="FirstParagraph"/>
      </w:pPr>
      <w:r>
        <w:t xml:space="preserve">Any modifications to mission abbreviations must be:</w:t>
      </w:r>
      <w:r>
        <w:t xml:space="preserve"> </w:t>
      </w:r>
      <w:r>
        <w:t xml:space="preserve">1. Reviewed by the project author</w:t>
      </w:r>
      <w:r>
        <w:t xml:space="preserve"> </w:t>
      </w:r>
      <w:r>
        <w:t xml:space="preserve">3. Documented in version control with change notes</w:t>
      </w:r>
    </w:p>
    <w:p>
      <w:r>
        <w:pict>
          <v:rect style="width:0;height:1.5pt" o:hralign="center" o:hrstd="t" o:hr="t"/>
        </w:pict>
      </w:r>
    </w:p>
    <w:bookmarkEnd w:id="11"/>
    <w:bookmarkStart w:id="12" w:name="macro-and-syntax-standard"/>
    <w:p>
      <w:pPr>
        <w:pStyle w:val="Heading2"/>
      </w:pPr>
      <w:r>
        <w:t xml:space="preserve">MACRO AND SYNTAX STANDARD</w:t>
      </w:r>
    </w:p>
    <w:p>
      <w:pPr>
        <w:pStyle w:val="FirstParagraph"/>
      </w:pPr>
      <w:r>
        <w:t xml:space="preserve">All training mission references shall use the LaTeX macro defined in guide.tex and the briefing document:</w:t>
      </w:r>
    </w:p>
    <w:p>
      <w:pPr>
        <w:pStyle w:val="SourceCode"/>
      </w:pPr>
      <w:r>
        <w:rPr>
          <w:rStyle w:val="FunctionTok"/>
        </w:rPr>
        <w:t xml:space="preserve">\newcommand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\trnref</w:t>
      </w:r>
      <w:r>
        <w:rPr>
          <w:rStyle w:val="NormalTok"/>
        </w:rPr>
        <w:t xml:space="preserve">}[1]{BMS Training Mission~#1}</w:t>
      </w:r>
    </w:p>
    <w:p>
      <w:pPr>
        <w:pStyle w:val="FirstParagraph"/>
      </w:pPr>
      <w:r>
        <w:rPr>
          <w:b/>
          <w:bCs/>
        </w:rPr>
        <w:t xml:space="preserve">Required Format:</w:t>
      </w:r>
    </w:p>
    <w:p>
      <w:pPr>
        <w:pStyle w:val="SourceCode"/>
      </w:pPr>
      <w:r>
        <w:rPr>
          <w:rStyle w:val="FunctionTok"/>
        </w:rPr>
        <w:t xml:space="preserve">\trnref</w:t>
      </w:r>
      <w:r>
        <w:rPr>
          <w:rStyle w:val="NormalTok"/>
        </w:rPr>
        <w:t xml:space="preserve">{XX (ABBREVIATION)}</w:t>
      </w:r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XX</w:t>
      </w:r>
      <w:r>
        <w:t xml:space="preserve"> </w:t>
      </w:r>
      <w:r>
        <w:t xml:space="preserve">= Training mission number (1–28, including variants A/B/C/D)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ABBREVIATION</w:t>
      </w:r>
      <w:r>
        <w:t xml:space="preserve"> </w:t>
      </w:r>
      <w:r>
        <w:t xml:space="preserve">= Short form from this table (1–3 words)</w:t>
      </w:r>
    </w:p>
    <w:p>
      <w:pPr>
        <w:pStyle w:val="BodyText"/>
      </w:pPr>
      <w:r>
        <w:rPr>
          <w:b/>
          <w:bCs/>
        </w:rPr>
        <w:t xml:space="preserve">Examples:</w:t>
      </w:r>
    </w:p>
    <w:p>
      <w:pPr>
        <w:pStyle w:val="SourceCode"/>
      </w:pPr>
      <w:r>
        <w:rPr>
          <w:rStyle w:val="FunctionTok"/>
        </w:rPr>
        <w:t xml:space="preserve">\trnref</w:t>
      </w:r>
      <w:r>
        <w:rPr>
          <w:rStyle w:val="NormalTok"/>
        </w:rPr>
        <w:t xml:space="preserve">{1 (Ground Ops)}      </w:t>
      </w:r>
      <w:r>
        <w:rPr>
          <w:rStyle w:val="CommentTok"/>
        </w:rPr>
        <w:t xml:space="preserve">% Single mission</w:t>
      </w:r>
      <w:r>
        <w:br/>
      </w:r>
      <w:r>
        <w:rPr>
          <w:rStyle w:val="FunctionTok"/>
        </w:rPr>
        <w:t xml:space="preserve">\trnref</w:t>
      </w:r>
      <w:r>
        <w:rPr>
          <w:rStyle w:val="NormalTok"/>
        </w:rPr>
        <w:t xml:space="preserve">{4D (AAR)}            </w:t>
      </w:r>
      <w:r>
        <w:rPr>
          <w:rStyle w:val="CommentTok"/>
        </w:rPr>
        <w:t xml:space="preserve">% Mission with variant</w:t>
      </w:r>
      <w:r>
        <w:br/>
      </w:r>
      <w:r>
        <w:rPr>
          <w:rStyle w:val="FunctionTok"/>
        </w:rPr>
        <w:t xml:space="preserve">\trnref</w:t>
      </w:r>
      <w:r>
        <w:rPr>
          <w:rStyle w:val="NormalTok"/>
        </w:rPr>
        <w:t xml:space="preserve">{28 (SEAD-EW)}        </w:t>
      </w:r>
      <w:r>
        <w:rPr>
          <w:rStyle w:val="CommentTok"/>
        </w:rPr>
        <w:t xml:space="preserve">% Mission with hyphenated concept</w:t>
      </w:r>
      <w:r>
        <w:br/>
      </w:r>
      <w:r>
        <w:rPr>
          <w:rStyle w:val="FunctionTok"/>
        </w:rPr>
        <w:t xml:space="preserve">\trnref</w:t>
      </w:r>
      <w:r>
        <w:rPr>
          <w:rStyle w:val="NormalTok"/>
        </w:rPr>
        <w:t xml:space="preserve">{9 (Failures)}, </w:t>
      </w:r>
      <w:r>
        <w:rPr>
          <w:rStyle w:val="FunctionTok"/>
        </w:rPr>
        <w:t xml:space="preserve">\trnref</w:t>
      </w:r>
      <w:r>
        <w:rPr>
          <w:rStyle w:val="NormalTok"/>
        </w:rPr>
        <w:t xml:space="preserve">{28 (SEAD-EW)}  </w:t>
      </w:r>
      <w:r>
        <w:rPr>
          <w:rStyle w:val="CommentTok"/>
        </w:rPr>
        <w:t xml:space="preserve">% Multiple missions</w:t>
      </w:r>
    </w:p>
    <w:p>
      <w:r>
        <w:pict>
          <v:rect style="width:0;height:1.5pt" o:hralign="center" o:hrstd="t" o:hr="t"/>
        </w:pict>
      </w:r>
    </w:p>
    <w:bookmarkEnd w:id="12"/>
    <w:bookmarkStart w:id="13" w:name="training-mission-reference-table"/>
    <w:p>
      <w:pPr>
        <w:pStyle w:val="Heading2"/>
      </w:pPr>
      <w:r>
        <w:t xml:space="preserve">TRAINING MISSION REFERENCE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Mission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Standardized</w:t>
            </w:r>
            <w:r>
              <w:t xml:space="preserve"> </w:t>
            </w:r>
            <w:r>
              <w:t xml:space="preserve"> </w:t>
            </w: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MISSION 1: GROUND OPS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\trnref{1 (Ground Ops)}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topic: ground operations, ramp start, taxi, takeoff.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MISSION 2: BASIC NAVIGATION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\trnref{2 (Navigation)}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Navigation (INS, TACAN) is primary; "basic" is understood.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MISSION 3: LANDING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\trnref{3 (Landing)}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word sufficient; landing procedures only.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MISSION 4A: FORMATIONS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\trnref{4A (Formations)}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Formation types and procedures. Variant 4A explicit.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MISSION 4B: TACTICAL TURNS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\trnref{4B (Tactical Turns)}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Two-ship tactical turns. Keep "Tactical" for distinction.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MISSION 4C: HARTS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\trnref{4C (HARTS)}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acronym; no abbreviation needed.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MISSION 4D: AIR TO AIR REFUELING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\trnref{4D (AAR)}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Industry standard: Air-to-Air Refueling → AAR. Compact.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MISSION 5: ILS LANDING AT NIGHT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\trnref{5 (ILS Night)}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words: focus on ILS system + night environment.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MISSION 6: ILS LANDING IN BAD WEATHER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\trnref{6 (ILS Weather)}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words: ILS system + adverse weather context.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MISSION 7: FLAMEOUT LANDING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\trnref{7 (Flameout)}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word; flameout recovery is the scenario.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MISSION 8: LOW LEVEL NAVIGATION - TFR – FLIR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\trnref{8 (TFR/FLIR)}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systems: Terrain Following Radar + FLIR. Two acronyms, essential.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MISSION 9: IN-FLIGHT FAILURES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\trnref{9 (Failures)}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word; controlled failures scenario.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MISSION 10: AIR TO GROUND GENERAL PURPOSE BOMBS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\trnref{10 (GP Bombs)}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words: GP (general purpose) bombs are the weapon type.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MISSION 11: LASER GUIDED BOMBS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\trnref{11 (LGB)}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Industry standard acronym: Laser Guided Bomb → LGB.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MISSION 12: AGM-88 HARMS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\trnref{12 (HARM)}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AGM-88 is the missile; HARM is the mode. Single word.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MISSION 13: AGM-65 MAVERICKS - Basic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\trnref{13 (Maverick)}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word; AGM-65 Maverick system. "Basic" is understood from variant.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MISSION 14: AGM-65 MAVERICKS – Advanced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\trnref{14 (Maverick Advanced)}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words: clarify advanced techniques beyond Mission 13.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MISSION 15: INERTIALLY AIDED MUNITIONS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\trnref{15 (IAM)}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Industry standard acronym: Inertially Aided Munition → IAM. Single.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MISSION 16: SPICE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\trnref{16 (SPICE)}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acronym; weapon type identifier.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MISSION 17A: IR MISSILES - Intercept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\trnref{17A (IR Intercept)}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 (infrared) missiles; intercept scenario. Two words.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MISSION 17B: IFF - Intercept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\trnref{17B (IFF)}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Identification Friend/Foe; single acronym. Intercept understood.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MISSION 17C: IDM – LINK 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\trnref{17C (IDM/L16)}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systems: Intra-flight Data Link (IDM) + LINK 16. Slashed for compactness.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MISSION 18: RADAR MISSILES – BARCAP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\trnref{18 (BARCAP)}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Combat air patrol mission type. Single word acronym.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MISSION 19: GUN &amp; HMCS/AIM-9X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\trnref{19 (Gun/HMCS)}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primary topics: gun employment + Helmet Mounted Cueing System. Slashed.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MISSION 20: AGM-84A HARPOON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\trnref{20 (Harpoon)}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word; AGM-84A Harpoon missile system.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MISSION 21: NAVIGATION FLIGHT OSAN-DAEGU: Part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\trnref{21 (Nav Osan-Daegu)}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words: navigation type + route identifier.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MISSION 22: NAVIGATION FLIGHT OSAN-DAEGU: Part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\trnref{22 (Nav Osan-Daegu)}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Continuation of TRN 21; same abbreviation.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MISSION 23: CARRIER OPS - Launch (F/A-18D)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\trnref{23 (Carrier Launch)}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words: carrier operations + launch phase. F/A-18D implicit.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MISSION 24: CARRIER OPS - CASE 1 RECOVERY (F/A-18C)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\trnref{24 (Case 1 Recovery)}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words: CASE 1 recovery type. Carrier ops understood.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MISSION 25: CARRIER OPS - CASE 3 RECOVERY (F/A-18C)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\trnref{25 (Case 3 Recovery)}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words: CASE 3 recovery type (adverse weather variant of CASE 1).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MISSION 26: CARRIER OPS – VERTICAL OPS (AV-8B)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\trnref{26 (Vertical Ops)}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words: vertical takeoff/landing operations (AV-8B Harrier).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MISSION 27: JTAC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\trnref{27 (JTAC)}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acronym: Joint Tactical Air Controller. Industry standard.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MISSION 28: SEAD-EW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\trnref{28 (SEAD-EW)}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linked mission types: SEAD (Suppression Enemy Air Defense) + EW (Electronic Warfare). Keep hyphenated.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8" w:name="application-rules"/>
    <w:p>
      <w:pPr>
        <w:pStyle w:val="Heading2"/>
      </w:pPr>
      <w:r>
        <w:t xml:space="preserve">APPLICATION RULES</w:t>
      </w:r>
    </w:p>
    <w:bookmarkStart w:id="14" w:name="single-mission-reference"/>
    <w:p>
      <w:pPr>
        <w:pStyle w:val="Heading3"/>
      </w:pPr>
      <w:r>
        <w:t xml:space="preserve">Single Mission Reference</w:t>
      </w:r>
    </w:p>
    <w:p>
      <w:pPr>
        <w:pStyle w:val="SourceCode"/>
      </w:pPr>
      <w:r>
        <w:rPr>
          <w:rStyle w:val="NormalTok"/>
        </w:rPr>
        <w:t xml:space="preserve">CMDS AUTO &amp; Aft &amp; Short &amp; Enable AUTO &amp; ... &amp; </w:t>
      </w:r>
      <w:r>
        <w:rPr>
          <w:rStyle w:val="FunctionTok"/>
        </w:rPr>
        <w:t xml:space="preserve">\dashref</w:t>
      </w:r>
      <w:r>
        <w:rPr>
          <w:rStyle w:val="NormalTok"/>
        </w:rPr>
        <w:t xml:space="preserve">{2.7.2.1} &amp; </w:t>
      </w:r>
      <w:r>
        <w:rPr>
          <w:rStyle w:val="FunctionTok"/>
        </w:rPr>
        <w:t xml:space="preserve">\trnref</w:t>
      </w:r>
      <w:r>
        <w:rPr>
          <w:rStyle w:val="NormalTok"/>
        </w:rPr>
        <w:t xml:space="preserve">{28 (SEAD-EW)} </w:t>
      </w:r>
      <w:r>
        <w:rPr>
          <w:rStyle w:val="FunctionTok"/>
        </w:rPr>
        <w:t xml:space="preserve">\\</w:t>
      </w:r>
    </w:p>
    <w:bookmarkEnd w:id="14"/>
    <w:bookmarkStart w:id="15" w:name="X374781fb3c54683c5b5e64e6706aaa9f14336a7"/>
    <w:p>
      <w:pPr>
        <w:pStyle w:val="Heading3"/>
      </w:pPr>
      <w:r>
        <w:t xml:space="preserve">Multiple Mission References (Maximum 2–3 per cell)</w:t>
      </w:r>
    </w:p>
    <w:p>
      <w:pPr>
        <w:pStyle w:val="SourceCode"/>
      </w:pPr>
      <w:r>
        <w:rPr>
          <w:rStyle w:val="CommentTok"/>
        </w:rPr>
        <w:t xml:space="preserve">% Two missions:</w:t>
      </w:r>
      <w:r>
        <w:br/>
      </w:r>
      <w:r>
        <w:rPr>
          <w:rStyle w:val="NormalTok"/>
        </w:rPr>
        <w:t xml:space="preserve">ECM Pod &amp; Aft &amp; Short &amp; Enable ECM &amp; ... &amp; </w:t>
      </w:r>
      <w:r>
        <w:rPr>
          <w:rStyle w:val="FunctionTok"/>
        </w:rPr>
        <w:t xml:space="preserve">\dashref</w:t>
      </w:r>
      <w:r>
        <w:rPr>
          <w:rStyle w:val="NormalTok"/>
        </w:rPr>
        <w:t xml:space="preserve">{2.7.4.2.5} &amp; </w:t>
      </w:r>
      <w:r>
        <w:rPr>
          <w:rStyle w:val="FunctionTok"/>
        </w:rPr>
        <w:t xml:space="preserve">\trnref</w:t>
      </w:r>
      <w:r>
        <w:rPr>
          <w:rStyle w:val="NormalTok"/>
        </w:rPr>
        <w:t xml:space="preserve">{28 (SEAD-EW)}, </w:t>
      </w:r>
      <w:r>
        <w:rPr>
          <w:rStyle w:val="FunctionTok"/>
        </w:rPr>
        <w:t xml:space="preserve">\trnref</w:t>
      </w:r>
      <w:r>
        <w:rPr>
          <w:rStyle w:val="NormalTok"/>
        </w:rPr>
        <w:t xml:space="preserve">{12 (HARM)} </w:t>
      </w:r>
      <w:r>
        <w:rPr>
          <w:rStyle w:val="FunctionTok"/>
        </w:rPr>
        <w:t xml:space="preserve">\\</w:t>
      </w:r>
      <w:r>
        <w:br/>
      </w:r>
      <w:r>
        <w:br/>
      </w:r>
      <w:r>
        <w:rPr>
          <w:rStyle w:val="CommentTok"/>
        </w:rPr>
        <w:t xml:space="preserve">% Three missions:</w:t>
      </w:r>
      <w:r>
        <w:br/>
      </w:r>
      <w:r>
        <w:rPr>
          <w:rStyle w:val="NormalTok"/>
        </w:rPr>
        <w:t xml:space="preserve">CMDS MAN &amp; Up &amp; Short &amp; Execute Program &amp; ... &amp; </w:t>
      </w:r>
      <w:r>
        <w:rPr>
          <w:rStyle w:val="FunctionTok"/>
        </w:rPr>
        <w:t xml:space="preserve">\dashref</w:t>
      </w:r>
      <w:r>
        <w:rPr>
          <w:rStyle w:val="NormalTok"/>
        </w:rPr>
        <w:t xml:space="preserve">{2.7.2.2} &amp; </w:t>
      </w:r>
      <w:r>
        <w:rPr>
          <w:rStyle w:val="FunctionTok"/>
        </w:rPr>
        <w:t xml:space="preserve">\trnref</w:t>
      </w:r>
      <w:r>
        <w:rPr>
          <w:rStyle w:val="NormalTok"/>
        </w:rPr>
        <w:t xml:space="preserve">{9 (Failures)}, </w:t>
      </w:r>
      <w:r>
        <w:rPr>
          <w:rStyle w:val="FunctionTok"/>
        </w:rPr>
        <w:t xml:space="preserve">\trnref</w:t>
      </w:r>
      <w:r>
        <w:rPr>
          <w:rStyle w:val="NormalTok"/>
        </w:rPr>
        <w:t xml:space="preserve">{28 (SEAD-EW)}, </w:t>
      </w:r>
      <w:r>
        <w:rPr>
          <w:rStyle w:val="FunctionTok"/>
        </w:rPr>
        <w:t xml:space="preserve">\trnref</w:t>
      </w:r>
      <w:r>
        <w:rPr>
          <w:rStyle w:val="NormalTok"/>
        </w:rPr>
        <w:t xml:space="preserve">{12 (HARM)} </w:t>
      </w:r>
      <w:r>
        <w:rPr>
          <w:rStyle w:val="FunctionTok"/>
        </w:rPr>
        <w:t xml:space="preserve">\\</w:t>
      </w:r>
    </w:p>
    <w:bookmarkEnd w:id="15"/>
    <w:bookmarkStart w:id="16" w:name="no-direct-mission-applicable"/>
    <w:p>
      <w:pPr>
        <w:pStyle w:val="Heading3"/>
      </w:pPr>
      <w:r>
        <w:t xml:space="preserve">No Direct Mission Applicable</w:t>
      </w:r>
    </w:p>
    <w:p>
      <w:pPr>
        <w:pStyle w:val="SourceCode"/>
      </w:pPr>
      <w:r>
        <w:rPr>
          <w:rStyle w:val="CommentTok"/>
        </w:rPr>
        <w:t xml:space="preserve">% Option 1: Leave blank</w:t>
      </w:r>
      <w:r>
        <w:br/>
      </w:r>
      <w:r>
        <w:rPr>
          <w:rStyle w:val="NormalTok"/>
        </w:rPr>
        <w:t xml:space="preserve">TMS Up &amp; Short &amp; ... &amp; Designate target &amp; ... &amp; </w:t>
      </w:r>
      <w:r>
        <w:rPr>
          <w:rStyle w:val="FunctionTok"/>
        </w:rPr>
        <w:t xml:space="preserve">\dashref</w:t>
      </w:r>
      <w:r>
        <w:rPr>
          <w:rStyle w:val="NormalTok"/>
        </w:rPr>
        <w:t xml:space="preserve">{...} &amp;  </w:t>
      </w:r>
      <w:r>
        <w:rPr>
          <w:rStyle w:val="FunctionTok"/>
        </w:rPr>
        <w:t xml:space="preserve">\\</w:t>
      </w:r>
      <w:r>
        <w:br/>
      </w:r>
      <w:r>
        <w:br/>
      </w:r>
      <w:r>
        <w:rPr>
          <w:rStyle w:val="CommentTok"/>
        </w:rPr>
        <w:t xml:space="preserve">% Option 2: Mention closest mission in Effect/Nuance column</w:t>
      </w:r>
      <w:r>
        <w:br/>
      </w:r>
      <w:r>
        <w:rPr>
          <w:rStyle w:val="NormalTok"/>
        </w:rPr>
        <w:t xml:space="preserve">TMS Up &amp; Short &amp; ... &amp; Designate target &amp; Applicable in air-to-air contexts; see TRN 18 (BARCAP) &amp; </w:t>
      </w:r>
      <w:r>
        <w:rPr>
          <w:rStyle w:val="FunctionTok"/>
        </w:rPr>
        <w:t xml:space="preserve">\dashref</w:t>
      </w:r>
      <w:r>
        <w:rPr>
          <w:rStyle w:val="NormalTok"/>
        </w:rPr>
        <w:t xml:space="preserve">{...} &amp;  </w:t>
      </w:r>
      <w:r>
        <w:rPr>
          <w:rStyle w:val="FunctionTok"/>
        </w:rPr>
        <w:t xml:space="preserve">\\</w:t>
      </w:r>
    </w:p>
    <w:bookmarkEnd w:id="16"/>
    <w:bookmarkStart w:id="17" w:name="variant-missions-always-include-letter"/>
    <w:p>
      <w:pPr>
        <w:pStyle w:val="Heading3"/>
      </w:pPr>
      <w:r>
        <w:t xml:space="preserve">Variant Missions (Always Include Letter)</w:t>
      </w:r>
    </w:p>
    <w:p>
      <w:pPr>
        <w:pStyle w:val="SourceCode"/>
      </w:pPr>
      <w:r>
        <w:rPr>
          <w:rStyle w:val="CommentTok"/>
        </w:rPr>
        <w:t xml:space="preserve">% Correct:</w:t>
      </w:r>
      <w:r>
        <w:br/>
      </w:r>
      <w:r>
        <w:rPr>
          <w:rStyle w:val="FunctionTok"/>
        </w:rPr>
        <w:t xml:space="preserve">\trnref</w:t>
      </w:r>
      <w:r>
        <w:rPr>
          <w:rStyle w:val="NormalTok"/>
        </w:rPr>
        <w:t xml:space="preserve">{4A (Formations)}    ✅</w:t>
      </w:r>
      <w:r>
        <w:br/>
      </w:r>
      <w:r>
        <w:rPr>
          <w:rStyle w:val="FunctionTok"/>
        </w:rPr>
        <w:t xml:space="preserve">\trnref</w:t>
      </w:r>
      <w:r>
        <w:rPr>
          <w:rStyle w:val="NormalTok"/>
        </w:rPr>
        <w:t xml:space="preserve">{17B (IFF)}          ✅</w:t>
      </w:r>
      <w:r>
        <w:br/>
      </w:r>
      <w:r>
        <w:br/>
      </w:r>
      <w:r>
        <w:rPr>
          <w:rStyle w:val="CommentTok"/>
        </w:rPr>
        <w:t xml:space="preserve">% Incorrect:</w:t>
      </w:r>
      <w:r>
        <w:br/>
      </w:r>
      <w:r>
        <w:rPr>
          <w:rStyle w:val="FunctionTok"/>
        </w:rPr>
        <w:t xml:space="preserve">\trnref</w:t>
      </w:r>
      <w:r>
        <w:rPr>
          <w:rStyle w:val="NormalTok"/>
        </w:rPr>
        <w:t xml:space="preserve">{4 (Formations)}     ❌ Missing variant</w:t>
      </w:r>
      <w:r>
        <w:br/>
      </w:r>
      <w:r>
        <w:rPr>
          <w:rStyle w:val="FunctionTok"/>
        </w:rPr>
        <w:t xml:space="preserve">\trnref</w:t>
      </w:r>
      <w:r>
        <w:rPr>
          <w:rStyle w:val="NormalTok"/>
        </w:rPr>
        <w:t xml:space="preserve">{17 (IFF)}           ❌ Missing variant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integration-with-hotas-tables"/>
    <w:p>
      <w:pPr>
        <w:pStyle w:val="Heading2"/>
      </w:pPr>
      <w:r>
        <w:t xml:space="preserve">INTEGRATION WITH HOTAS TABLES</w:t>
      </w:r>
    </w:p>
    <w:p>
      <w:pPr>
        <w:pStyle w:val="FirstParagraph"/>
      </w:pPr>
      <w:r>
        <w:t xml:space="preserve">The Train column in all</w:t>
      </w:r>
      <w:r>
        <w:t xml:space="preserve"> </w:t>
      </w:r>
      <w:r>
        <w:rPr>
          <w:rStyle w:val="VerbatimChar"/>
        </w:rPr>
        <w:t xml:space="preserve">hotastable</w:t>
      </w:r>
      <w:r>
        <w:t xml:space="preserve"> </w:t>
      </w:r>
      <w:r>
        <w:t xml:space="preserve">environments shall use this table exclusively.</w:t>
      </w:r>
    </w:p>
    <w:p>
      <w:pPr>
        <w:pStyle w:val="BodyText"/>
      </w:pPr>
      <w:r>
        <w:rPr>
          <w:b/>
          <w:bCs/>
        </w:rPr>
        <w:t xml:space="preserve">Column Specifications (from briefing-v0.2.0.0.md, Section 4.2):</w:t>
      </w: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Column 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 cm (architecture-locked)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Font Size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\small</w:t>
            </w:r>
            <w:r>
              <w:t xml:space="preserve"> </w:t>
            </w:r>
            <w:r>
              <w:t xml:space="preserve">(10 pt)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Row Height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\arraystretch = 1.25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Maximum Entries Per 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2–3 missions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Separator (Multiple Entries)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 + space (</w:t>
            </w:r>
            <w:r>
              <w:rPr>
                <w:rStyle w:val="VerbatimChar"/>
              </w:rPr>
              <w:t xml:space="preserve">,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4" w:name="special-cases-and-conventions"/>
    <w:p>
      <w:pPr>
        <w:pStyle w:val="Heading2"/>
      </w:pPr>
      <w:r>
        <w:t xml:space="preserve">SPECIAL CASES AND CONVENTIONS</w:t>
      </w:r>
    </w:p>
    <w:bookmarkStart w:id="20" w:name="X8da9cf1fb5377b0143ec1f73ad4c486af97454f"/>
    <w:p>
      <w:pPr>
        <w:pStyle w:val="Heading3"/>
      </w:pPr>
      <w:r>
        <w:t xml:space="preserve">Missions with Variants (4A, 4B, 4C, 4D, 17A, 17B, 17C)</w:t>
      </w:r>
    </w:p>
    <w:p>
      <w:pPr>
        <w:pStyle w:val="FirstParagraph"/>
      </w:pPr>
      <w:r>
        <w:t xml:space="preserve">Variant letters are</w:t>
      </w:r>
      <w:r>
        <w:t xml:space="preserve"> </w:t>
      </w:r>
      <w:r>
        <w:rPr>
          <w:b/>
          <w:bCs/>
        </w:rPr>
        <w:t xml:space="preserve">required</w:t>
      </w:r>
      <w:r>
        <w:t xml:space="preserve"> </w:t>
      </w:r>
      <w:r>
        <w:t xml:space="preserve">in all references. These represent distinct missions in the training progression and must not be omitted or consolidated.</w:t>
      </w:r>
    </w:p>
    <w:bookmarkEnd w:id="20"/>
    <w:bookmarkStart w:id="21" w:name="two-part-continuous-missions-21-22"/>
    <w:p>
      <w:pPr>
        <w:pStyle w:val="Heading3"/>
      </w:pPr>
      <w:r>
        <w:t xml:space="preserve">Two-Part Continuous Missions (21 &amp; 22)</w:t>
      </w:r>
    </w:p>
    <w:p>
      <w:pPr>
        <w:pStyle w:val="FirstParagraph"/>
      </w:pPr>
      <w:r>
        <w:t xml:space="preserve">Missions 21 and 22 form a continuous navigation flight (Osan-Daegu, Part 1 and Part 2). Both use the same abbreviation (</w:t>
      </w:r>
      <w:r>
        <w:rPr>
          <w:rStyle w:val="VerbatimChar"/>
        </w:rPr>
        <w:t xml:space="preserve">\trnref{21 (Nav Osan-Daegu)}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\trnref{22 (Nav Osan-Daegu)}</w:t>
      </w:r>
      <w:r>
        <w:t xml:space="preserve">) to indicate progression and continuity.</w:t>
      </w:r>
    </w:p>
    <w:bookmarkEnd w:id="21"/>
    <w:bookmarkStart w:id="22" w:name="carrier-operations-missions-2326"/>
    <w:p>
      <w:pPr>
        <w:pStyle w:val="Heading3"/>
      </w:pPr>
      <w:r>
        <w:t xml:space="preserve">Carrier Operations Missions (23–26)</w:t>
      </w:r>
    </w:p>
    <w:p>
      <w:pPr>
        <w:pStyle w:val="FirstParagraph"/>
      </w:pPr>
      <w:r>
        <w:t xml:space="preserve">Each carrier operations mission represents a distinct phase and aircraft type:</w:t>
      </w:r>
      <w:r>
        <w:t xml:space="preserve"> </w:t>
      </w:r>
      <w:r>
        <w:t xml:space="preserve">- TRN 23: Carrier launch (F/A-18D)</w:t>
      </w:r>
      <w:r>
        <w:t xml:space="preserve"> </w:t>
      </w:r>
      <w:r>
        <w:t xml:space="preserve">- TRN 24: CASE 1 recovery (F/A-18C)</w:t>
      </w:r>
      <w:r>
        <w:t xml:space="preserve"> </w:t>
      </w:r>
      <w:r>
        <w:t xml:space="preserve">- TRN 25: CASE 3 recovery (F/A-18C)</w:t>
      </w:r>
      <w:r>
        <w:t xml:space="preserve"> </w:t>
      </w:r>
      <w:r>
        <w:t xml:space="preserve">- TRN 26: Vertical operations (AV-8B)</w:t>
      </w:r>
    </w:p>
    <w:p>
      <w:pPr>
        <w:pStyle w:val="BodyText"/>
      </w:pPr>
      <w:r>
        <w:t xml:space="preserve">Abbreviations emphasize the</w:t>
      </w:r>
      <w:r>
        <w:t xml:space="preserve"> </w:t>
      </w:r>
      <w:r>
        <w:rPr>
          <w:b/>
          <w:bCs/>
        </w:rPr>
        <w:t xml:space="preserve">operational difference</w:t>
      </w:r>
      <w:r>
        <w:t xml:space="preserve">. Aircraft type is implicit in table context and not repeated in the abbreviation.</w:t>
      </w:r>
    </w:p>
    <w:bookmarkEnd w:id="22"/>
    <w:bookmarkStart w:id="23" w:name="hyphenated-concepts-trn-8-trn-19-trn-28"/>
    <w:p>
      <w:pPr>
        <w:pStyle w:val="Heading3"/>
      </w:pPr>
      <w:r>
        <w:t xml:space="preserve">Hyphenated Concepts (TRN 8, TRN 19, TRN 28)</w:t>
      </w:r>
    </w:p>
    <w:p>
      <w:pPr>
        <w:pStyle w:val="FirstParagraph"/>
      </w:pPr>
      <w:r>
        <w:t xml:space="preserve">Missions covering</w:t>
      </w:r>
      <w:r>
        <w:t xml:space="preserve"> </w:t>
      </w:r>
      <w:r>
        <w:rPr>
          <w:b/>
          <w:bCs/>
        </w:rPr>
        <w:t xml:space="preserve">two linked systems or concepts</w:t>
      </w:r>
      <w:r>
        <w:t xml:space="preserve"> </w:t>
      </w:r>
      <w:r>
        <w:t xml:space="preserve">use slashed notation (e.g.,</w:t>
      </w:r>
      <w:r>
        <w:t xml:space="preserve"> </w:t>
      </w:r>
      <w:r>
        <w:rPr>
          <w:rStyle w:val="VerbatimChar"/>
        </w:rPr>
        <w:t xml:space="preserve">TFR/FLIR</w:t>
      </w:r>
      <w:r>
        <w:t xml:space="preserve">,</w:t>
      </w:r>
      <w:r>
        <w:t xml:space="preserve"> </w:t>
      </w:r>
      <w:r>
        <w:rPr>
          <w:rStyle w:val="VerbatimChar"/>
        </w:rPr>
        <w:t xml:space="preserve">Gun/HMCS</w:t>
      </w:r>
      <w:r>
        <w:t xml:space="preserve">,</w:t>
      </w:r>
      <w:r>
        <w:t xml:space="preserve"> </w:t>
      </w:r>
      <w:r>
        <w:rPr>
          <w:rStyle w:val="VerbatimChar"/>
        </w:rPr>
        <w:t xml:space="preserve">SEAD-EW</w:t>
      </w:r>
      <w:r>
        <w:t xml:space="preserve">) to indicate integration or dual focus. These are treated as single, unified abbreviations, not separate references.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document-control"/>
    <w:p>
      <w:pPr>
        <w:pStyle w:val="Heading2"/>
      </w:pPr>
      <w:r>
        <w:t xml:space="preserve">DOCUMENT CONTROL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Jan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release. All 28 documented missions from BMS Training Manual 4.38.1 included. Abbreviations validated against column width constraints and approved for integration into project governing documents.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Author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conformance"/>
    <w:p>
      <w:pPr>
        <w:pStyle w:val="Heading2"/>
      </w:pPr>
      <w:r>
        <w:t xml:space="preserve">CONFORMANCE</w:t>
      </w:r>
    </w:p>
    <w:p>
      <w:pPr>
        <w:pStyle w:val="FirstParagraph"/>
      </w:pPr>
      <w:r>
        <w:t xml:space="preserve">All future WIP files (section-C</w:t>
      </w:r>
      <w:r>
        <w:rPr>
          <w:i/>
          <w:iCs/>
        </w:rPr>
        <w:t xml:space="preserve">-S</w:t>
      </w:r>
      <w:r>
        <w:t xml:space="preserve">.tex) that populate HOTAS tables must conform to the abbreviations and format specified in this document.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Reference:</w:t>
      </w:r>
      <w:r>
        <w:t xml:space="preserve"> </w:t>
      </w:r>
      <w:r>
        <w:t xml:space="preserve">training-mission-abbrev-table.md</w:t>
      </w:r>
      <w:r>
        <w:br/>
      </w:r>
      <w:r>
        <w:rPr>
          <w:b/>
          <w:bCs/>
        </w:rPr>
        <w:t xml:space="preserve">Project:</w:t>
      </w:r>
      <w:r>
        <w:t xml:space="preserve"> </w:t>
      </w:r>
      <w:r>
        <w:t xml:space="preserve">TMS/DMS/CMS Usage Guide</w:t>
      </w:r>
      <w:r>
        <w:br/>
      </w:r>
      <w:r>
        <w:rPr>
          <w:b/>
          <w:bCs/>
        </w:rPr>
        <w:t xml:space="preserve">Author:</w:t>
      </w:r>
      <w:r>
        <w:t xml:space="preserve"> </w:t>
      </w:r>
      <w:r>
        <w:t xml:space="preserve">Carlos "Metal" Nader (Project Author)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2026-01-10T02:50:23Z</dcterms:created>
  <dcterms:modified xsi:type="dcterms:W3CDTF">2026-01-10T02:50:23Z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