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e19e3414c9769a4f040d8cf47cd52df919853a5"/>
    <w:p>
      <w:pPr>
        <w:pStyle w:val="Heading1"/>
      </w:pPr>
      <w:r>
        <w:t xml:space="preserve">Falcon BMS TMS/DMS/CMS Guide — Chapter 4 (DMS) Unified Blueprint v1.1</w:t>
      </w:r>
    </w:p>
    <w:p>
      <w:pPr>
        <w:pStyle w:val="FirstParagraph"/>
      </w:pPr>
      <w:r>
        <w:rPr>
          <w:b/>
          <w:bCs/>
        </w:rPr>
        <w:t xml:space="preserve">Date:</w:t>
      </w:r>
      <w:r>
        <w:t xml:space="preserve"> </w:t>
      </w:r>
      <w:r>
        <w:t xml:space="preserve">15 January 2026, ~02:06 -03</w:t>
      </w:r>
      <w:r>
        <w:br/>
      </w:r>
      <w:r>
        <w:rPr>
          <w:b/>
          <w:bCs/>
        </w:rPr>
        <w:t xml:space="preserve">Status:</w:t>
      </w:r>
      <w:r>
        <w:t xml:space="preserve"> </w:t>
      </w:r>
      <w:r>
        <w:t xml:space="preserve">Unified, updated blueprint (supersedes</w:t>
      </w:r>
      <w:r>
        <w:t xml:space="preserve"> </w:t>
      </w:r>
      <w:r>
        <w:rPr>
          <w:rStyle w:val="VerbatimChar"/>
        </w:rPr>
        <w:t xml:space="preserve">Chapter-4-DMS-Complete-Blueprint.md</w:t>
      </w:r>
      <w:r>
        <w:t xml:space="preserve"> </w:t>
      </w:r>
      <w:r>
        <w:t xml:space="preserve">and</w:t>
      </w:r>
      <w:r>
        <w:t xml:space="preserve"> </w:t>
      </w:r>
      <w:r>
        <w:rPr>
          <w:rStyle w:val="VerbatimChar"/>
        </w:rPr>
        <w:t xml:space="preserve">blueprint-C4-incremental.md</w:t>
      </w:r>
      <w:r>
        <w:t xml:space="preserve">)</w:t>
      </w:r>
      <w:r>
        <w:br/>
      </w:r>
      <w:r>
        <w:rPr>
          <w:b/>
          <w:bCs/>
        </w:rPr>
        <w:t xml:space="preserve">Version:</w:t>
      </w:r>
      <w:r>
        <w:t xml:space="preserve"> </w:t>
      </w:r>
      <w:r>
        <w:t xml:space="preserve">1.1</w:t>
      </w:r>
      <w:r>
        <w:br/>
      </w:r>
      <w:r>
        <w:rPr>
          <w:b/>
          <w:bCs/>
        </w:rPr>
        <w:t xml:space="preserve">Based on:</w:t>
      </w:r>
      <w:r>
        <w:t xml:space="preserve"> </w:t>
      </w:r>
      <w:r>
        <w:t xml:space="preserve">Dash-34 (§2.1.1.2.3, §2.1.5, §2.1.6, §2.1.7.5.x, §2.5.6.x), C4‑S1 final, C4‑S2 DMS Up final, deprecated C4‑S2 (Up/Down), deprecated C4‑S3 (format cycling)</w:t>
      </w:r>
    </w:p>
    <w:p>
      <w:r>
        <w:pict>
          <v:rect style="width:0;height:1.5pt" o:hralign="center" o:hrstd="t" o:hr="t"/>
        </w:pict>
      </w:r>
    </w:p>
    <w:bookmarkStart w:id="9" w:name="purpose-of-this-blueprint"/>
    <w:p>
      <w:pPr>
        <w:pStyle w:val="Heading2"/>
      </w:pPr>
      <w:r>
        <w:t xml:space="preserve">0. Purpose of This Blueprint</w:t>
      </w:r>
    </w:p>
    <w:p>
      <w:pPr>
        <w:pStyle w:val="FirstParagraph"/>
      </w:pPr>
      <w:r>
        <w:t xml:space="preserve">This document is the</w:t>
      </w:r>
      <w:r>
        <w:t xml:space="preserve"> </w:t>
      </w:r>
      <w:r>
        <w:rPr>
          <w:b/>
          <w:bCs/>
        </w:rPr>
        <w:t xml:space="preserve">single, authoritative blueprint</w:t>
      </w:r>
      <w:r>
        <w:t xml:space="preserve"> </w:t>
      </w:r>
      <w:r>
        <w:t xml:space="preserve">for</w:t>
      </w:r>
      <w:r>
        <w:t xml:space="preserve"> </w:t>
      </w:r>
      <w:r>
        <w:rPr>
          <w:b/>
          <w:bCs/>
        </w:rPr>
        <w:t xml:space="preserve">Chapter 4 (DMS)</w:t>
      </w:r>
      <w:r>
        <w:t xml:space="preserve"> </w:t>
      </w:r>
      <w:r>
        <w:t xml:space="preserve">of the Falcon BMS TMS/DMS/CMS Usage Guide. It:</w:t>
      </w:r>
    </w:p>
    <w:p>
      <w:pPr>
        <w:pStyle w:val="Compact"/>
        <w:numPr>
          <w:ilvl w:val="0"/>
          <w:numId w:val="1001"/>
        </w:numPr>
      </w:pPr>
      <w:r>
        <w:t xml:space="preserve">Defines the</w:t>
      </w:r>
      <w:r>
        <w:t xml:space="preserve"> </w:t>
      </w:r>
      <w:r>
        <w:rPr>
          <w:b/>
          <w:bCs/>
        </w:rPr>
        <w:t xml:space="preserve">final structure</w:t>
      </w:r>
      <w:r>
        <w:t xml:space="preserve"> </w:t>
      </w:r>
      <w:r>
        <w:t xml:space="preserve">of Chapter 4 (sections and subsections).</w:t>
      </w:r>
      <w:r>
        <w:br/>
      </w:r>
    </w:p>
    <w:p>
      <w:pPr>
        <w:pStyle w:val="Compact"/>
        <w:numPr>
          <w:ilvl w:val="0"/>
          <w:numId w:val="1001"/>
        </w:numPr>
      </w:pPr>
      <w:r>
        <w:t xml:space="preserve">Documents the</w:t>
      </w:r>
      <w:r>
        <w:t xml:space="preserve"> </w:t>
      </w:r>
      <w:r>
        <w:rPr>
          <w:b/>
          <w:bCs/>
        </w:rPr>
        <w:t xml:space="preserve">current implementation status</w:t>
      </w:r>
      <w:r>
        <w:t xml:space="preserve"> </w:t>
      </w:r>
      <w:r>
        <w:t xml:space="preserve">of each section (final / review / TODO).</w:t>
      </w:r>
      <w:r>
        <w:br/>
      </w:r>
    </w:p>
    <w:p>
      <w:pPr>
        <w:pStyle w:val="Compact"/>
        <w:numPr>
          <w:ilvl w:val="0"/>
          <w:numId w:val="1001"/>
        </w:numPr>
      </w:pPr>
      <w:r>
        <w:t xml:space="preserve">Consolidates content decisions from the previous</w:t>
      </w:r>
      <w:r>
        <w:t xml:space="preserve"> </w:t>
      </w:r>
      <w:r>
        <w:rPr>
          <w:b/>
          <w:bCs/>
        </w:rPr>
        <w:t xml:space="preserve">full blueprint</w:t>
      </w:r>
      <w:r>
        <w:t xml:space="preserve"> </w:t>
      </w:r>
      <w:r>
        <w:t xml:space="preserve">and the</w:t>
      </w:r>
      <w:r>
        <w:t xml:space="preserve"> </w:t>
      </w:r>
      <w:r>
        <w:rPr>
          <w:b/>
          <w:bCs/>
        </w:rPr>
        <w:t xml:space="preserve">incremental blueprint</w:t>
      </w:r>
      <w:r>
        <w:t xml:space="preserve">, removing contradictions.</w:t>
      </w:r>
      <w:r>
        <w:br/>
      </w:r>
    </w:p>
    <w:p>
      <w:pPr>
        <w:pStyle w:val="Compact"/>
        <w:numPr>
          <w:ilvl w:val="0"/>
          <w:numId w:val="1001"/>
        </w:numPr>
      </w:pPr>
      <w:r>
        <w:t xml:space="preserve">Guides all future work on DMS (including new WIP files and integration into</w:t>
      </w:r>
      <w:r>
        <w:t xml:space="preserve"> </w:t>
      </w:r>
      <w:r>
        <w:rPr>
          <w:rStyle w:val="VerbatimChar"/>
        </w:rPr>
        <w:t xml:space="preserve">guide.tex</w:t>
      </w:r>
      <w:r>
        <w:t xml:space="preserve">).</w:t>
      </w:r>
    </w:p>
    <w:p>
      <w:pPr>
        <w:pStyle w:val="FirstParagraph"/>
      </w:pPr>
      <w:r>
        <w:t xml:space="preserve">This blueprint is written so that a future AI session can join the project mid‑stream and immediately know:</w:t>
      </w:r>
    </w:p>
    <w:p>
      <w:pPr>
        <w:pStyle w:val="Compact"/>
        <w:numPr>
          <w:ilvl w:val="0"/>
          <w:numId w:val="1002"/>
        </w:numPr>
      </w:pPr>
      <w:r>
        <w:t xml:space="preserve">What Chapter 4 must contain.</w:t>
      </w:r>
      <w:r>
        <w:br/>
      </w:r>
    </w:p>
    <w:p>
      <w:pPr>
        <w:pStyle w:val="Compact"/>
        <w:numPr>
          <w:ilvl w:val="0"/>
          <w:numId w:val="1002"/>
        </w:numPr>
      </w:pPr>
      <w:r>
        <w:t xml:space="preserve">What already exists in final/review WIP files.</w:t>
      </w:r>
      <w:r>
        <w:br/>
      </w:r>
    </w:p>
    <w:p>
      <w:pPr>
        <w:pStyle w:val="Compact"/>
        <w:numPr>
          <w:ilvl w:val="0"/>
          <w:numId w:val="1002"/>
        </w:numPr>
      </w:pPr>
      <w:r>
        <w:t xml:space="preserve">What remains to be written or refactored.</w:t>
      </w:r>
    </w:p>
    <w:p>
      <w:r>
        <w:pict>
          <v:rect style="width:0;height:1.5pt" o:hralign="center" o:hrstd="t" o:hr="t"/>
        </w:pict>
      </w:r>
    </w:p>
    <w:bookmarkEnd w:id="9"/>
    <w:bookmarkStart w:id="13" w:name="final-chapter-4-structure"/>
    <w:p>
      <w:pPr>
        <w:pStyle w:val="Heading2"/>
      </w:pPr>
      <w:r>
        <w:t xml:space="preserve">1. Final Chapter 4 Structure</w:t>
      </w:r>
    </w:p>
    <w:bookmarkStart w:id="10" w:name="dms-display-management-switch"/>
    <w:p>
      <w:pPr>
        <w:pStyle w:val="Heading3"/>
      </w:pPr>
      <w:r>
        <w:t xml:space="preserve">4 DMS — Display Management Switch</w:t>
      </w:r>
    </w:p>
    <w:p>
      <w:pPr>
        <w:pStyle w:val="FirstParagraph"/>
      </w:pPr>
      <w:r>
        <w:t xml:space="preserve">Chapter 4 is organised in two main parts:</w:t>
      </w:r>
    </w:p>
    <w:p>
      <w:pPr>
        <w:pStyle w:val="Compact"/>
        <w:numPr>
          <w:ilvl w:val="0"/>
          <w:numId w:val="1003"/>
        </w:numPr>
      </w:pPr>
      <w:r>
        <w:rPr>
          <w:b/>
          <w:bCs/>
        </w:rPr>
        <w:t xml:space="preserve">4.1 Concept and Sensor of Interest (SOI)</w:t>
      </w:r>
      <w:r>
        <w:t xml:space="preserve"> </w:t>
      </w:r>
      <w:r>
        <w:t xml:space="preserve">— conceptual foundation and architecture.</w:t>
      </w:r>
      <w:r>
        <w:br/>
      </w:r>
    </w:p>
    <w:p>
      <w:pPr>
        <w:pStyle w:val="Compact"/>
        <w:numPr>
          <w:ilvl w:val="0"/>
          <w:numId w:val="1003"/>
        </w:numPr>
      </w:pPr>
      <w:r>
        <w:rPr>
          <w:b/>
          <w:bCs/>
        </w:rPr>
        <w:t xml:space="preserve">4.2 DMS Switch Actuation</w:t>
      </w:r>
      <w:r>
        <w:t xml:space="preserve"> </w:t>
      </w:r>
      <w:r>
        <w:t xml:space="preserve">— direction‑based behaviour (Up, Down, Left/Right) and master‑mode constraints.</w:t>
      </w:r>
    </w:p>
    <w:p>
      <w:pPr>
        <w:pStyle w:val="FirstParagraph"/>
      </w:pPr>
      <w:r>
        <w:t xml:space="preserve">There is</w:t>
      </w:r>
      <w:r>
        <w:t xml:space="preserve"> </w:t>
      </w:r>
      <w:r>
        <w:rPr>
          <w:b/>
          <w:bCs/>
        </w:rPr>
        <w:t xml:space="preserve">no separate block/variant section</w:t>
      </w:r>
      <w:r>
        <w:t xml:space="preserve"> </w:t>
      </w:r>
      <w:r>
        <w:t xml:space="preserve">and</w:t>
      </w:r>
      <w:r>
        <w:t xml:space="preserve"> </w:t>
      </w:r>
      <w:r>
        <w:rPr>
          <w:b/>
          <w:bCs/>
        </w:rPr>
        <w:t xml:space="preserve">no long integration section with TMS</w:t>
      </w:r>
      <w:r>
        <w:t xml:space="preserve"> </w:t>
      </w:r>
      <w:r>
        <w:t xml:space="preserve">inside Chapter 4. Block/variant identity is addressed once in 4.1; TMS/DMS integration is handled briefly inside each relevant subsection and in Chapter 3 (TMS) where weapon‑specific flows belong.</w:t>
      </w:r>
    </w:p>
    <w:p>
      <w:r>
        <w:pict>
          <v:rect style="width:0;height:1.5pt" o:hralign="center" o:hrstd="t" o:hr="t"/>
        </w:pict>
      </w:r>
    </w:p>
    <w:bookmarkEnd w:id="10"/>
    <w:bookmarkStart w:id="11" w:name="concept-and-sensor-of-interest-soi"/>
    <w:p>
      <w:pPr>
        <w:pStyle w:val="Heading3"/>
      </w:pPr>
      <w:r>
        <w:t xml:space="preserve">4.1 Concept and Sensor of Interest (SOI)</w:t>
      </w:r>
    </w:p>
    <w:p>
      <w:pPr>
        <w:pStyle w:val="FirstParagraph"/>
      </w:pPr>
      <w:r>
        <w:rPr>
          <w:b/>
          <w:bCs/>
        </w:rPr>
        <w:t xml:space="preserve">Current implementation:</w:t>
      </w:r>
      <w:r>
        <w:t xml:space="preserve"> </w:t>
      </w:r>
      <w:r>
        <w:rPr>
          <w:rStyle w:val="VerbatimChar"/>
        </w:rPr>
        <w:t xml:space="preserve">section-C4-S1-concept-soi-final-2026-01-14.tex</w:t>
      </w:r>
      <w:r>
        <w:t xml:space="preserve"> </w:t>
      </w:r>
      <w:r>
        <w:t xml:space="preserve">(FINAL, integration pending in</w:t>
      </w:r>
      <w:r>
        <w:t xml:space="preserve"> </w:t>
      </w:r>
      <w:r>
        <w:rPr>
          <w:rStyle w:val="VerbatimChar"/>
        </w:rPr>
        <w:t xml:space="preserve">guide.tex</w:t>
      </w:r>
      <w:r>
        <w:t xml:space="preserve">).</w:t>
      </w:r>
    </w:p>
    <w:p>
      <w:pPr>
        <w:pStyle w:val="BodyText"/>
      </w:pPr>
      <w:r>
        <w:rPr>
          <w:b/>
          <w:bCs/>
        </w:rPr>
        <w:t xml:space="preserve">Status:</w:t>
      </w:r>
      <w:r>
        <w:t xml:space="preserve"> </w:t>
      </w:r>
      <w:r>
        <w:t xml:space="preserve">- ✅ Narrative complete and approved.</w:t>
      </w:r>
      <w:r>
        <w:br/>
      </w:r>
      <w:r>
        <w:t xml:space="preserve">- ✅ Structure and labels aligned with this blueprint.</w:t>
      </w:r>
      <w:r>
        <w:br/>
      </w:r>
      <w:r>
        <w:t xml:space="preserve">- 🔄 Only remaining task: integrate into</w:t>
      </w:r>
      <w:r>
        <w:t xml:space="preserve"> </w:t>
      </w:r>
      <w:r>
        <w:rPr>
          <w:rStyle w:val="VerbatimChar"/>
        </w:rPr>
        <w:t xml:space="preserve">guide.tex</w:t>
      </w:r>
      <w:r>
        <w:t xml:space="preserve"> </w:t>
      </w:r>
      <w:r>
        <w:t xml:space="preserve">and mark as ARCHIVE</w:t>
      </w:r>
      <w:r>
        <w:t xml:space="preserve"> </w:t>
      </w:r>
      <w:r>
        <w:rPr>
          <w:rStyle w:val="VerbatimChar"/>
        </w:rPr>
        <w:t xml:space="preserve">...-approved-...</w:t>
      </w:r>
      <w:r>
        <w:t xml:space="preserve"> </w:t>
      </w:r>
      <w:r>
        <w:t xml:space="preserve">if desired.</w:t>
      </w:r>
    </w:p>
    <w:p>
      <w:pPr>
        <w:pStyle w:val="BodyText"/>
      </w:pPr>
      <w:r>
        <w:rPr>
          <w:b/>
          <w:bCs/>
        </w:rPr>
        <w:t xml:space="preserve">Structure:</w:t>
      </w:r>
    </w:p>
    <w:p>
      <w:pPr>
        <w:pStyle w:val="SourceCode"/>
      </w:pPr>
      <w:r>
        <w:rPr>
          <w:rStyle w:val="VerbatimChar"/>
        </w:rPr>
        <w:t xml:space="preserve">4.1 Concept and Sensor of Interest (SOI)</w:t>
      </w:r>
      <w:r>
        <w:br/>
      </w:r>
      <w:r>
        <w:rPr>
          <w:rStyle w:val="VerbatimChar"/>
        </w:rPr>
        <w:t xml:space="preserve">  4.1.1 SOI Definition and Scope Across Displays</w:t>
      </w:r>
      <w:r>
        <w:br/>
      </w:r>
      <w:r>
        <w:rPr>
          <w:rStyle w:val="VerbatimChar"/>
        </w:rPr>
        <w:t xml:space="preserve">  4.1.2 Role of the DMS in SOI Selection</w:t>
      </w:r>
      <w:r>
        <w:br/>
      </w:r>
      <w:r>
        <w:rPr>
          <w:rStyle w:val="VerbatimChar"/>
        </w:rPr>
        <w:t xml:space="preserve">  4.1.3 HUD as SOI in A-A and HMCS Capabilities</w:t>
      </w:r>
    </w:p>
    <w:p>
      <w:pPr>
        <w:pStyle w:val="FirstParagraph"/>
      </w:pPr>
      <w:r>
        <w:rPr>
          <w:b/>
          <w:bCs/>
        </w:rPr>
        <w:t xml:space="preserve">4.1.1 SOI Definition and Scope Across Displays</w:t>
      </w:r>
    </w:p>
    <w:p>
      <w:pPr>
        <w:pStyle w:val="Compact"/>
        <w:numPr>
          <w:ilvl w:val="0"/>
          <w:numId w:val="1004"/>
        </w:numPr>
      </w:pPr>
      <w:r>
        <w:t xml:space="preserve">Defines Sensor of Interest (SOI) as the</w:t>
      </w:r>
      <w:r>
        <w:t xml:space="preserve"> </w:t>
      </w:r>
      <w:r>
        <w:rPr>
          <w:b/>
          <w:bCs/>
        </w:rPr>
        <w:t xml:space="preserve">single display/sensor that receives SOI‑dependent HOTAS inputs</w:t>
      </w:r>
      <w:r>
        <w:t xml:space="preserve"> </w:t>
      </w:r>
      <w:r>
        <w:t xml:space="preserve">(cursor slew, TMS actions, etc.).</w:t>
      </w:r>
    </w:p>
    <w:p>
      <w:pPr>
        <w:pStyle w:val="Compact"/>
        <w:numPr>
          <w:ilvl w:val="0"/>
          <w:numId w:val="1004"/>
        </w:numPr>
      </w:pPr>
      <w:r>
        <w:t xml:space="preserve">Lists</w:t>
      </w:r>
      <w:r>
        <w:t xml:space="preserve"> </w:t>
      </w:r>
      <w:r>
        <w:rPr>
          <w:b/>
          <w:bCs/>
        </w:rPr>
        <w:t xml:space="preserve">valid SOI displays</w:t>
      </w:r>
      <w:r>
        <w:t xml:space="preserve">:</w:t>
      </w:r>
    </w:p>
    <w:p>
      <w:pPr>
        <w:pStyle w:val="Compact"/>
        <w:numPr>
          <w:ilvl w:val="1"/>
          <w:numId w:val="1005"/>
        </w:numPr>
      </w:pPr>
      <w:r>
        <w:t xml:space="preserve">FCR, TGP, HSD, HAD, WPN, HUD.</w:t>
      </w:r>
    </w:p>
    <w:p>
      <w:pPr>
        <w:pStyle w:val="Compact"/>
        <w:numPr>
          <w:ilvl w:val="0"/>
          <w:numId w:val="1004"/>
        </w:numPr>
      </w:pPr>
      <w:r>
        <w:t xml:space="preserve">Lists</w:t>
      </w:r>
      <w:r>
        <w:t xml:space="preserve"> </w:t>
      </w:r>
      <w:r>
        <w:rPr>
          <w:b/>
          <w:bCs/>
        </w:rPr>
        <w:t xml:space="preserve">non‑SOI formats</w:t>
      </w:r>
      <w:r>
        <w:t xml:space="preserve">: SMS, DTE, TEST, blank/inactive MFDS.</w:t>
      </w:r>
      <w:r>
        <w:br/>
      </w:r>
    </w:p>
    <w:p>
      <w:pPr>
        <w:pStyle w:val="Compact"/>
        <w:numPr>
          <w:ilvl w:val="0"/>
          <w:numId w:val="1004"/>
        </w:numPr>
      </w:pPr>
      <w:r>
        <w:t xml:space="preserve">Describes</w:t>
      </w:r>
      <w:r>
        <w:t xml:space="preserve"> </w:t>
      </w:r>
      <w:r>
        <w:rPr>
          <w:b/>
          <w:bCs/>
        </w:rPr>
        <w:t xml:space="preserve">visual cues</w:t>
      </w:r>
      <w:r>
        <w:t xml:space="preserve">:</w:t>
      </w:r>
    </w:p>
    <w:p>
      <w:pPr>
        <w:pStyle w:val="Compact"/>
        <w:numPr>
          <w:ilvl w:val="1"/>
          <w:numId w:val="1006"/>
        </w:numPr>
      </w:pPr>
      <w:r>
        <w:t xml:space="preserve">HUD: asterisk (</w:t>
      </w:r>
      <w:r>
        <w:rPr>
          <w:rStyle w:val="VerbatimChar"/>
        </w:rPr>
        <w:t xml:space="preserve">*</w:t>
      </w:r>
      <w:r>
        <w:t xml:space="preserve">) in upper left corner.</w:t>
      </w:r>
      <w:r>
        <w:br/>
      </w:r>
    </w:p>
    <w:p>
      <w:pPr>
        <w:pStyle w:val="Compact"/>
        <w:numPr>
          <w:ilvl w:val="1"/>
          <w:numId w:val="1006"/>
        </w:numPr>
      </w:pPr>
      <w:r>
        <w:t xml:space="preserve">MFD: border outline;</w:t>
      </w:r>
      <w:r>
        <w:t xml:space="preserve"> </w:t>
      </w:r>
      <w:r>
        <w:rPr>
          <w:rStyle w:val="VerbatimChar"/>
        </w:rPr>
        <w:t xml:space="preserve">NOT SOI</w:t>
      </w:r>
      <w:r>
        <w:t xml:space="preserve"> </w:t>
      </w:r>
      <w:r>
        <w:t xml:space="preserve">text when not selected.</w:t>
      </w:r>
    </w:p>
    <w:p>
      <w:pPr>
        <w:pStyle w:val="Compact"/>
        <w:numPr>
          <w:ilvl w:val="0"/>
          <w:numId w:val="1004"/>
        </w:numPr>
      </w:pPr>
      <w:r>
        <w:t xml:space="preserve">Includes</w:t>
      </w:r>
      <w:r>
        <w:t xml:space="preserve"> </w:t>
      </w:r>
      <w:r>
        <w:rPr>
          <w:b/>
          <w:bCs/>
        </w:rPr>
        <w:t xml:space="preserve">Table 4.1.x – Valid SOI Displays by Master Mode</w:t>
      </w:r>
      <w:r>
        <w:t xml:space="preserve"> </w:t>
      </w:r>
      <w:r>
        <w:t xml:space="preserve">(</w:t>
      </w:r>
      <w:r>
        <w:rPr>
          <w:rStyle w:val="VerbatimChar"/>
        </w:rPr>
        <w:t xml:space="preserve">\label{tab:C4-S1-SOI-by-mode}</w:t>
      </w:r>
      <w:r>
        <w:t xml:space="preserve">):</w:t>
      </w:r>
    </w:p>
    <w:p>
      <w:pPr>
        <w:pStyle w:val="Compact"/>
        <w:numPr>
          <w:ilvl w:val="1"/>
          <w:numId w:val="1007"/>
        </w:numPr>
      </w:pPr>
      <w:r>
        <w:t xml:space="preserve">NAV: HUD, FCR, TGP, HSD, WPN, HAD.</w:t>
      </w:r>
      <w:r>
        <w:br/>
      </w:r>
    </w:p>
    <w:p>
      <w:pPr>
        <w:pStyle w:val="Compact"/>
        <w:numPr>
          <w:ilvl w:val="1"/>
          <w:numId w:val="1007"/>
        </w:numPr>
      </w:pPr>
      <w:r>
        <w:t xml:space="preserve">A‑A: FCR, HSD, TGP (</w:t>
      </w:r>
      <w:r>
        <w:rPr>
          <w:b/>
          <w:bCs/>
        </w:rPr>
        <w:t xml:space="preserve">HUD cannot be SOI</w:t>
      </w:r>
      <w:r>
        <w:t xml:space="preserve">).</w:t>
      </w:r>
      <w:r>
        <w:br/>
      </w:r>
    </w:p>
    <w:p>
      <w:pPr>
        <w:pStyle w:val="Compact"/>
        <w:numPr>
          <w:ilvl w:val="1"/>
          <w:numId w:val="1007"/>
        </w:numPr>
      </w:pPr>
      <w:r>
        <w:t xml:space="preserve">A‑G (PRE): HUD, FCR, TGP, WPN, HAD, HSD.</w:t>
      </w:r>
      <w:r>
        <w:br/>
      </w:r>
    </w:p>
    <w:p>
      <w:pPr>
        <w:pStyle w:val="Compact"/>
        <w:numPr>
          <w:ilvl w:val="1"/>
          <w:numId w:val="1007"/>
        </w:numPr>
      </w:pPr>
      <w:r>
        <w:t xml:space="preserve">A‑G (VIS): HUD, FCR, TGP, WPN (visual‑driven context).</w:t>
      </w:r>
      <w:r>
        <w:br/>
      </w:r>
    </w:p>
    <w:p>
      <w:pPr>
        <w:pStyle w:val="Compact"/>
        <w:numPr>
          <w:ilvl w:val="1"/>
          <w:numId w:val="1007"/>
        </w:numPr>
      </w:pPr>
      <w:r>
        <w:t xml:space="preserve">DGFT: FCR, HSD, TGP (</w:t>
      </w:r>
      <w:r>
        <w:rPr>
          <w:b/>
          <w:bCs/>
        </w:rPr>
        <w:t xml:space="preserve">HUD cannot be SOI</w:t>
      </w:r>
      <w:r>
        <w:t xml:space="preserve">).</w:t>
      </w:r>
      <w:r>
        <w:br/>
      </w:r>
    </w:p>
    <w:p>
      <w:pPr>
        <w:pStyle w:val="Compact"/>
        <w:numPr>
          <w:ilvl w:val="1"/>
          <w:numId w:val="1007"/>
        </w:numPr>
      </w:pPr>
      <w:r>
        <w:t xml:space="preserve">MSL OVRD: FCR, HSD, TGP (</w:t>
      </w:r>
      <w:r>
        <w:rPr>
          <w:b/>
          <w:bCs/>
        </w:rPr>
        <w:t xml:space="preserve">HUD cannot be SOI</w:t>
      </w:r>
      <w:r>
        <w:t xml:space="preserve">).</w:t>
      </w:r>
    </w:p>
    <w:p>
      <w:pPr>
        <w:pStyle w:val="FirstParagraph"/>
      </w:pPr>
      <w:r>
        <w:rPr>
          <w:b/>
          <w:bCs/>
        </w:rPr>
        <w:t xml:space="preserve">4.1.2 Role of the DMS in SOI Selection</w:t>
      </w:r>
    </w:p>
    <w:p>
      <w:pPr>
        <w:pStyle w:val="Compact"/>
        <w:numPr>
          <w:ilvl w:val="0"/>
          <w:numId w:val="1008"/>
        </w:numPr>
      </w:pPr>
      <w:r>
        <w:t xml:space="preserve">Explains the</w:t>
      </w:r>
      <w:r>
        <w:t xml:space="preserve"> </w:t>
      </w:r>
      <w:r>
        <w:rPr>
          <w:b/>
          <w:bCs/>
        </w:rPr>
        <w:t xml:space="preserve">orthogonal axes</w:t>
      </w:r>
      <w:r>
        <w:t xml:space="preserve"> </w:t>
      </w:r>
      <w:r>
        <w:t xml:space="preserve">of DMS:</w:t>
      </w:r>
    </w:p>
    <w:p>
      <w:pPr>
        <w:pStyle w:val="Compact"/>
        <w:numPr>
          <w:ilvl w:val="1"/>
          <w:numId w:val="1009"/>
        </w:numPr>
      </w:pPr>
      <w:r>
        <w:t xml:space="preserve">Vertical (Up / Down): chooses</w:t>
      </w:r>
      <w:r>
        <w:t xml:space="preserve"> </w:t>
      </w:r>
      <w:r>
        <w:rPr>
          <w:b/>
          <w:bCs/>
        </w:rPr>
        <w:t xml:space="preserve">which display</w:t>
      </w:r>
      <w:r>
        <w:t xml:space="preserve"> </w:t>
      </w:r>
      <w:r>
        <w:t xml:space="preserve">is SOI.</w:t>
      </w:r>
      <w:r>
        <w:br/>
      </w:r>
    </w:p>
    <w:p>
      <w:pPr>
        <w:pStyle w:val="Compact"/>
        <w:numPr>
          <w:ilvl w:val="1"/>
          <w:numId w:val="1009"/>
        </w:numPr>
      </w:pPr>
      <w:r>
        <w:t xml:space="preserve">Horizontal (Left / Right): cycles</w:t>
      </w:r>
      <w:r>
        <w:t xml:space="preserve"> </w:t>
      </w:r>
      <w:r>
        <w:rPr>
          <w:b/>
          <w:bCs/>
        </w:rPr>
        <w:t xml:space="preserve">format pages</w:t>
      </w:r>
      <w:r>
        <w:t xml:space="preserve"> </w:t>
      </w:r>
      <w:r>
        <w:t xml:space="preserve">on each MFD, independent of SOI.</w:t>
      </w:r>
    </w:p>
    <w:p>
      <w:pPr>
        <w:pStyle w:val="Compact"/>
        <w:numPr>
          <w:ilvl w:val="0"/>
          <w:numId w:val="1008"/>
        </w:numPr>
      </w:pPr>
      <w:r>
        <w:t xml:space="preserve">Summarises baseline actions:</w:t>
      </w:r>
    </w:p>
    <w:p>
      <w:pPr>
        <w:pStyle w:val="Compact"/>
        <w:numPr>
          <w:ilvl w:val="1"/>
          <w:numId w:val="1010"/>
        </w:numPr>
      </w:pPr>
      <w:r>
        <w:t xml:space="preserve">DMS Up → attempts to designate HUD/HMCS as SOI (when permitted).</w:t>
      </w:r>
      <w:r>
        <w:br/>
      </w:r>
    </w:p>
    <w:p>
      <w:pPr>
        <w:pStyle w:val="Compact"/>
        <w:numPr>
          <w:ilvl w:val="1"/>
          <w:numId w:val="1010"/>
        </w:numPr>
      </w:pPr>
      <w:r>
        <w:t xml:space="preserve">DMS Down → toggles SOI between HUD and MFDs.</w:t>
      </w:r>
      <w:r>
        <w:br/>
      </w:r>
    </w:p>
    <w:p>
      <w:pPr>
        <w:pStyle w:val="Compact"/>
        <w:numPr>
          <w:ilvl w:val="1"/>
          <w:numId w:val="1010"/>
        </w:numPr>
      </w:pPr>
      <w:r>
        <w:t xml:space="preserve">DMS Left/Right → change formats on left/right MFD without changing SOI.</w:t>
      </w:r>
    </w:p>
    <w:p>
      <w:pPr>
        <w:pStyle w:val="FirstParagraph"/>
      </w:pPr>
      <w:r>
        <w:rPr>
          <w:b/>
          <w:bCs/>
        </w:rPr>
        <w:t xml:space="preserve">4.1.3 HUD as SOI in A‑A and HMCS Capabilities</w:t>
      </w:r>
    </w:p>
    <w:p>
      <w:pPr>
        <w:pStyle w:val="Compact"/>
        <w:numPr>
          <w:ilvl w:val="0"/>
          <w:numId w:val="1011"/>
        </w:numPr>
      </w:pPr>
      <w:r>
        <w:t xml:space="preserve">Clarifies that</w:t>
      </w:r>
      <w:r>
        <w:t xml:space="preserve"> </w:t>
      </w:r>
      <w:r>
        <w:rPr>
          <w:b/>
          <w:bCs/>
        </w:rPr>
        <w:t xml:space="preserve">HUD cannot be SOI in A‑A/DGFT/MSL OVRD</w:t>
      </w:r>
      <w:r>
        <w:t xml:space="preserve"> </w:t>
      </w:r>
      <w:r>
        <w:t xml:space="preserve">— this is an</w:t>
      </w:r>
      <w:r>
        <w:t xml:space="preserve"> </w:t>
      </w:r>
      <w:r>
        <w:rPr>
          <w:b/>
          <w:bCs/>
        </w:rPr>
        <w:t xml:space="preserve">SOI routing restriction</w:t>
      </w:r>
      <w:r>
        <w:t xml:space="preserve">, not a loss of HUD/HMCS capability.</w:t>
      </w:r>
    </w:p>
    <w:p>
      <w:pPr>
        <w:pStyle w:val="Compact"/>
        <w:numPr>
          <w:ilvl w:val="0"/>
          <w:numId w:val="1011"/>
        </w:numPr>
      </w:pPr>
      <w:r>
        <w:t xml:space="preserve">Explains how</w:t>
      </w:r>
      <w:r>
        <w:t xml:space="preserve"> </w:t>
      </w:r>
      <w:r>
        <w:rPr>
          <w:b/>
          <w:bCs/>
        </w:rPr>
        <w:t xml:space="preserve">HMCS</w:t>
      </w:r>
      <w:r>
        <w:t xml:space="preserve"> </w:t>
      </w:r>
      <w:r>
        <w:t xml:space="preserve">provides off‑boresight cueing in A‑A</w:t>
      </w:r>
      <w:r>
        <w:t xml:space="preserve"> </w:t>
      </w:r>
      <w:r>
        <w:rPr>
          <w:b/>
          <w:bCs/>
        </w:rPr>
        <w:t xml:space="preserve">independently of SOI</w:t>
      </w:r>
      <w:r>
        <w:t xml:space="preserve">:</w:t>
      </w:r>
    </w:p>
    <w:p>
      <w:pPr>
        <w:pStyle w:val="Compact"/>
        <w:numPr>
          <w:ilvl w:val="1"/>
          <w:numId w:val="1012"/>
        </w:numPr>
      </w:pPr>
      <w:r>
        <w:t xml:space="preserve">AIM‑9 boresight/slave to HMCS LOS.</w:t>
      </w:r>
      <w:r>
        <w:br/>
      </w:r>
    </w:p>
    <w:p>
      <w:pPr>
        <w:pStyle w:val="Compact"/>
        <w:numPr>
          <w:ilvl w:val="1"/>
          <w:numId w:val="1012"/>
        </w:numPr>
      </w:pPr>
      <w:r>
        <w:t xml:space="preserve">FCR ACM BORE slaved to HMCS LOS when conditions allow.</w:t>
      </w:r>
    </w:p>
    <w:p>
      <w:pPr>
        <w:pStyle w:val="Compact"/>
        <w:numPr>
          <w:ilvl w:val="0"/>
          <w:numId w:val="1011"/>
        </w:numPr>
      </w:pPr>
      <w:r>
        <w:t xml:space="preserve">Links this architecture to DMS:</w:t>
      </w:r>
    </w:p>
    <w:p>
      <w:pPr>
        <w:pStyle w:val="Compact"/>
        <w:numPr>
          <w:ilvl w:val="1"/>
          <w:numId w:val="1013"/>
        </w:numPr>
      </w:pPr>
      <w:r>
        <w:t xml:space="preserve">DMS Up is</w:t>
      </w:r>
      <w:r>
        <w:t xml:space="preserve"> </w:t>
      </w:r>
      <w:r>
        <w:rPr>
          <w:b/>
          <w:bCs/>
        </w:rPr>
        <w:t xml:space="preserve">ineffective</w:t>
      </w:r>
      <w:r>
        <w:t xml:space="preserve"> </w:t>
      </w:r>
      <w:r>
        <w:t xml:space="preserve">in A‑A because HUD is not a valid SOI candidate.</w:t>
      </w:r>
      <w:r>
        <w:br/>
      </w:r>
    </w:p>
    <w:p>
      <w:pPr>
        <w:pStyle w:val="Compact"/>
        <w:numPr>
          <w:ilvl w:val="1"/>
          <w:numId w:val="1013"/>
        </w:numPr>
      </w:pPr>
      <w:r>
        <w:t xml:space="preserve">SOI must be managed via DMS Down (MFD↔MFD) in air‑to‑air‑driven modes.</w:t>
      </w:r>
    </w:p>
    <w:p>
      <w:r>
        <w:pict>
          <v:rect style="width:0;height:1.5pt" o:hralign="center" o:hrstd="t" o:hr="t"/>
        </w:pict>
      </w:r>
    </w:p>
    <w:bookmarkEnd w:id="11"/>
    <w:bookmarkStart w:id="12" w:name="dms-switch-actuation"/>
    <w:p>
      <w:pPr>
        <w:pStyle w:val="Heading3"/>
      </w:pPr>
      <w:r>
        <w:t xml:space="preserve">4.2 DMS Switch Actuation</w:t>
      </w:r>
    </w:p>
    <w:p>
      <w:pPr>
        <w:pStyle w:val="FirstParagraph"/>
      </w:pPr>
      <w:r>
        <w:rPr>
          <w:b/>
          <w:bCs/>
        </w:rPr>
        <w:t xml:space="preserve">Goal:</w:t>
      </w:r>
      <w:r>
        <w:t xml:space="preserve"> </w:t>
      </w:r>
      <w:r>
        <w:t xml:space="preserve">describe DMS behaviour by</w:t>
      </w:r>
      <w:r>
        <w:t xml:space="preserve"> </w:t>
      </w:r>
      <w:r>
        <w:rPr>
          <w:b/>
          <w:bCs/>
        </w:rPr>
        <w:t xml:space="preserve">direction</w:t>
      </w:r>
      <w:r>
        <w:t xml:space="preserve"> </w:t>
      </w:r>
      <w:r>
        <w:t xml:space="preserve">(Up, Down, Left/Right) in terms of:</w:t>
      </w:r>
    </w:p>
    <w:p>
      <w:pPr>
        <w:pStyle w:val="Compact"/>
        <w:numPr>
          <w:ilvl w:val="0"/>
          <w:numId w:val="1014"/>
        </w:numPr>
      </w:pPr>
      <w:r>
        <w:t xml:space="preserve">Which display becomes SOI.</w:t>
      </w:r>
      <w:r>
        <w:br/>
      </w:r>
    </w:p>
    <w:p>
      <w:pPr>
        <w:pStyle w:val="Compact"/>
        <w:numPr>
          <w:ilvl w:val="0"/>
          <w:numId w:val="1014"/>
        </w:numPr>
      </w:pPr>
      <w:r>
        <w:t xml:space="preserve">How master mode constrains what DMS can do.</w:t>
      </w:r>
      <w:r>
        <w:br/>
      </w:r>
    </w:p>
    <w:p>
      <w:pPr>
        <w:pStyle w:val="Compact"/>
        <w:numPr>
          <w:ilvl w:val="0"/>
          <w:numId w:val="1014"/>
        </w:numPr>
      </w:pPr>
      <w:r>
        <w:t xml:space="preserve">Where DMS is operationally critical (e.g., A‑G VIS) vs convenience (e.g., NAV, A‑G preplanned).</w:t>
      </w:r>
      <w:r>
        <w:br/>
      </w:r>
    </w:p>
    <w:p>
      <w:pPr>
        <w:pStyle w:val="Compact"/>
        <w:numPr>
          <w:ilvl w:val="0"/>
          <w:numId w:val="1014"/>
        </w:numPr>
      </w:pPr>
      <w:r>
        <w:t xml:space="preserve">How special states (Snowplow PRE, MARK/OFLY) temporarily disable SOI designation.</w:t>
      </w:r>
    </w:p>
    <w:p>
      <w:pPr>
        <w:pStyle w:val="FirstParagraph"/>
      </w:pPr>
      <w:r>
        <w:t xml:space="preserve">The organisation is</w:t>
      </w:r>
      <w:r>
        <w:t xml:space="preserve"> </w:t>
      </w:r>
      <w:r>
        <w:rPr>
          <w:b/>
          <w:bCs/>
        </w:rPr>
        <w:t xml:space="preserve">direction‑centric</w:t>
      </w:r>
      <w:r>
        <w:t xml:space="preserve">, not master‑mode‑centric. Master modes appear inside each directional section as constraints and examples.</w:t>
      </w:r>
    </w:p>
    <w:p>
      <w:pPr>
        <w:pStyle w:val="BodyText"/>
      </w:pPr>
      <w:r>
        <w:t xml:space="preserve">Final high‑level structure:</w:t>
      </w:r>
    </w:p>
    <w:p>
      <w:pPr>
        <w:pStyle w:val="SourceCode"/>
      </w:pPr>
      <w:r>
        <w:rPr>
          <w:rStyle w:val="VerbatimChar"/>
        </w:rPr>
        <w:t xml:space="preserve">4.2 DMS Switch Actuation</w:t>
      </w:r>
      <w:r>
        <w:br/>
      </w:r>
      <w:r>
        <w:rPr>
          <w:rStyle w:val="VerbatimChar"/>
        </w:rPr>
        <w:t xml:space="preserve">  4.2.1 DMS Up: Designate HUD as SOI</w:t>
      </w:r>
      <w:r>
        <w:br/>
      </w:r>
      <w:r>
        <w:rPr>
          <w:rStyle w:val="VerbatimChar"/>
        </w:rPr>
        <w:t xml:space="preserve">  4.2.2 DMS Down: Toggle SOI Between Displays</w:t>
      </w:r>
      <w:r>
        <w:br/>
      </w:r>
      <w:r>
        <w:rPr>
          <w:rStyle w:val="VerbatimChar"/>
        </w:rPr>
        <w:t xml:space="preserve">  4.2.3 DMS Left / Right: Cycle MFD Formats</w:t>
      </w:r>
      <w:r>
        <w:br/>
      </w:r>
      <w:r>
        <w:rPr>
          <w:rStyle w:val="VerbatimChar"/>
        </w:rPr>
        <w:t xml:space="preserve">  4.2.4 Master Mode Behavior — DMS Summary</w:t>
      </w:r>
    </w:p>
    <w:p>
      <w:r>
        <w:pict>
          <v:rect style="width:0;height:1.5pt" o:hralign="center" o:hrstd="t" o:hr="t"/>
        </w:pict>
      </w:r>
    </w:p>
    <w:bookmarkEnd w:id="12"/>
    <w:bookmarkEnd w:id="13"/>
    <w:bookmarkStart w:id="18" w:name="X2d0b3649bd666c8194bac8c4c9e0bb324c96b8a"/>
    <w:p>
      <w:pPr>
        <w:pStyle w:val="Heading2"/>
      </w:pPr>
      <w:r>
        <w:t xml:space="preserve">2. Section 4.2.1 — DMS Up: Designate HUD as SOI</w:t>
      </w:r>
    </w:p>
    <w:p>
      <w:pPr>
        <w:pStyle w:val="FirstParagraph"/>
      </w:pPr>
      <w:r>
        <w:rPr>
          <w:b/>
          <w:bCs/>
        </w:rPr>
        <w:t xml:space="preserve">Current implementation:</w:t>
      </w:r>
      <w:r>
        <w:t xml:space="preserve"> </w:t>
      </w:r>
      <w:r>
        <w:rPr>
          <w:rStyle w:val="VerbatimChar"/>
        </w:rPr>
        <w:t xml:space="preserve">section-C4-S2-dms-up-final.tex</w:t>
      </w:r>
      <w:r>
        <w:t xml:space="preserve"> </w:t>
      </w:r>
      <w:r>
        <w:t xml:space="preserve">(FINAL narrative, review‑level polish only).</w:t>
      </w:r>
      <w:r>
        <w:br/>
      </w:r>
      <w:r>
        <w:rPr>
          <w:b/>
          <w:bCs/>
        </w:rPr>
        <w:t xml:space="preserve">Status:</w:t>
      </w:r>
      <w:r>
        <w:t xml:space="preserve"> </w:t>
      </w:r>
      <w:r>
        <w:t xml:space="preserve">- ✅ Content aligned with Dash‑34 and C4‑S1.</w:t>
      </w:r>
      <w:r>
        <w:br/>
      </w:r>
      <w:r>
        <w:t xml:space="preserve">- ✅ Redundâncias com 4.1 removidas (remissões à tabela de SOI).</w:t>
      </w:r>
      <w:r>
        <w:br/>
      </w:r>
      <w:r>
        <w:t xml:space="preserve">- ✅ Tabela de DMS Up ajustada para incluir NAV, A‑A e A‑G.</w:t>
      </w:r>
      <w:r>
        <w:br/>
      </w:r>
      <w:r>
        <w:t xml:space="preserve">- 🔄 Apenas copyedit final e integração em</w:t>
      </w:r>
      <w:r>
        <w:t xml:space="preserve"> </w:t>
      </w:r>
      <w:r>
        <w:rPr>
          <w:rStyle w:val="VerbatimChar"/>
        </w:rPr>
        <w:t xml:space="preserve">guide.tex</w:t>
      </w:r>
      <w:r>
        <w:t xml:space="preserve"> </w:t>
      </w:r>
      <w:r>
        <w:t xml:space="preserve">são pendentes.</w:t>
      </w:r>
    </w:p>
    <w:p>
      <w:pPr>
        <w:pStyle w:val="BodyText"/>
      </w:pPr>
      <w:r>
        <w:rPr>
          <w:b/>
          <w:bCs/>
        </w:rPr>
        <w:t xml:space="preserve">Structure in document terms:</w:t>
      </w:r>
    </w:p>
    <w:p>
      <w:pPr>
        <w:pStyle w:val="SourceCode"/>
      </w:pPr>
      <w:r>
        <w:rPr>
          <w:rStyle w:val="VerbatimChar"/>
        </w:rPr>
        <w:t xml:space="preserve">4.2.1 DMS Up: Designate HUD as SOI</w:t>
      </w:r>
      <w:r>
        <w:br/>
      </w:r>
      <w:r>
        <w:rPr>
          <w:rStyle w:val="VerbatimChar"/>
        </w:rPr>
        <w:t xml:space="preserve">  [Intro: Function and visual indication — no subsubsection]</w:t>
      </w:r>
      <w:r>
        <w:br/>
      </w:r>
      <w:r>
        <w:rPr>
          <w:rStyle w:val="VerbatimChar"/>
        </w:rPr>
        <w:t xml:space="preserve">  4.2.1.1 DMS Up Effectiveness in All Master Modes</w:t>
      </w:r>
      <w:r>
        <w:br/>
      </w:r>
      <w:r>
        <w:rPr>
          <w:rStyle w:val="VerbatimChar"/>
        </w:rPr>
        <w:t xml:space="preserve">  4.2.1.2 DMS Up Usage Table</w:t>
      </w:r>
      <w:r>
        <w:br/>
      </w:r>
      <w:r>
        <w:rPr>
          <w:rStyle w:val="VerbatimChar"/>
        </w:rPr>
        <w:t xml:space="preserve">  4.2.1.3 DMS Up Exception States (SP PRE, MARK/OFLY)</w:t>
      </w:r>
    </w:p>
    <w:bookmarkStart w:id="14" w:name="X8275dcef9f30b200195ea8415b7d6342320870a"/>
    <w:p>
      <w:pPr>
        <w:pStyle w:val="Heading3"/>
      </w:pPr>
      <w:r>
        <w:t xml:space="preserve">4.2.1 Intro (unnumbered) — Function and Visual Indication</w:t>
      </w:r>
    </w:p>
    <w:p>
      <w:pPr>
        <w:pStyle w:val="Compact"/>
        <w:numPr>
          <w:ilvl w:val="0"/>
          <w:numId w:val="1015"/>
        </w:numPr>
      </w:pPr>
      <w:r>
        <w:t xml:space="preserve">One or two paragraphs, no</w:t>
      </w:r>
      <w:r>
        <w:t xml:space="preserve"> </w:t>
      </w:r>
      <w:r>
        <w:rPr>
          <w:rStyle w:val="VerbatimChar"/>
        </w:rPr>
        <w:t xml:space="preserve">\subsubsection</w:t>
      </w:r>
      <w:r>
        <w:t xml:space="preserve"> </w:t>
      </w:r>
      <w:r>
        <w:t xml:space="preserve">heading.</w:t>
      </w:r>
    </w:p>
    <w:p>
      <w:pPr>
        <w:pStyle w:val="Compact"/>
        <w:numPr>
          <w:ilvl w:val="0"/>
          <w:numId w:val="1015"/>
        </w:numPr>
      </w:pPr>
      <w:r>
        <w:t xml:space="preserve">Content:</w:t>
      </w:r>
    </w:p>
    <w:p>
      <w:pPr>
        <w:pStyle w:val="Compact"/>
        <w:numPr>
          <w:ilvl w:val="1"/>
          <w:numId w:val="1016"/>
        </w:numPr>
      </w:pPr>
      <w:r>
        <w:t xml:space="preserve">DMS Up attempts to designate</w:t>
      </w:r>
      <w:r>
        <w:t xml:space="preserve"> </w:t>
      </w:r>
      <w:r>
        <w:rPr>
          <w:b/>
          <w:bCs/>
        </w:rPr>
        <w:t xml:space="preserve">HUD (and HMCS, as an extension)</w:t>
      </w:r>
      <w:r>
        <w:t xml:space="preserve"> </w:t>
      </w:r>
      <w:r>
        <w:t xml:space="preserve">as SOI.</w:t>
      </w:r>
      <w:r>
        <w:br/>
      </w:r>
    </w:p>
    <w:p>
      <w:pPr>
        <w:pStyle w:val="Compact"/>
        <w:numPr>
          <w:ilvl w:val="1"/>
          <w:numId w:val="1016"/>
        </w:numPr>
      </w:pPr>
      <w:r>
        <w:t xml:space="preserve">When successful,</w:t>
      </w:r>
      <w:r>
        <w:t xml:space="preserve"> </w:t>
      </w:r>
      <w:r>
        <w:rPr>
          <w:b/>
          <w:bCs/>
        </w:rPr>
        <w:t xml:space="preserve">HUD SOI asterisk</w:t>
      </w:r>
      <w:r>
        <w:t xml:space="preserve"> </w:t>
      </w:r>
      <w:r>
        <w:t xml:space="preserve">appears, MFD SOI border disappears, as detailed in Section 4.1.1.</w:t>
      </w:r>
      <w:r>
        <w:br/>
      </w:r>
    </w:p>
    <w:p>
      <w:pPr>
        <w:pStyle w:val="Compact"/>
        <w:numPr>
          <w:ilvl w:val="1"/>
          <w:numId w:val="1016"/>
        </w:numPr>
      </w:pPr>
      <w:r>
        <w:t xml:space="preserve">All SOI‑dependent HOTAS inputs (CURSOR/ENABLE, TMS) now act on HUD/HMCS symbology, not on any MFD format.</w:t>
      </w:r>
    </w:p>
    <w:bookmarkEnd w:id="14"/>
    <w:bookmarkStart w:id="15" w:name="dms-up-effectiveness-in-all-master-modes"/>
    <w:p>
      <w:pPr>
        <w:pStyle w:val="Heading3"/>
      </w:pPr>
      <w:r>
        <w:t xml:space="preserve">4.2.1.1 DMS Up Effectiveness in All Master Modes</w:t>
      </w:r>
    </w:p>
    <w:p>
      <w:pPr>
        <w:pStyle w:val="Compact"/>
        <w:numPr>
          <w:ilvl w:val="0"/>
          <w:numId w:val="1017"/>
        </w:numPr>
      </w:pPr>
      <w:r>
        <w:t xml:space="preserve">States that</w:t>
      </w:r>
      <w:r>
        <w:t xml:space="preserve"> </w:t>
      </w:r>
      <w:r>
        <w:rPr>
          <w:b/>
          <w:bCs/>
        </w:rPr>
        <w:t xml:space="preserve">DMS Up is only effective when HUD is a valid SOI candidate</w:t>
      </w:r>
      <w:r>
        <w:t xml:space="preserve">, as per Table 4.1.x (C4‑S1).</w:t>
      </w:r>
      <w:r>
        <w:br/>
      </w:r>
    </w:p>
    <w:p>
      <w:pPr>
        <w:pStyle w:val="Compact"/>
        <w:numPr>
          <w:ilvl w:val="0"/>
          <w:numId w:val="1017"/>
        </w:numPr>
      </w:pPr>
      <w:r>
        <w:t xml:space="preserve">Focuses on</w:t>
      </w:r>
      <w:r>
        <w:t xml:space="preserve"> </w:t>
      </w:r>
      <w:r>
        <w:rPr>
          <w:b/>
          <w:bCs/>
        </w:rPr>
        <w:t xml:space="preserve">contexts where HUD SOI is operationally sensitive</w:t>
      </w:r>
      <w:r>
        <w:t xml:space="preserve"> </w:t>
      </w:r>
      <w:r>
        <w:t xml:space="preserve">vs contexts where it is just a convenience.</w:t>
      </w:r>
    </w:p>
    <w:p>
      <w:pPr>
        <w:pStyle w:val="FirstParagraph"/>
      </w:pPr>
      <w:r>
        <w:t xml:space="preserve">Sub‑structure (using</w:t>
      </w:r>
      <w:r>
        <w:t xml:space="preserve"> </w:t>
      </w:r>
      <w:r>
        <w:rPr>
          <w:rStyle w:val="VerbatimChar"/>
        </w:rPr>
        <w:t xml:space="preserve">\paragraph*</w:t>
      </w:r>
      <w:r>
        <w:t xml:space="preserve"> </w:t>
      </w:r>
      <w:r>
        <w:t xml:space="preserve">and</w:t>
      </w:r>
      <w:r>
        <w:t xml:space="preserve"> </w:t>
      </w:r>
      <w:r>
        <w:rPr>
          <w:rStyle w:val="VerbatimChar"/>
        </w:rPr>
        <w:t xml:space="preserve">\subparagraph*</w:t>
      </w:r>
      <w:r>
        <w:t xml:space="preserve">):</w:t>
      </w:r>
    </w:p>
    <w:p>
      <w:pPr>
        <w:numPr>
          <w:ilvl w:val="0"/>
          <w:numId w:val="1018"/>
        </w:numPr>
      </w:pPr>
      <w:r>
        <w:rPr>
          <w:b/>
          <w:bCs/>
        </w:rPr>
        <w:t xml:space="preserve">Master Modes Where DMS Up is Effective (HUD as SOI Permitted)</w:t>
      </w:r>
    </w:p>
    <w:p>
      <w:pPr>
        <w:numPr>
          <w:ilvl w:val="1"/>
          <w:numId w:val="1019"/>
        </w:numPr>
      </w:pPr>
      <w:r>
        <w:t xml:space="preserve">NAV (Navigation)</w:t>
      </w:r>
    </w:p>
    <w:p>
      <w:pPr>
        <w:pStyle w:val="Compact"/>
        <w:numPr>
          <w:ilvl w:val="2"/>
          <w:numId w:val="1020"/>
        </w:numPr>
      </w:pPr>
      <w:r>
        <w:t xml:space="preserve">HUD is primary reference for flight path, steering and basic SA.</w:t>
      </w:r>
      <w:r>
        <w:br/>
      </w:r>
    </w:p>
    <w:p>
      <w:pPr>
        <w:pStyle w:val="Compact"/>
        <w:numPr>
          <w:ilvl w:val="2"/>
          <w:numId w:val="1020"/>
        </w:numPr>
      </w:pPr>
      <w:r>
        <w:t xml:space="preserve">Short DMS Up → HUD becomes SOI.</w:t>
      </w:r>
      <w:r>
        <w:br/>
      </w:r>
    </w:p>
    <w:p>
      <w:pPr>
        <w:pStyle w:val="Compact"/>
        <w:numPr>
          <w:ilvl w:val="2"/>
          <w:numId w:val="1020"/>
        </w:numPr>
      </w:pPr>
      <w:r>
        <w:t xml:space="preserve">With HUD/HMCS SOI:</w:t>
      </w:r>
    </w:p>
    <w:p>
      <w:pPr>
        <w:pStyle w:val="Compact"/>
        <w:numPr>
          <w:ilvl w:val="3"/>
          <w:numId w:val="1021"/>
        </w:numPr>
      </w:pPr>
      <w:r>
        <w:t xml:space="preserve">CURSOR/ENABLE slews HUD/HMCS cursor/designator.</w:t>
      </w:r>
      <w:r>
        <w:br/>
      </w:r>
    </w:p>
    <w:p>
      <w:pPr>
        <w:pStyle w:val="Compact"/>
        <w:numPr>
          <w:ilvl w:val="3"/>
          <w:numId w:val="1021"/>
        </w:numPr>
      </w:pPr>
      <w:r>
        <w:t xml:space="preserve">In HUD/HMCS MARK, TMS Up stabilises LOS and stores markpoints.</w:t>
      </w:r>
      <w:r>
        <w:br/>
      </w:r>
    </w:p>
    <w:p>
      <w:pPr>
        <w:pStyle w:val="Compact"/>
        <w:numPr>
          <w:ilvl w:val="3"/>
          <w:numId w:val="1021"/>
        </w:numPr>
      </w:pPr>
      <w:r>
        <w:t xml:space="preserve">MFDs provide background navigation/systems info.</w:t>
      </w:r>
    </w:p>
    <w:p>
      <w:pPr>
        <w:numPr>
          <w:ilvl w:val="1"/>
          <w:numId w:val="1019"/>
        </w:numPr>
      </w:pPr>
      <w:r>
        <w:t xml:space="preserve">A‑G Visual Modes (VIS) — CCIP, DTOS, AGM‑65 VIS, IAM‑VIS</w:t>
      </w:r>
    </w:p>
    <w:p>
      <w:pPr>
        <w:pStyle w:val="Compact"/>
        <w:numPr>
          <w:ilvl w:val="2"/>
          <w:numId w:val="1022"/>
        </w:numPr>
      </w:pPr>
      <w:r>
        <w:t xml:space="preserve">Visual deliveries are HUD/HMCS‑centric; HUD SOI is often a</w:t>
      </w:r>
      <w:r>
        <w:t xml:space="preserve"> </w:t>
      </w:r>
      <w:r>
        <w:rPr>
          <w:b/>
          <w:bCs/>
        </w:rPr>
        <w:t xml:space="preserve">prerequisite</w:t>
      </w:r>
      <w:r>
        <w:t xml:space="preserve"> </w:t>
      </w:r>
      <w:r>
        <w:t xml:space="preserve">for correct TMS/CURSOR behaviour.</w:t>
      </w:r>
      <w:r>
        <w:br/>
      </w:r>
    </w:p>
    <w:p>
      <w:pPr>
        <w:pStyle w:val="Compact"/>
        <w:numPr>
          <w:ilvl w:val="2"/>
          <w:numId w:val="1022"/>
        </w:numPr>
      </w:pPr>
      <w:r>
        <w:t xml:space="preserve">DMS Up is</w:t>
      </w:r>
      <w:r>
        <w:t xml:space="preserve"> </w:t>
      </w:r>
      <w:r>
        <w:rPr>
          <w:b/>
          <w:bCs/>
        </w:rPr>
        <w:t xml:space="preserve">operationally critical</w:t>
      </w:r>
      <w:r>
        <w:t xml:space="preserve"> </w:t>
      </w:r>
      <w:r>
        <w:t xml:space="preserve">whenever SOI has migrated to an MFD (TGP, WPN, etc.).</w:t>
      </w:r>
    </w:p>
    <w:p>
      <w:pPr>
        <w:numPr>
          <w:ilvl w:val="1"/>
          <w:numId w:val="1000"/>
        </w:numPr>
      </w:pPr>
      <w:r>
        <w:t xml:space="preserve">Examples (bullets):</w:t>
      </w:r>
    </w:p>
    <w:p>
      <w:pPr>
        <w:pStyle w:val="Compact"/>
        <w:numPr>
          <w:ilvl w:val="2"/>
          <w:numId w:val="1023"/>
        </w:numPr>
      </w:pPr>
      <w:r>
        <w:t xml:space="preserve">CCIP visual deliveries:</w:t>
      </w:r>
    </w:p>
    <w:p>
      <w:pPr>
        <w:pStyle w:val="Compact"/>
        <w:numPr>
          <w:ilvl w:val="3"/>
          <w:numId w:val="1024"/>
        </w:numPr>
      </w:pPr>
      <w:r>
        <w:t xml:space="preserve">HUD pipper = primary aiming reference.</w:t>
      </w:r>
      <w:r>
        <w:br/>
      </w:r>
    </w:p>
    <w:p>
      <w:pPr>
        <w:pStyle w:val="Compact"/>
        <w:numPr>
          <w:ilvl w:val="3"/>
          <w:numId w:val="1024"/>
        </w:numPr>
      </w:pPr>
      <w:r>
        <w:t xml:space="preserve">CURSOR/ENABLE (HUD SOI) can refine visual aimpoint when allowed.</w:t>
      </w:r>
    </w:p>
    <w:p>
      <w:pPr>
        <w:pStyle w:val="Compact"/>
        <w:numPr>
          <w:ilvl w:val="2"/>
          <w:numId w:val="1023"/>
        </w:numPr>
      </w:pPr>
      <w:r>
        <w:t xml:space="preserve">AGM‑65 VIS:</w:t>
      </w:r>
    </w:p>
    <w:p>
      <w:pPr>
        <w:pStyle w:val="Compact"/>
        <w:numPr>
          <w:ilvl w:val="3"/>
          <w:numId w:val="1025"/>
        </w:numPr>
      </w:pPr>
      <w:r>
        <w:t xml:space="preserve">HUD TD box slaves Maverick seeker.</w:t>
      </w:r>
      <w:r>
        <w:br/>
      </w:r>
    </w:p>
    <w:p>
      <w:pPr>
        <w:pStyle w:val="Compact"/>
        <w:numPr>
          <w:ilvl w:val="3"/>
          <w:numId w:val="1025"/>
        </w:numPr>
      </w:pPr>
      <w:r>
        <w:t xml:space="preserve">With HUD SOI, CURSOR/ENABLE slews TD box; TMS Up commands seeker lock.</w:t>
      </w:r>
      <w:r>
        <w:br/>
      </w:r>
    </w:p>
    <w:p>
      <w:pPr>
        <w:pStyle w:val="Compact"/>
        <w:numPr>
          <w:ilvl w:val="3"/>
          <w:numId w:val="1025"/>
        </w:numPr>
      </w:pPr>
      <w:r>
        <w:t xml:space="preserve">If SOI remains em WPN MFD, TMS acts on WPN page and visual HUD control falha até DMS Up.</w:t>
      </w:r>
    </w:p>
    <w:p>
      <w:pPr>
        <w:pStyle w:val="Compact"/>
        <w:numPr>
          <w:ilvl w:val="2"/>
          <w:numId w:val="1023"/>
        </w:numPr>
      </w:pPr>
      <w:r>
        <w:t xml:space="preserve">IAM‑VIS (JDAM/JSOW visual):</w:t>
      </w:r>
    </w:p>
    <w:p>
      <w:pPr>
        <w:pStyle w:val="Compact"/>
        <w:numPr>
          <w:ilvl w:val="3"/>
          <w:numId w:val="1026"/>
        </w:numPr>
      </w:pPr>
      <w:r>
        <w:t xml:space="preserve">HUD TD box + IAM solution cues.</w:t>
      </w:r>
      <w:r>
        <w:br/>
      </w:r>
    </w:p>
    <w:p>
      <w:pPr>
        <w:pStyle w:val="Compact"/>
        <w:numPr>
          <w:ilvl w:val="3"/>
          <w:numId w:val="1026"/>
        </w:numPr>
      </w:pPr>
      <w:r>
        <w:t xml:space="preserve">HUD SOI + CURSOR/ENABLE refinam TD; TMS Up designa/estabiliza.</w:t>
      </w:r>
      <w:r>
        <w:br/>
      </w:r>
    </w:p>
    <w:p>
      <w:pPr>
        <w:pStyle w:val="Compact"/>
        <w:numPr>
          <w:ilvl w:val="3"/>
          <w:numId w:val="1026"/>
        </w:numPr>
      </w:pPr>
      <w:r>
        <w:t xml:space="preserve">Se SOI está em um MFD, TMS não atualiza HUD até DMS Up.</w:t>
      </w:r>
    </w:p>
    <w:p>
      <w:pPr>
        <w:numPr>
          <w:ilvl w:val="1"/>
          <w:numId w:val="1019"/>
        </w:numPr>
      </w:pPr>
      <w:r>
        <w:t xml:space="preserve">A‑G non‑VIS (CCRP, preplanned IAM)</w:t>
      </w:r>
    </w:p>
    <w:p>
      <w:pPr>
        <w:pStyle w:val="Compact"/>
        <w:numPr>
          <w:ilvl w:val="2"/>
          <w:numId w:val="1027"/>
        </w:numPr>
      </w:pPr>
      <w:r>
        <w:t xml:space="preserve">DMS Up funciona (HUD pode ser SOI), mas HUD SOI é</w:t>
      </w:r>
      <w:r>
        <w:t xml:space="preserve"> </w:t>
      </w:r>
      <w:r>
        <w:rPr>
          <w:b/>
          <w:bCs/>
        </w:rPr>
        <w:t xml:space="preserve">conveniência</w:t>
      </w:r>
      <w:r>
        <w:t xml:space="preserve">, não requisito:</w:t>
      </w:r>
    </w:p>
    <w:p>
      <w:pPr>
        <w:pStyle w:val="Compact"/>
        <w:numPr>
          <w:ilvl w:val="3"/>
          <w:numId w:val="1028"/>
        </w:numPr>
      </w:pPr>
      <w:r>
        <w:t xml:space="preserve">Preplanned targeting, sensor SPI, sighting‑point control podem ser geridos 100% via FCR/TGP/HSD SOI.</w:t>
      </w:r>
    </w:p>
    <w:p>
      <w:pPr>
        <w:numPr>
          <w:ilvl w:val="0"/>
          <w:numId w:val="1018"/>
        </w:numPr>
      </w:pPr>
      <w:r>
        <w:rPr>
          <w:b/>
          <w:bCs/>
        </w:rPr>
        <w:t xml:space="preserve">Master Modes Where DMS Up is Ineffective (HUD as SOI Prohibited)</w:t>
      </w:r>
    </w:p>
    <w:p>
      <w:pPr>
        <w:pStyle w:val="Compact"/>
        <w:numPr>
          <w:ilvl w:val="1"/>
          <w:numId w:val="1029"/>
        </w:numPr>
      </w:pPr>
      <w:r>
        <w:t xml:space="preserve">A‑A, DGFT, MSL OVRD</w:t>
      </w:r>
    </w:p>
    <w:p>
      <w:pPr>
        <w:pStyle w:val="Compact"/>
        <w:numPr>
          <w:ilvl w:val="2"/>
          <w:numId w:val="1030"/>
        </w:numPr>
      </w:pPr>
      <w:r>
        <w:t xml:space="preserve">Em modos de emprego ar‑ar, HUD não é candidato válido a SOI.</w:t>
      </w:r>
      <w:r>
        <w:br/>
      </w:r>
    </w:p>
    <w:p>
      <w:pPr>
        <w:pStyle w:val="Compact"/>
        <w:numPr>
          <w:ilvl w:val="2"/>
          <w:numId w:val="1030"/>
        </w:numPr>
      </w:pPr>
      <w:r>
        <w:t xml:space="preserve">Pressionar DMS Up</w:t>
      </w:r>
      <w:r>
        <w:t xml:space="preserve"> </w:t>
      </w:r>
      <w:r>
        <w:rPr>
          <w:b/>
          <w:bCs/>
        </w:rPr>
        <w:t xml:space="preserve">não altera</w:t>
      </w:r>
      <w:r>
        <w:t xml:space="preserve"> </w:t>
      </w:r>
      <w:r>
        <w:t xml:space="preserve">SOI — permanece em FCR, HSD ou TGP.</w:t>
      </w:r>
      <w:r>
        <w:br/>
      </w:r>
    </w:p>
    <w:p>
      <w:pPr>
        <w:pStyle w:val="Compact"/>
        <w:numPr>
          <w:ilvl w:val="2"/>
          <w:numId w:val="1030"/>
        </w:numPr>
      </w:pPr>
      <w:r>
        <w:t xml:space="preserve">Explica que o racional arquitetural e o papel do HMCS estão em 4.1.3.</w:t>
      </w:r>
    </w:p>
    <w:bookmarkEnd w:id="15"/>
    <w:bookmarkStart w:id="16" w:name="dms-up-usage-table"/>
    <w:p>
      <w:pPr>
        <w:pStyle w:val="Heading3"/>
      </w:pPr>
      <w:r>
        <w:t xml:space="preserve">4.2.1.2 DMS Up Usage Table</w:t>
      </w:r>
    </w:p>
    <w:p>
      <w:pPr>
        <w:numPr>
          <w:ilvl w:val="0"/>
          <w:numId w:val="1031"/>
        </w:numPr>
      </w:pPr>
      <w:r>
        <w:rPr>
          <w:rStyle w:val="VerbatimChar"/>
        </w:rPr>
        <w:t xml:space="preserve">\subsubsection{DMS Up Usage Table}</w:t>
      </w:r>
      <w:r>
        <w:t xml:space="preserve"> </w:t>
      </w:r>
      <w:r>
        <w:t xml:space="preserve">introduz uma</w:t>
      </w:r>
      <w:r>
        <w:t xml:space="preserve"> </w:t>
      </w:r>
      <w:r>
        <w:rPr>
          <w:rStyle w:val="VerbatimChar"/>
        </w:rPr>
        <w:t xml:space="preserve">hotastable</w:t>
      </w:r>
      <w:r>
        <w:t xml:space="preserve"> </w:t>
      </w:r>
      <w:r>
        <w:t xml:space="preserve">que resume DMS Up em três linhas principais:</w:t>
      </w:r>
    </w:p>
    <w:p>
      <w:pPr>
        <w:pStyle w:val="Compact"/>
        <w:numPr>
          <w:ilvl w:val="1"/>
          <w:numId w:val="1032"/>
        </w:numPr>
      </w:pPr>
      <w:r>
        <w:rPr>
          <w:b/>
          <w:bCs/>
        </w:rPr>
        <w:t xml:space="preserve">NAV</w:t>
      </w:r>
      <w:r>
        <w:t xml:space="preserve"> </w:t>
      </w:r>
      <w:r>
        <w:t xml:space="preserve">– Up / Short / Designate HUD as SOI</w:t>
      </w:r>
    </w:p>
    <w:p>
      <w:pPr>
        <w:pStyle w:val="Compact"/>
        <w:numPr>
          <w:ilvl w:val="2"/>
          <w:numId w:val="1033"/>
        </w:numPr>
      </w:pPr>
      <w:r>
        <w:t xml:space="preserve">Efeito / nuance: DMS Up totalmente efetivo; HUD/HMCS SOI, MARK, CURSOR/ENABLE e TMS Up; MFDs para background.</w:t>
      </w:r>
      <w:r>
        <w:br/>
      </w:r>
    </w:p>
    <w:p>
      <w:pPr>
        <w:pStyle w:val="Compact"/>
        <w:numPr>
          <w:ilvl w:val="2"/>
          <w:numId w:val="1033"/>
        </w:numPr>
      </w:pPr>
      <w:r>
        <w:t xml:space="preserve">Dash‑34 refs: 2.1.1.2.3, 2.1.7.5.1, 2.1.7.5.4, 2.5.6.1.</w:t>
      </w:r>
      <w:r>
        <w:br/>
      </w:r>
    </w:p>
    <w:p>
      <w:pPr>
        <w:pStyle w:val="Compact"/>
        <w:numPr>
          <w:ilvl w:val="2"/>
          <w:numId w:val="1033"/>
        </w:numPr>
      </w:pPr>
      <w:r>
        <w:t xml:space="preserve">Train:</w:t>
      </w:r>
      <w:r>
        <w:t xml:space="preserve"> </w:t>
      </w:r>
      <w:r>
        <w:rPr>
          <w:rStyle w:val="VerbatimChar"/>
        </w:rPr>
        <w:t xml:space="preserve">---</w:t>
      </w:r>
      <w:r>
        <w:t xml:space="preserve"> </w:t>
      </w:r>
      <w:r>
        <w:t xml:space="preserve">(sem TRN específica de NAV+DMS Up).</w:t>
      </w:r>
    </w:p>
    <w:p>
      <w:pPr>
        <w:pStyle w:val="Compact"/>
        <w:numPr>
          <w:ilvl w:val="1"/>
          <w:numId w:val="1032"/>
        </w:numPr>
      </w:pPr>
      <w:r>
        <w:rPr>
          <w:b/>
          <w:bCs/>
        </w:rPr>
        <w:t xml:space="preserve">A‑A</w:t>
      </w:r>
      <w:r>
        <w:t xml:space="preserve"> </w:t>
      </w:r>
      <w:r>
        <w:t xml:space="preserve">– Up / Short / Designate HUD as SOI</w:t>
      </w:r>
    </w:p>
    <w:p>
      <w:pPr>
        <w:pStyle w:val="Compact"/>
        <w:numPr>
          <w:ilvl w:val="2"/>
          <w:numId w:val="1034"/>
        </w:numPr>
      </w:pPr>
      <w:r>
        <w:t xml:space="preserve">Efeito / nuance: DMS Up inefetivo; arquit. restringe SOI a FCR/HSD/TGP; HUD sempre passivo como display.</w:t>
      </w:r>
      <w:r>
        <w:br/>
      </w:r>
    </w:p>
    <w:p>
      <w:pPr>
        <w:pStyle w:val="Compact"/>
        <w:numPr>
          <w:ilvl w:val="2"/>
          <w:numId w:val="1034"/>
        </w:numPr>
      </w:pPr>
      <w:r>
        <w:t xml:space="preserve">Dash‑34 refs: 2.1.1.2.3.</w:t>
      </w:r>
      <w:r>
        <w:br/>
      </w:r>
    </w:p>
    <w:p>
      <w:pPr>
        <w:pStyle w:val="Compact"/>
        <w:numPr>
          <w:ilvl w:val="2"/>
          <w:numId w:val="1034"/>
        </w:numPr>
      </w:pPr>
      <w:r>
        <w:t xml:space="preserve">Train:</w:t>
      </w:r>
      <w:r>
        <w:t xml:space="preserve"> </w:t>
      </w:r>
      <w:r>
        <w:rPr>
          <w:rStyle w:val="VerbatimChar"/>
        </w:rPr>
        <w:t xml:space="preserve">---</w:t>
      </w:r>
      <w:r>
        <w:t xml:space="preserve">.</w:t>
      </w:r>
    </w:p>
    <w:p>
      <w:pPr>
        <w:pStyle w:val="Compact"/>
        <w:numPr>
          <w:ilvl w:val="1"/>
          <w:numId w:val="1032"/>
        </w:numPr>
      </w:pPr>
      <w:r>
        <w:rPr>
          <w:b/>
          <w:bCs/>
        </w:rPr>
        <w:t xml:space="preserve">A‑G</w:t>
      </w:r>
      <w:r>
        <w:t xml:space="preserve"> </w:t>
      </w:r>
      <w:r>
        <w:t xml:space="preserve">– Up / Short / Designate HUD as SOI</w:t>
      </w:r>
    </w:p>
    <w:p>
      <w:pPr>
        <w:pStyle w:val="Compact"/>
        <w:numPr>
          <w:ilvl w:val="2"/>
          <w:numId w:val="1035"/>
        </w:numPr>
      </w:pPr>
      <w:r>
        <w:t xml:space="preserve">Efeito / nuance: DMS Up efetivo; HUD asterisco; em VIS, HUD é interface crítica para CURSOR/TMS; perda de HUD SOI implica perda de controle visual até novo DMS Up.</w:t>
      </w:r>
      <w:r>
        <w:br/>
      </w:r>
    </w:p>
    <w:p>
      <w:pPr>
        <w:pStyle w:val="Compact"/>
        <w:numPr>
          <w:ilvl w:val="2"/>
          <w:numId w:val="1035"/>
        </w:numPr>
      </w:pPr>
      <w:r>
        <w:t xml:space="preserve">Dash‑34 refs: 2.1.1.2.3, 4.2.2.1, 4.2.2.1.1 (AGM‑65 VIS/IAM‑VIS).</w:t>
      </w:r>
      <w:r>
        <w:br/>
      </w:r>
    </w:p>
    <w:p>
      <w:pPr>
        <w:pStyle w:val="Compact"/>
        <w:numPr>
          <w:ilvl w:val="2"/>
          <w:numId w:val="1035"/>
        </w:numPr>
      </w:pPr>
      <w:r>
        <w:t xml:space="preserve">Train:</w:t>
      </w:r>
      <w:r>
        <w:t xml:space="preserve"> </w:t>
      </w:r>
      <w:r>
        <w:rPr>
          <w:rStyle w:val="VerbatimChar"/>
        </w:rPr>
        <w:t xml:space="preserve">\trnref{10 (GP Bombs)}, \trnref{11 (LGB)}, \trnref{13 (Maverick)}, \trnref{14 (Maverick Adv)}, \trnref{15 (IAM)}</w:t>
      </w:r>
      <w:r>
        <w:t xml:space="preserve">.</w:t>
      </w:r>
    </w:p>
    <w:p>
      <w:pPr>
        <w:numPr>
          <w:ilvl w:val="0"/>
          <w:numId w:val="1031"/>
        </w:numPr>
      </w:pPr>
      <w:r>
        <w:t xml:space="preserve">Há um</w:t>
      </w:r>
      <w:r>
        <w:t xml:space="preserve"> </w:t>
      </w:r>
      <w:r>
        <w:rPr>
          <w:rStyle w:val="VerbatimChar"/>
        </w:rPr>
        <w:t xml:space="preserve">\newpage</w:t>
      </w:r>
      <w:r>
        <w:t xml:space="preserve"> </w:t>
      </w:r>
      <w:r>
        <w:t xml:space="preserve">antes da tabela para garantir início em página nova.</w:t>
      </w:r>
    </w:p>
    <w:bookmarkEnd w:id="16"/>
    <w:bookmarkStart w:id="17" w:name="dms-up-exception-states-sp-pre-markofly"/>
    <w:p>
      <w:pPr>
        <w:pStyle w:val="Heading3"/>
      </w:pPr>
      <w:r>
        <w:t xml:space="preserve">4.2.1.3 DMS Up Exception States (SP PRE, MARK/OFLY)</w:t>
      </w:r>
    </w:p>
    <w:p>
      <w:pPr>
        <w:numPr>
          <w:ilvl w:val="0"/>
          <w:numId w:val="1036"/>
        </w:numPr>
      </w:pPr>
      <w:r>
        <w:rPr>
          <w:rStyle w:val="VerbatimChar"/>
        </w:rPr>
        <w:t xml:space="preserve">\subsubsection{DMS Up Exception States}</w:t>
      </w:r>
      <w:r>
        <w:t xml:space="preserve"> </w:t>
      </w:r>
      <w:r>
        <w:t xml:space="preserve">com bullets para:</w:t>
      </w:r>
    </w:p>
    <w:p>
      <w:pPr>
        <w:pStyle w:val="Compact"/>
        <w:numPr>
          <w:ilvl w:val="1"/>
          <w:numId w:val="1037"/>
        </w:numPr>
      </w:pPr>
      <w:r>
        <w:rPr>
          <w:b/>
          <w:bCs/>
        </w:rPr>
        <w:t xml:space="preserve">Snowplow (SP) PRE state (unstabilised)</w:t>
      </w:r>
      <w:r>
        <w:t xml:space="preserve">:</w:t>
      </w:r>
    </w:p>
    <w:p>
      <w:pPr>
        <w:pStyle w:val="Compact"/>
        <w:numPr>
          <w:ilvl w:val="2"/>
          <w:numId w:val="1038"/>
        </w:numPr>
      </w:pPr>
      <w:r>
        <w:t xml:space="preserve">Ao entrar em SP e antes de estabilizar com TMS Up, FCR/TGP mostram</w:t>
      </w:r>
      <w:r>
        <w:t xml:space="preserve"> </w:t>
      </w:r>
      <w:r>
        <w:rPr>
          <w:rStyle w:val="VerbatimChar"/>
        </w:rPr>
        <w:t xml:space="preserve">NOT SOI</w:t>
      </w:r>
      <w:r>
        <w:t xml:space="preserve">.</w:t>
      </w:r>
      <w:r>
        <w:br/>
      </w:r>
    </w:p>
    <w:p>
      <w:pPr>
        <w:pStyle w:val="Compact"/>
        <w:numPr>
          <w:ilvl w:val="2"/>
          <w:numId w:val="1038"/>
        </w:numPr>
      </w:pPr>
      <w:r>
        <w:t xml:space="preserve">SOI efetivo é "nenhum"; DMS Up/Down não têm efeito até estabilizar.</w:t>
      </w:r>
      <w:r>
        <w:br/>
      </w:r>
    </w:p>
    <w:p>
      <w:pPr>
        <w:pStyle w:val="Compact"/>
        <w:numPr>
          <w:ilvl w:val="2"/>
          <w:numId w:val="1038"/>
        </w:numPr>
      </w:pPr>
      <w:r>
        <w:t xml:space="preserve">Após estabilização, SOI volta ao estado anterior e DMS Up volta a funcionar.</w:t>
      </w:r>
    </w:p>
    <w:p>
      <w:pPr>
        <w:pStyle w:val="Compact"/>
        <w:numPr>
          <w:ilvl w:val="1"/>
          <w:numId w:val="1037"/>
        </w:numPr>
      </w:pPr>
      <w:r>
        <w:rPr>
          <w:b/>
          <w:bCs/>
        </w:rPr>
        <w:t xml:space="preserve">MARK/OFLY Submode</w:t>
      </w:r>
      <w:r>
        <w:t xml:space="preserve">:</w:t>
      </w:r>
    </w:p>
    <w:p>
      <w:pPr>
        <w:pStyle w:val="Compact"/>
        <w:numPr>
          <w:ilvl w:val="2"/>
          <w:numId w:val="1039"/>
        </w:numPr>
      </w:pPr>
      <w:r>
        <w:t xml:space="preserve">Em MARK/OFLY, SOI não pode ser designado (Dash‑34 §2.1.1.2.3).</w:t>
      </w:r>
      <w:r>
        <w:br/>
      </w:r>
    </w:p>
    <w:p>
      <w:pPr>
        <w:pStyle w:val="Compact"/>
        <w:numPr>
          <w:ilvl w:val="2"/>
          <w:numId w:val="1039"/>
        </w:numPr>
      </w:pPr>
      <w:r>
        <w:t xml:space="preserve">DMS que normalmente mudariam SOI não têm efeito.</w:t>
      </w:r>
      <w:r>
        <w:br/>
      </w:r>
    </w:p>
    <w:p>
      <w:pPr>
        <w:pStyle w:val="Compact"/>
        <w:numPr>
          <w:ilvl w:val="2"/>
          <w:numId w:val="1039"/>
        </w:numPr>
      </w:pPr>
      <w:r>
        <w:t xml:space="preserve">Exceção rara na operação normal.</w:t>
      </w:r>
    </w:p>
    <w:p>
      <w:r>
        <w:pict>
          <v:rect style="width:0;height:1.5pt" o:hralign="center" o:hrstd="t" o:hr="t"/>
        </w:pict>
      </w:r>
    </w:p>
    <w:bookmarkEnd w:id="17"/>
    <w:bookmarkEnd w:id="18"/>
    <w:bookmarkStart w:id="23" w:name="Xec0efa15a959234e64a9b48b64499ee3aefa16a"/>
    <w:p>
      <w:pPr>
        <w:pStyle w:val="Heading2"/>
      </w:pPr>
      <w:r>
        <w:t xml:space="preserve">3. Section 4.2.2 — DMS Down: Toggle SOI Between Displays</w:t>
      </w:r>
    </w:p>
    <w:p>
      <w:pPr>
        <w:pStyle w:val="FirstParagraph"/>
      </w:pPr>
      <w:r>
        <w:rPr>
          <w:b/>
          <w:bCs/>
        </w:rPr>
        <w:t xml:space="preserve">Current implementation:</w:t>
      </w:r>
      <w:r>
        <w:t xml:space="preserve"> </w:t>
      </w:r>
      <w:r>
        <w:t xml:space="preserve">- Nenhum WIP ativo ainda.</w:t>
      </w:r>
      <w:r>
        <w:br/>
      </w:r>
      <w:r>
        <w:t xml:space="preserve">- Conteúdo parcial de DMS Down existe apenas em arquivo deprecated (</w:t>
      </w:r>
      <w:r>
        <w:rPr>
          <w:rStyle w:val="VerbatimChar"/>
        </w:rPr>
        <w:t xml:space="preserve">section-C4-S2-dms-up-down-deprecated-2026-01-14.tex</w:t>
      </w:r>
      <w:r>
        <w:t xml:space="preserve">) e foi salvo à parte (fora da estrutura oficial) para futura criação de</w:t>
      </w:r>
      <w:r>
        <w:t xml:space="preserve"> </w:t>
      </w:r>
      <w:r>
        <w:rPr>
          <w:rStyle w:val="VerbatimChar"/>
        </w:rPr>
        <w:t xml:space="preserve">section-C4-S2-dms-down-review-2026-01-xx.tex</w:t>
      </w:r>
      <w:r>
        <w:t xml:space="preserve">.</w:t>
      </w:r>
    </w:p>
    <w:p>
      <w:pPr>
        <w:pStyle w:val="BodyText"/>
      </w:pPr>
      <w:r>
        <w:rPr>
          <w:b/>
          <w:bCs/>
        </w:rPr>
        <w:t xml:space="preserve">Status alvo:</w:t>
      </w:r>
      <w:r>
        <w:t xml:space="preserve"> </w:t>
      </w:r>
      <w:r>
        <w:t xml:space="preserve">- Criar novo WIP</w:t>
      </w:r>
      <w:r>
        <w:t xml:space="preserve"> </w:t>
      </w:r>
      <w:r>
        <w:rPr>
          <w:rStyle w:val="VerbatimChar"/>
        </w:rPr>
        <w:t xml:space="preserve">section-C4-S2-dms-down-review-2026-01-xx.tex</w:t>
      </w:r>
      <w:r>
        <w:t xml:space="preserve">.</w:t>
      </w:r>
      <w:r>
        <w:br/>
      </w:r>
      <w:r>
        <w:t xml:space="preserve">- Reutilizar o texto válido do deprecated, ajustando à estrutura abaixo.</w:t>
      </w:r>
      <w:r>
        <w:br/>
      </w:r>
      <w:r>
        <w:t xml:space="preserve">- Remover redundâncias com 4.1.</w:t>
      </w:r>
    </w:p>
    <w:p>
      <w:pPr>
        <w:pStyle w:val="BodyText"/>
      </w:pPr>
      <w:r>
        <w:rPr>
          <w:b/>
          <w:bCs/>
        </w:rPr>
        <w:t xml:space="preserve">Structure (final):</w:t>
      </w:r>
    </w:p>
    <w:p>
      <w:pPr>
        <w:pStyle w:val="SourceCode"/>
      </w:pPr>
      <w:r>
        <w:rPr>
          <w:rStyle w:val="VerbatimChar"/>
        </w:rPr>
        <w:t xml:space="preserve">4.2.2 DMS Down: Toggle SOI Between Displays</w:t>
      </w:r>
      <w:r>
        <w:br/>
      </w:r>
      <w:r>
        <w:rPr>
          <w:rStyle w:val="VerbatimChar"/>
        </w:rPr>
        <w:t xml:space="preserve">  [Intro: Core toggle logic HUD / Right MFD / Left MFD — no subsubsection]</w:t>
      </w:r>
      <w:r>
        <w:br/>
      </w:r>
      <w:r>
        <w:rPr>
          <w:rStyle w:val="VerbatimChar"/>
        </w:rPr>
        <w:t xml:space="preserve">  4.2.2.1 DMS Down Effectiveness in All Master Modes</w:t>
      </w:r>
      <w:r>
        <w:br/>
      </w:r>
      <w:r>
        <w:rPr>
          <w:rStyle w:val="VerbatimChar"/>
        </w:rPr>
        <w:t xml:space="preserve">  4.2.2.2 DMS Down Usage Table</w:t>
      </w:r>
      <w:r>
        <w:br/>
      </w:r>
      <w:r>
        <w:rPr>
          <w:rStyle w:val="VerbatimChar"/>
        </w:rPr>
        <w:t xml:space="preserve">  4.2.2.3 DMS Down Exception States</w:t>
      </w:r>
    </w:p>
    <w:bookmarkStart w:id="19" w:name="intro-unnumbered-core-toggle-logic"/>
    <w:p>
      <w:pPr>
        <w:pStyle w:val="Heading3"/>
      </w:pPr>
      <w:r>
        <w:t xml:space="preserve">4.2.2 Intro (unnumbered) — Core Toggle Logic</w:t>
      </w:r>
    </w:p>
    <w:p>
      <w:pPr>
        <w:numPr>
          <w:ilvl w:val="0"/>
          <w:numId w:val="1040"/>
        </w:numPr>
      </w:pPr>
      <w:r>
        <w:t xml:space="preserve">Explicar em texto corrido (sem heading):</w:t>
      </w:r>
    </w:p>
    <w:p>
      <w:pPr>
        <w:pStyle w:val="Compact"/>
        <w:numPr>
          <w:ilvl w:val="1"/>
          <w:numId w:val="1041"/>
        </w:numPr>
      </w:pPr>
      <w:r>
        <w:t xml:space="preserve">DMS Down altera</w:t>
      </w:r>
      <w:r>
        <w:t xml:space="preserve"> </w:t>
      </w:r>
      <w:r>
        <w:rPr>
          <w:b/>
          <w:bCs/>
        </w:rPr>
        <w:t xml:space="preserve">quem é o SOI</w:t>
      </w:r>
      <w:r>
        <w:t xml:space="preserve">, alternando entre:</w:t>
      </w:r>
    </w:p>
    <w:p>
      <w:pPr>
        <w:pStyle w:val="Compact"/>
        <w:numPr>
          <w:ilvl w:val="2"/>
          <w:numId w:val="1042"/>
        </w:numPr>
      </w:pPr>
      <w:r>
        <w:t xml:space="preserve">HUD,</w:t>
      </w:r>
      <w:r>
        <w:br/>
      </w:r>
    </w:p>
    <w:p>
      <w:pPr>
        <w:pStyle w:val="Compact"/>
        <w:numPr>
          <w:ilvl w:val="2"/>
          <w:numId w:val="1042"/>
        </w:numPr>
      </w:pPr>
      <w:r>
        <w:t xml:space="preserve">MFD direito,</w:t>
      </w:r>
      <w:r>
        <w:br/>
      </w:r>
    </w:p>
    <w:p>
      <w:pPr>
        <w:pStyle w:val="Compact"/>
        <w:numPr>
          <w:ilvl w:val="2"/>
          <w:numId w:val="1042"/>
        </w:numPr>
      </w:pPr>
      <w:r>
        <w:t xml:space="preserve">MFD esquerdo.</w:t>
      </w:r>
    </w:p>
    <w:p>
      <w:pPr>
        <w:pStyle w:val="Compact"/>
        <w:numPr>
          <w:ilvl w:val="1"/>
          <w:numId w:val="1041"/>
        </w:numPr>
      </w:pPr>
      <w:r>
        <w:t xml:space="preserve">Em modos onde HUD é SOI válido (NAV, A‑G), o ciclo típico é something like:</w:t>
      </w:r>
      <w:r>
        <w:br/>
      </w:r>
      <w:r>
        <w:t xml:space="preserve">HUD → Right MFD → Left MFD → HUD.</w:t>
      </w:r>
      <w:r>
        <w:br/>
      </w:r>
    </w:p>
    <w:p>
      <w:pPr>
        <w:pStyle w:val="Compact"/>
        <w:numPr>
          <w:ilvl w:val="1"/>
          <w:numId w:val="1041"/>
        </w:numPr>
      </w:pPr>
      <w:r>
        <w:t xml:space="preserve">Em A‑A/DGFT/MSL OVRD, HUD está fora do ciclo; DMS Down alterna apenas entre MFDs.</w:t>
      </w:r>
    </w:p>
    <w:p>
      <w:pPr>
        <w:numPr>
          <w:ilvl w:val="0"/>
          <w:numId w:val="1040"/>
        </w:numPr>
      </w:pPr>
      <w:r>
        <w:t xml:space="preserve">Incluir uma frase clara para evitar confusão com DMS Left/Right:</w:t>
      </w:r>
    </w:p>
    <w:p>
      <w:pPr>
        <w:pStyle w:val="BlockText"/>
        <w:numPr>
          <w:ilvl w:val="0"/>
          <w:numId w:val="1000"/>
        </w:numPr>
      </w:pPr>
      <w:r>
        <w:t xml:space="preserve">“In this section, ‘left MFD’ and ‘right MFD’ refer only to which display currently holds SOI when DMS Down is pressed. Format cycling on each MFD is described separately in Section 4.2.3 (DMS Left/Right).”</w:t>
      </w:r>
    </w:p>
    <w:bookmarkEnd w:id="19"/>
    <w:bookmarkStart w:id="20" w:name="X6c36c58c830373428bcd87d98a1fd0cb93b004f"/>
    <w:p>
      <w:pPr>
        <w:pStyle w:val="Heading3"/>
      </w:pPr>
      <w:r>
        <w:t xml:space="preserve">4.2.2.1 DMS Down Effectiveness in All Master Modes</w:t>
      </w:r>
    </w:p>
    <w:p>
      <w:pPr>
        <w:pStyle w:val="Compact"/>
        <w:numPr>
          <w:ilvl w:val="0"/>
          <w:numId w:val="1043"/>
        </w:numPr>
      </w:pPr>
      <w:r>
        <w:t xml:space="preserve">Similar em espírito a 4.2.1.1, mas para DMS Down:</w:t>
      </w:r>
    </w:p>
    <w:p>
      <w:pPr>
        <w:pStyle w:val="Compact"/>
        <w:numPr>
          <w:ilvl w:val="1"/>
          <w:numId w:val="1044"/>
        </w:numPr>
      </w:pPr>
      <w:r>
        <w:t xml:space="preserve">Descrever para cada grupo de modos como o SOI alterna quando DMS Down é pressionado.</w:t>
      </w:r>
    </w:p>
    <w:p>
      <w:pPr>
        <w:pStyle w:val="FirstParagraph"/>
      </w:pPr>
      <w:r>
        <w:t xml:space="preserve">Conteúdo alvo:</w:t>
      </w:r>
    </w:p>
    <w:p>
      <w:pPr>
        <w:pStyle w:val="Compact"/>
        <w:numPr>
          <w:ilvl w:val="0"/>
          <w:numId w:val="1045"/>
        </w:numPr>
      </w:pPr>
      <w:r>
        <w:rPr>
          <w:b/>
          <w:bCs/>
        </w:rPr>
        <w:t xml:space="preserve">NAV</w:t>
      </w:r>
    </w:p>
    <w:p>
      <w:pPr>
        <w:pStyle w:val="Compact"/>
        <w:numPr>
          <w:ilvl w:val="1"/>
          <w:numId w:val="1046"/>
        </w:numPr>
      </w:pPr>
      <w:r>
        <w:t xml:space="preserve">HUD está no ciclo.</w:t>
      </w:r>
      <w:r>
        <w:br/>
      </w:r>
    </w:p>
    <w:p>
      <w:pPr>
        <w:pStyle w:val="Compact"/>
        <w:numPr>
          <w:ilvl w:val="1"/>
          <w:numId w:val="1046"/>
        </w:numPr>
      </w:pPr>
      <w:r>
        <w:t xml:space="preserve">Padrão de alternância típico: HUD → MFD direito → MFD esquerdo → HUD.</w:t>
      </w:r>
      <w:r>
        <w:br/>
      </w:r>
    </w:p>
    <w:p>
      <w:pPr>
        <w:pStyle w:val="Compact"/>
        <w:numPr>
          <w:ilvl w:val="1"/>
          <w:numId w:val="1046"/>
        </w:numPr>
      </w:pPr>
      <w:r>
        <w:t xml:space="preserve">DMS Down é a forma primária de sair de HUD SOI para um MFD e de alternar o SOI entre MFDs.</w:t>
      </w:r>
    </w:p>
    <w:p>
      <w:pPr>
        <w:pStyle w:val="Compact"/>
        <w:numPr>
          <w:ilvl w:val="0"/>
          <w:numId w:val="1045"/>
        </w:numPr>
      </w:pPr>
      <w:r>
        <w:rPr>
          <w:b/>
          <w:bCs/>
        </w:rPr>
        <w:t xml:space="preserve">A‑G PRE/VIS</w:t>
      </w:r>
    </w:p>
    <w:p>
      <w:pPr>
        <w:pStyle w:val="Compact"/>
        <w:numPr>
          <w:ilvl w:val="1"/>
          <w:numId w:val="1047"/>
        </w:numPr>
      </w:pPr>
      <w:r>
        <w:t xml:space="preserve">Semelhante a NAV: HUD no ciclo, mas com ênfase em:</w:t>
      </w:r>
    </w:p>
    <w:p>
      <w:pPr>
        <w:pStyle w:val="Compact"/>
        <w:numPr>
          <w:ilvl w:val="2"/>
          <w:numId w:val="1048"/>
        </w:numPr>
      </w:pPr>
      <w:r>
        <w:t xml:space="preserve">Alternar rapidamente de HUD (visual) para TGP, WPN ou HAD como SOI em um dos MFDs.</w:t>
      </w:r>
      <w:r>
        <w:br/>
      </w:r>
    </w:p>
    <w:p>
      <w:pPr>
        <w:pStyle w:val="Compact"/>
        <w:numPr>
          <w:ilvl w:val="2"/>
          <w:numId w:val="1048"/>
        </w:numPr>
      </w:pPr>
      <w:r>
        <w:t xml:space="preserve">Voltar ao HUD com mais um(s) DMS Down, conforme a lógica do ciclo.</w:t>
      </w:r>
    </w:p>
    <w:p>
      <w:pPr>
        <w:pStyle w:val="Compact"/>
        <w:numPr>
          <w:ilvl w:val="0"/>
          <w:numId w:val="1045"/>
        </w:numPr>
      </w:pPr>
      <w:r>
        <w:rPr>
          <w:b/>
          <w:bCs/>
        </w:rPr>
        <w:t xml:space="preserve">A‑A / DGFT / MSL OVRD</w:t>
      </w:r>
    </w:p>
    <w:p>
      <w:pPr>
        <w:pStyle w:val="Compact"/>
        <w:numPr>
          <w:ilvl w:val="1"/>
          <w:numId w:val="1049"/>
        </w:numPr>
      </w:pPr>
      <w:r>
        <w:t xml:space="preserve">HUD não é SOI válido; o ciclo é</w:t>
      </w:r>
      <w:r>
        <w:t xml:space="preserve"> </w:t>
      </w:r>
      <w:r>
        <w:rPr>
          <w:b/>
          <w:bCs/>
        </w:rPr>
        <w:t xml:space="preserve">MFD‑only</w:t>
      </w:r>
      <w:r>
        <w:t xml:space="preserve">:</w:t>
      </w:r>
    </w:p>
    <w:p>
      <w:pPr>
        <w:pStyle w:val="Compact"/>
        <w:numPr>
          <w:ilvl w:val="2"/>
          <w:numId w:val="1050"/>
        </w:numPr>
      </w:pPr>
      <w:r>
        <w:t xml:space="preserve">Ex.: FCR (Right MFD) ↔ HSD (Left MFD) ↔ TGP, etc.</w:t>
      </w:r>
      <w:r>
        <w:br/>
      </w:r>
    </w:p>
    <w:p>
      <w:pPr>
        <w:pStyle w:val="Compact"/>
        <w:numPr>
          <w:ilvl w:val="1"/>
          <w:numId w:val="1049"/>
        </w:numPr>
      </w:pPr>
      <w:r>
        <w:t xml:space="preserve">DMS Down é a ferramenta principal para trocar a prioridade entre FCR, HSD e TGP.</w:t>
      </w:r>
    </w:p>
    <w:bookmarkEnd w:id="20"/>
    <w:bookmarkStart w:id="21" w:name="dms-down-usage-table"/>
    <w:p>
      <w:pPr>
        <w:pStyle w:val="Heading3"/>
      </w:pPr>
      <w:r>
        <w:t xml:space="preserve">4.2.2.2 DMS Down Usage Table</w:t>
      </w:r>
    </w:p>
    <w:p>
      <w:pPr>
        <w:numPr>
          <w:ilvl w:val="0"/>
          <w:numId w:val="1051"/>
        </w:numPr>
      </w:pPr>
      <w:r>
        <w:rPr>
          <w:rStyle w:val="VerbatimChar"/>
        </w:rPr>
        <w:t xml:space="preserve">\subsubsection{DMS Down Usage Table}</w:t>
      </w:r>
      <w:r>
        <w:t xml:space="preserve"> </w:t>
      </w:r>
      <w:r>
        <w:t xml:space="preserve">introduz</w:t>
      </w:r>
      <w:r>
        <w:t xml:space="preserve"> </w:t>
      </w:r>
      <w:r>
        <w:rPr>
          <w:rStyle w:val="VerbatimChar"/>
        </w:rPr>
        <w:t xml:space="preserve">hotastable</w:t>
      </w:r>
      <w:r>
        <w:t xml:space="preserve"> </w:t>
      </w:r>
      <w:r>
        <w:t xml:space="preserve">paralela à de DMS Up:</w:t>
      </w:r>
    </w:p>
    <w:p>
      <w:pPr>
        <w:pStyle w:val="Compact"/>
        <w:numPr>
          <w:ilvl w:val="1"/>
          <w:numId w:val="1052"/>
        </w:numPr>
      </w:pPr>
      <w:r>
        <w:t xml:space="preserve">NAV — Down / Short / Toggle SOI between HUD and MFDs</w:t>
      </w:r>
    </w:p>
    <w:p>
      <w:pPr>
        <w:pStyle w:val="Compact"/>
        <w:numPr>
          <w:ilvl w:val="2"/>
          <w:numId w:val="1053"/>
        </w:numPr>
      </w:pPr>
      <w:r>
        <w:t xml:space="preserve">Descrever o padrão de ciclo e como isso é usado em navegação e gestão de SA.</w:t>
      </w:r>
    </w:p>
    <w:p>
      <w:pPr>
        <w:pStyle w:val="Compact"/>
        <w:numPr>
          <w:ilvl w:val="1"/>
          <w:numId w:val="1052"/>
        </w:numPr>
      </w:pPr>
      <w:r>
        <w:t xml:space="preserve">A‑A — Down / Short / Toggle SOI between MFDs only</w:t>
      </w:r>
    </w:p>
    <w:p>
      <w:pPr>
        <w:pStyle w:val="Compact"/>
        <w:numPr>
          <w:ilvl w:val="2"/>
          <w:numId w:val="1054"/>
        </w:numPr>
      </w:pPr>
      <w:r>
        <w:t xml:space="preserve">HUD fora do ciclo; FCR, HSD, TGP como candidatos.</w:t>
      </w:r>
    </w:p>
    <w:p>
      <w:pPr>
        <w:pStyle w:val="Compact"/>
        <w:numPr>
          <w:ilvl w:val="1"/>
          <w:numId w:val="1052"/>
        </w:numPr>
      </w:pPr>
      <w:r>
        <w:t xml:space="preserve">A‑G — Down / Short / Toggle SOI between HUD and A‑G sensor pages</w:t>
      </w:r>
    </w:p>
    <w:p>
      <w:pPr>
        <w:pStyle w:val="Compact"/>
        <w:numPr>
          <w:ilvl w:val="2"/>
          <w:numId w:val="1055"/>
        </w:numPr>
      </w:pPr>
      <w:r>
        <w:t xml:space="preserve">Ênfase em passar HUD↔TGP↔WPN↔HAD, etc.</w:t>
      </w:r>
    </w:p>
    <w:p>
      <w:pPr>
        <w:numPr>
          <w:ilvl w:val="0"/>
          <w:numId w:val="1051"/>
        </w:numPr>
      </w:pPr>
      <w:r>
        <w:t xml:space="preserve">Coluna Dash‑34 com refs a 2.1.1.2.3 (SOI), 2.1.6 (MFDS), outras seções úteis.</w:t>
      </w:r>
      <w:r>
        <w:br/>
      </w:r>
    </w:p>
    <w:p>
      <w:pPr>
        <w:numPr>
          <w:ilvl w:val="0"/>
          <w:numId w:val="1051"/>
        </w:numPr>
      </w:pPr>
      <w:r>
        <w:t xml:space="preserve">Coluna Train com TRN relevantes (provavelmente os mesmos de A‑G VIS, mais algum de NAV se fizer sentido).</w:t>
      </w:r>
    </w:p>
    <w:bookmarkEnd w:id="21"/>
    <w:bookmarkStart w:id="22" w:name="dms-down-exception-states"/>
    <w:p>
      <w:pPr>
        <w:pStyle w:val="Heading3"/>
      </w:pPr>
      <w:r>
        <w:t xml:space="preserve">4.2.2.3 DMS Down Exception States</w:t>
      </w:r>
    </w:p>
    <w:p>
      <w:pPr>
        <w:numPr>
          <w:ilvl w:val="0"/>
          <w:numId w:val="1056"/>
        </w:numPr>
      </w:pPr>
      <w:r>
        <w:t xml:space="preserve">Paralelo a 4.2.1.3, focando em como os estados especiais afetam DMS Down:</w:t>
      </w:r>
    </w:p>
    <w:p>
      <w:pPr>
        <w:pStyle w:val="Compact"/>
        <w:numPr>
          <w:ilvl w:val="1"/>
          <w:numId w:val="1057"/>
        </w:numPr>
      </w:pPr>
      <w:r>
        <w:rPr>
          <w:b/>
          <w:bCs/>
        </w:rPr>
        <w:t xml:space="preserve">Snowplow (SP) PRE</w:t>
      </w:r>
      <w:r>
        <w:t xml:space="preserve">:</w:t>
      </w:r>
    </w:p>
    <w:p>
      <w:pPr>
        <w:pStyle w:val="Compact"/>
        <w:numPr>
          <w:ilvl w:val="2"/>
          <w:numId w:val="1058"/>
        </w:numPr>
      </w:pPr>
      <w:r>
        <w:t xml:space="preserve">Quando nem FCR nem TGP têm SOI (ambos</w:t>
      </w:r>
      <w:r>
        <w:t xml:space="preserve"> </w:t>
      </w:r>
      <w:r>
        <w:rPr>
          <w:rStyle w:val="VerbatimChar"/>
        </w:rPr>
        <w:t xml:space="preserve">NOT SOI</w:t>
      </w:r>
      <w:r>
        <w:t xml:space="preserve">), DMS Down não consegue transferir SOI entre MFDs.</w:t>
      </w:r>
      <w:r>
        <w:br/>
      </w:r>
    </w:p>
    <w:p>
      <w:pPr>
        <w:pStyle w:val="Compact"/>
        <w:numPr>
          <w:ilvl w:val="2"/>
          <w:numId w:val="1058"/>
        </w:numPr>
      </w:pPr>
      <w:r>
        <w:t xml:space="preserve">Somente após estabilizar SP (TMS Up) o ciclo de SOI volta a ser válido.</w:t>
      </w:r>
    </w:p>
    <w:p>
      <w:pPr>
        <w:pStyle w:val="Compact"/>
        <w:numPr>
          <w:ilvl w:val="1"/>
          <w:numId w:val="1057"/>
        </w:numPr>
      </w:pPr>
      <w:r>
        <w:rPr>
          <w:b/>
          <w:bCs/>
        </w:rPr>
        <w:t xml:space="preserve">MARK/OFLY</w:t>
      </w:r>
      <w:r>
        <w:t xml:space="preserve">:</w:t>
      </w:r>
    </w:p>
    <w:p>
      <w:pPr>
        <w:pStyle w:val="Compact"/>
        <w:numPr>
          <w:ilvl w:val="2"/>
          <w:numId w:val="1059"/>
        </w:numPr>
      </w:pPr>
      <w:r>
        <w:t xml:space="preserve">Em MARK/OFLY, SOI não pode ser designado; DMS Down não altera SOI.</w:t>
      </w:r>
      <w:r>
        <w:br/>
      </w:r>
    </w:p>
    <w:p>
      <w:pPr>
        <w:pStyle w:val="Compact"/>
        <w:numPr>
          <w:ilvl w:val="2"/>
          <w:numId w:val="1059"/>
        </w:numPr>
      </w:pPr>
      <w:r>
        <w:t xml:space="preserve">Igual a DMS Up em termos de inefetividade.</w:t>
      </w:r>
    </w:p>
    <w:p>
      <w:pPr>
        <w:pStyle w:val="Compact"/>
        <w:numPr>
          <w:ilvl w:val="1"/>
          <w:numId w:val="1057"/>
        </w:numPr>
      </w:pPr>
      <w:r>
        <w:t xml:space="preserve">Outros estados especiais podem ser adicionados se identificados (mas a intenção é manter aqui apenas casos realmente distintos do comportamento nominal).</w:t>
      </w:r>
    </w:p>
    <w:p>
      <w:r>
        <w:pict>
          <v:rect style="width:0;height:1.5pt" o:hralign="center" o:hrstd="t" o:hr="t"/>
        </w:pict>
      </w:r>
    </w:p>
    <w:bookmarkEnd w:id="22"/>
    <w:bookmarkEnd w:id="23"/>
    <w:bookmarkStart w:id="28" w:name="Xadf5b8a0adc37b2219d6c673270f9b43568ef7f"/>
    <w:p>
      <w:pPr>
        <w:pStyle w:val="Heading2"/>
      </w:pPr>
      <w:r>
        <w:t xml:space="preserve">4. Section 4.2.3 — DMS Left / Right: Cycle MFD Formats</w:t>
      </w:r>
    </w:p>
    <w:p>
      <w:pPr>
        <w:pStyle w:val="FirstParagraph"/>
      </w:pPr>
      <w:r>
        <w:rPr>
          <w:b/>
          <w:bCs/>
        </w:rPr>
        <w:t xml:space="preserve">Current implementation:</w:t>
      </w:r>
      <w:r>
        <w:t xml:space="preserve"> </w:t>
      </w:r>
      <w:r>
        <w:t xml:space="preserve">- Antigo</w:t>
      </w:r>
      <w:r>
        <w:t xml:space="preserve"> </w:t>
      </w:r>
      <w:r>
        <w:rPr>
          <w:rStyle w:val="VerbatimChar"/>
        </w:rPr>
        <w:t xml:space="preserve">section-C4-S3-dms-format-cycling-dev-2026-01-13.tex</w:t>
      </w:r>
      <w:r>
        <w:t xml:space="preserve"> </w:t>
      </w:r>
      <w:r>
        <w:t xml:space="preserve">foi renomeado para</w:t>
      </w:r>
      <w:r>
        <w:t xml:space="preserve"> </w:t>
      </w:r>
      <w:r>
        <w:rPr>
          <w:rStyle w:val="VerbatimChar"/>
        </w:rPr>
        <w:t xml:space="preserve">section-C4-S3-dms-format-cycling-deprecated-2026-01-13.tex</w:t>
      </w:r>
      <w:r>
        <w:t xml:space="preserve"> </w:t>
      </w:r>
      <w:r>
        <w:t xml:space="preserve">e movido para ARCHIVE.</w:t>
      </w:r>
      <w:r>
        <w:br/>
      </w:r>
      <w:r>
        <w:t xml:space="preserve">- Nenhum novo WIP ativo ainda.</w:t>
      </w:r>
    </w:p>
    <w:p>
      <w:pPr>
        <w:pStyle w:val="BodyText"/>
      </w:pPr>
      <w:r>
        <w:rPr>
          <w:b/>
          <w:bCs/>
        </w:rPr>
        <w:t xml:space="preserve">Status alvo:</w:t>
      </w:r>
      <w:r>
        <w:t xml:space="preserve"> </w:t>
      </w:r>
      <w:r>
        <w:t xml:space="preserve">- Criar novo WIP</w:t>
      </w:r>
      <w:r>
        <w:t xml:space="preserve"> </w:t>
      </w:r>
      <w:r>
        <w:rPr>
          <w:rStyle w:val="VerbatimChar"/>
        </w:rPr>
        <w:t xml:space="preserve">section-C4-S3-dms-left-right-review-2026-01-xx.tex</w:t>
      </w:r>
      <w:r>
        <w:t xml:space="preserve"> </w:t>
      </w:r>
      <w:r>
        <w:t xml:space="preserve">para implementar 4.2.3 do zero, alinhado a este blueprint.</w:t>
      </w:r>
    </w:p>
    <w:p>
      <w:pPr>
        <w:pStyle w:val="BodyText"/>
      </w:pPr>
      <w:r>
        <w:rPr>
          <w:b/>
          <w:bCs/>
        </w:rPr>
        <w:t xml:space="preserve">Structure (final):</w:t>
      </w:r>
    </w:p>
    <w:p>
      <w:pPr>
        <w:pStyle w:val="SourceCode"/>
      </w:pPr>
      <w:r>
        <w:rPr>
          <w:rStyle w:val="VerbatimChar"/>
        </w:rPr>
        <w:t xml:space="preserve">4.2.3 DMS Left / Right: Cycle MFD Formats</w:t>
      </w:r>
      <w:r>
        <w:br/>
      </w:r>
      <w:r>
        <w:rPr>
          <w:rStyle w:val="VerbatimChar"/>
        </w:rPr>
        <w:t xml:space="preserve">  4.2.3.1 Format Cycling Mechanics</w:t>
      </w:r>
      <w:r>
        <w:br/>
      </w:r>
      <w:r>
        <w:rPr>
          <w:rStyle w:val="VerbatimChar"/>
        </w:rPr>
        <w:t xml:space="preserve">  4.2.3.2 Available Formats by Master Mode</w:t>
      </w:r>
      <w:r>
        <w:br/>
      </w:r>
      <w:r>
        <w:rPr>
          <w:rStyle w:val="VerbatimChar"/>
        </w:rPr>
        <w:t xml:space="preserve">  4.2.3.3 Left/Right and SOI Independence</w:t>
      </w:r>
      <w:r>
        <w:br/>
      </w:r>
      <w:r>
        <w:rPr>
          <w:rStyle w:val="VerbatimChar"/>
        </w:rPr>
        <w:t xml:space="preserve">  4.2.3.4 DMS Left/Right Usage Table</w:t>
      </w:r>
    </w:p>
    <w:bookmarkStart w:id="24" w:name="format-cycling-mechanics"/>
    <w:p>
      <w:pPr>
        <w:pStyle w:val="Heading3"/>
      </w:pPr>
      <w:r>
        <w:t xml:space="preserve">4.2.3.1 Format Cycling Mechanics</w:t>
      </w:r>
    </w:p>
    <w:p>
      <w:pPr>
        <w:pStyle w:val="Compact"/>
        <w:numPr>
          <w:ilvl w:val="0"/>
          <w:numId w:val="1060"/>
        </w:numPr>
      </w:pPr>
      <w:r>
        <w:t xml:space="preserve">Explicar, em termos gerais:</w:t>
      </w:r>
    </w:p>
    <w:p>
      <w:pPr>
        <w:pStyle w:val="Compact"/>
        <w:numPr>
          <w:ilvl w:val="1"/>
          <w:numId w:val="1061"/>
        </w:numPr>
      </w:pPr>
      <w:r>
        <w:t xml:space="preserve">DMS Left → cicla formatos no</w:t>
      </w:r>
      <w:r>
        <w:t xml:space="preserve"> </w:t>
      </w:r>
      <w:r>
        <w:rPr>
          <w:b/>
          <w:bCs/>
        </w:rPr>
        <w:t xml:space="preserve">MFD esquerdo</w:t>
      </w:r>
      <w:r>
        <w:t xml:space="preserve"> </w:t>
      </w:r>
      <w:r>
        <w:t xml:space="preserve">(primário → secundário → terciário).</w:t>
      </w:r>
      <w:r>
        <w:br/>
      </w:r>
    </w:p>
    <w:p>
      <w:pPr>
        <w:pStyle w:val="Compact"/>
        <w:numPr>
          <w:ilvl w:val="1"/>
          <w:numId w:val="1061"/>
        </w:numPr>
      </w:pPr>
      <w:r>
        <w:t xml:space="preserve">DMS Right → idem para</w:t>
      </w:r>
      <w:r>
        <w:t xml:space="preserve"> </w:t>
      </w:r>
      <w:r>
        <w:rPr>
          <w:b/>
          <w:bCs/>
        </w:rPr>
        <w:t xml:space="preserve">MFD direito</w:t>
      </w:r>
      <w:r>
        <w:t xml:space="preserve">.</w:t>
      </w:r>
      <w:r>
        <w:br/>
      </w:r>
    </w:p>
    <w:p>
      <w:pPr>
        <w:pStyle w:val="Compact"/>
        <w:numPr>
          <w:ilvl w:val="1"/>
          <w:numId w:val="1061"/>
        </w:numPr>
      </w:pPr>
      <w:r>
        <w:t xml:space="preserve">Não muda quem é SOI; muda apenas</w:t>
      </w:r>
      <w:r>
        <w:t xml:space="preserve"> </w:t>
      </w:r>
      <w:r>
        <w:rPr>
          <w:b/>
          <w:bCs/>
        </w:rPr>
        <w:t xml:space="preserve">o que</w:t>
      </w:r>
      <w:r>
        <w:t xml:space="preserve"> </w:t>
      </w:r>
      <w:r>
        <w:t xml:space="preserve">está exibido naquele MFD.</w:t>
      </w:r>
    </w:p>
    <w:bookmarkEnd w:id="24"/>
    <w:bookmarkStart w:id="25" w:name="available-formats-by-master-mode"/>
    <w:p>
      <w:pPr>
        <w:pStyle w:val="Heading3"/>
      </w:pPr>
      <w:r>
        <w:t xml:space="preserve">4.2.3.2 Available Formats by Master Mode</w:t>
      </w:r>
    </w:p>
    <w:p>
      <w:pPr>
        <w:pStyle w:val="Compact"/>
        <w:numPr>
          <w:ilvl w:val="0"/>
          <w:numId w:val="1062"/>
        </w:numPr>
      </w:pPr>
      <w:r>
        <w:t xml:space="preserve">Descrição qualitativa (não precisa tabela separada) das combinações típicas:</w:t>
      </w:r>
    </w:p>
    <w:p>
      <w:pPr>
        <w:pStyle w:val="Compact"/>
        <w:numPr>
          <w:ilvl w:val="1"/>
          <w:numId w:val="1063"/>
        </w:numPr>
      </w:pPr>
      <w:r>
        <w:t xml:space="preserve">NAV: FCR/HSD/SMS/etc.</w:t>
      </w:r>
      <w:r>
        <w:br/>
      </w:r>
    </w:p>
    <w:p>
      <w:pPr>
        <w:pStyle w:val="Compact"/>
        <w:numPr>
          <w:ilvl w:val="1"/>
          <w:numId w:val="1063"/>
        </w:numPr>
      </w:pPr>
      <w:r>
        <w:t xml:space="preserve">A‑A: FCR, HSD, SMS, etc.</w:t>
      </w:r>
      <w:r>
        <w:br/>
      </w:r>
    </w:p>
    <w:p>
      <w:pPr>
        <w:pStyle w:val="Compact"/>
        <w:numPr>
          <w:ilvl w:val="1"/>
          <w:numId w:val="1063"/>
        </w:numPr>
      </w:pPr>
      <w:r>
        <w:t xml:space="preserve">A‑G: FCR, TGP, HAD, WPN, SMS, HSD.</w:t>
      </w:r>
    </w:p>
    <w:bookmarkEnd w:id="25"/>
    <w:bookmarkStart w:id="26" w:name="leftright-and-soi-independence"/>
    <w:p>
      <w:pPr>
        <w:pStyle w:val="Heading3"/>
      </w:pPr>
      <w:r>
        <w:t xml:space="preserve">4.2.3.3 Left/Right and SOI Independence</w:t>
      </w:r>
    </w:p>
    <w:p>
      <w:pPr>
        <w:pStyle w:val="Compact"/>
        <w:numPr>
          <w:ilvl w:val="0"/>
          <w:numId w:val="1064"/>
        </w:numPr>
      </w:pPr>
      <w:r>
        <w:t xml:space="preserve">Deixar cristalino que</w:t>
      </w:r>
      <w:r>
        <w:t xml:space="preserve"> </w:t>
      </w:r>
      <w:r>
        <w:rPr>
          <w:b/>
          <w:bCs/>
        </w:rPr>
        <w:t xml:space="preserve">DMS Left/Right não mudam SOI</w:t>
      </w:r>
      <w:r>
        <w:t xml:space="preserve">.</w:t>
      </w:r>
      <w:r>
        <w:br/>
      </w:r>
    </w:p>
    <w:p>
      <w:pPr>
        <w:pStyle w:val="Compact"/>
        <w:numPr>
          <w:ilvl w:val="0"/>
          <w:numId w:val="1064"/>
        </w:numPr>
      </w:pPr>
      <w:r>
        <w:t xml:space="preserve">Explicar o padrão típico:</w:t>
      </w:r>
    </w:p>
    <w:p>
      <w:pPr>
        <w:pStyle w:val="Compact"/>
        <w:numPr>
          <w:ilvl w:val="1"/>
          <w:numId w:val="1065"/>
        </w:numPr>
      </w:pPr>
      <w:r>
        <w:t xml:space="preserve">Mover SOI com Up/Down.</w:t>
      </w:r>
      <w:r>
        <w:br/>
      </w:r>
    </w:p>
    <w:p>
      <w:pPr>
        <w:pStyle w:val="Compact"/>
        <w:numPr>
          <w:ilvl w:val="1"/>
          <w:numId w:val="1065"/>
        </w:numPr>
      </w:pPr>
      <w:r>
        <w:t xml:space="preserve">Mudar formato no MFD onde o SOI está (ou não está) com Left/Right.</w:t>
      </w:r>
    </w:p>
    <w:bookmarkEnd w:id="26"/>
    <w:bookmarkStart w:id="27" w:name="dms-leftright-usage-table"/>
    <w:p>
      <w:pPr>
        <w:pStyle w:val="Heading3"/>
      </w:pPr>
      <w:r>
        <w:t xml:space="preserve">4.2.3.4 DMS Left/Right Usage Table</w:t>
      </w:r>
    </w:p>
    <w:p>
      <w:pPr>
        <w:pStyle w:val="Compact"/>
        <w:numPr>
          <w:ilvl w:val="0"/>
          <w:numId w:val="1066"/>
        </w:numPr>
      </w:pPr>
      <w:r>
        <w:rPr>
          <w:rStyle w:val="VerbatimChar"/>
        </w:rPr>
        <w:t xml:space="preserve">hotastable</w:t>
      </w:r>
      <w:r>
        <w:t xml:space="preserve"> </w:t>
      </w:r>
      <w:r>
        <w:t xml:space="preserve">resumindo:</w:t>
      </w:r>
    </w:p>
    <w:p>
      <w:pPr>
        <w:pStyle w:val="Compact"/>
        <w:numPr>
          <w:ilvl w:val="1"/>
          <w:numId w:val="1067"/>
        </w:numPr>
      </w:pPr>
      <w:r>
        <w:t xml:space="preserve">NAV — Left/Right / Short / Cycle formats on left/right MFD.</w:t>
      </w:r>
      <w:r>
        <w:br/>
      </w:r>
    </w:p>
    <w:p>
      <w:pPr>
        <w:pStyle w:val="Compact"/>
        <w:numPr>
          <w:ilvl w:val="1"/>
          <w:numId w:val="1067"/>
        </w:numPr>
      </w:pPr>
      <w:r>
        <w:t xml:space="preserve">A‑A — idem, com ênfase em FCR/HSD.</w:t>
      </w:r>
      <w:r>
        <w:br/>
      </w:r>
    </w:p>
    <w:p>
      <w:pPr>
        <w:pStyle w:val="Compact"/>
        <w:numPr>
          <w:ilvl w:val="1"/>
          <w:numId w:val="1067"/>
        </w:numPr>
      </w:pPr>
      <w:r>
        <w:t xml:space="preserve">A‑G — idem, com ênfase em FCR/TGP/WPN/HAD.</w:t>
      </w:r>
    </w:p>
    <w:p>
      <w:r>
        <w:pict>
          <v:rect style="width:0;height:1.5pt" o:hralign="center" o:hrstd="t" o:hr="t"/>
        </w:pict>
      </w:r>
    </w:p>
    <w:bookmarkEnd w:id="27"/>
    <w:bookmarkEnd w:id="28"/>
    <w:bookmarkStart w:id="31" w:name="X0a4224ea6140bcdedcbe6b0165a39b16b119c85"/>
    <w:p>
      <w:pPr>
        <w:pStyle w:val="Heading2"/>
      </w:pPr>
      <w:r>
        <w:t xml:space="preserve">5. Section 4.2.4 — Master Mode Behavior — DMS Summary</w:t>
      </w:r>
    </w:p>
    <w:p>
      <w:pPr>
        <w:pStyle w:val="FirstParagraph"/>
      </w:pPr>
      <w:r>
        <w:rPr>
          <w:b/>
          <w:bCs/>
        </w:rPr>
        <w:t xml:space="preserve">Current implementation:</w:t>
      </w:r>
      <w:r>
        <w:t xml:space="preserve"> </w:t>
      </w:r>
      <w:r>
        <w:t xml:space="preserve">None yet.</w:t>
      </w:r>
    </w:p>
    <w:p>
      <w:pPr>
        <w:pStyle w:val="BodyText"/>
      </w:pPr>
      <w:r>
        <w:rPr>
          <w:b/>
          <w:bCs/>
        </w:rPr>
        <w:t xml:space="preserve">Status alvo:</w:t>
      </w:r>
      <w:r>
        <w:t xml:space="preserve"> </w:t>
      </w:r>
      <w:r>
        <w:t xml:space="preserve">Short summary section + consolidated table.</w:t>
      </w:r>
    </w:p>
    <w:p>
      <w:pPr>
        <w:pStyle w:val="BodyText"/>
      </w:pPr>
      <w:r>
        <w:rPr>
          <w:b/>
          <w:bCs/>
        </w:rPr>
        <w:t xml:space="preserve">Structure (final):</w:t>
      </w:r>
    </w:p>
    <w:p>
      <w:pPr>
        <w:pStyle w:val="SourceCode"/>
      </w:pPr>
      <w:r>
        <w:rPr>
          <w:rStyle w:val="VerbatimChar"/>
        </w:rPr>
        <w:t xml:space="preserve">4.2.4 Master Mode Behavior — DMS Summary</w:t>
      </w:r>
      <w:r>
        <w:br/>
      </w:r>
      <w:r>
        <w:rPr>
          <w:rStyle w:val="VerbatimChar"/>
        </w:rPr>
        <w:t xml:space="preserve">  4.2.4.1 Directional DMS Roles (Up / Down / Left / Right)</w:t>
      </w:r>
      <w:r>
        <w:br/>
      </w:r>
      <w:r>
        <w:rPr>
          <w:rStyle w:val="VerbatimChar"/>
        </w:rPr>
        <w:t xml:space="preserve">  4.2.4.2 Consolidated DMS × Master Mode Table</w:t>
      </w:r>
    </w:p>
    <w:bookmarkStart w:id="29" w:name="directional-dms-roles-up-down-left-right"/>
    <w:p>
      <w:pPr>
        <w:pStyle w:val="Heading3"/>
      </w:pPr>
      <w:r>
        <w:t xml:space="preserve">4.2.4.1 Directional DMS Roles (Up / Down / Left / Right)</w:t>
      </w:r>
    </w:p>
    <w:p>
      <w:pPr>
        <w:pStyle w:val="Compact"/>
        <w:numPr>
          <w:ilvl w:val="0"/>
          <w:numId w:val="1068"/>
        </w:numPr>
      </w:pPr>
      <w:r>
        <w:t xml:space="preserve">Breve recapitulação (1–2 parágrafos) dos papéis:</w:t>
      </w:r>
    </w:p>
    <w:p>
      <w:pPr>
        <w:pStyle w:val="Compact"/>
        <w:numPr>
          <w:ilvl w:val="1"/>
          <w:numId w:val="1069"/>
        </w:numPr>
      </w:pPr>
      <w:r>
        <w:t xml:space="preserve">Up: HUD/HMCS SOI quando permitido.</w:t>
      </w:r>
      <w:r>
        <w:br/>
      </w:r>
    </w:p>
    <w:p>
      <w:pPr>
        <w:pStyle w:val="Compact"/>
        <w:numPr>
          <w:ilvl w:val="1"/>
          <w:numId w:val="1069"/>
        </w:numPr>
      </w:pPr>
      <w:r>
        <w:t xml:space="preserve">Down: alternar SOI HUD↔MFDs.</w:t>
      </w:r>
      <w:r>
        <w:br/>
      </w:r>
    </w:p>
    <w:p>
      <w:pPr>
        <w:pStyle w:val="Compact"/>
        <w:numPr>
          <w:ilvl w:val="1"/>
          <w:numId w:val="1069"/>
        </w:numPr>
      </w:pPr>
      <w:r>
        <w:t xml:space="preserve">Left/Right: ciclar formatos nos MFDs.</w:t>
      </w:r>
    </w:p>
    <w:bookmarkEnd w:id="29"/>
    <w:bookmarkStart w:id="30" w:name="consolidated-dms-master-mode-table"/>
    <w:p>
      <w:pPr>
        <w:pStyle w:val="Heading3"/>
      </w:pPr>
      <w:r>
        <w:t xml:space="preserve">4.2.4.2 Consolidated DMS × Master Mode Table</w:t>
      </w:r>
    </w:p>
    <w:p>
      <w:pPr>
        <w:numPr>
          <w:ilvl w:val="0"/>
          <w:numId w:val="1070"/>
        </w:numPr>
      </w:pPr>
      <w:r>
        <w:t xml:space="preserve">Uma tabela resumen:</w:t>
      </w:r>
    </w:p>
    <w:p>
      <w:pPr>
        <w:pStyle w:val="Compact"/>
        <w:numPr>
          <w:ilvl w:val="1"/>
          <w:numId w:val="1071"/>
        </w:numPr>
      </w:pPr>
      <w:r>
        <w:t xml:space="preserve">Linhas: NAV, A‑A, A‑G PRE, A‑G VIS, DGFT, MSL OVRD.</w:t>
      </w:r>
      <w:r>
        <w:br/>
      </w:r>
    </w:p>
    <w:p>
      <w:pPr>
        <w:pStyle w:val="Compact"/>
        <w:numPr>
          <w:ilvl w:val="1"/>
          <w:numId w:val="1071"/>
        </w:numPr>
      </w:pPr>
      <w:r>
        <w:t xml:space="preserve">Colunas (exemplo): Up / Down / Left / Right / Notas.</w:t>
      </w:r>
    </w:p>
    <w:p>
      <w:pPr>
        <w:numPr>
          <w:ilvl w:val="0"/>
          <w:numId w:val="1070"/>
        </w:numPr>
      </w:pPr>
      <w:r>
        <w:t xml:space="preserve">Objetivo: dar ao leitor uma visão de “o que DMS faz em cada direção” por master mode, com referências cruzadas para 4.2.1–4.2.3 e para a tabela de SOI em 4.1.</w:t>
      </w:r>
    </w:p>
    <w:p>
      <w:r>
        <w:pict>
          <v:rect style="width:0;height:1.5pt" o:hralign="center" o:hrstd="t" o:hr="t"/>
        </w:pict>
      </w:r>
    </w:p>
    <w:bookmarkEnd w:id="30"/>
    <w:bookmarkEnd w:id="31"/>
    <w:bookmarkStart w:id="32" w:name="wip-file-mapping-and-to-do-list"/>
    <w:p>
      <w:pPr>
        <w:pStyle w:val="Heading2"/>
      </w:pPr>
      <w:r>
        <w:t xml:space="preserve">6. WIP File Mapping and To-Do List</w:t>
      </w:r>
    </w:p>
    <w:p>
      <w:pPr>
        <w:pStyle w:val="FirstParagraph"/>
      </w:pPr>
      <w:r>
        <w:rPr>
          <w:b/>
          <w:bCs/>
        </w:rPr>
        <w:t xml:space="preserve">Existing, FINAL / near-final WIP files:</w:t>
      </w:r>
    </w:p>
    <w:p>
      <w:pPr>
        <w:pStyle w:val="Compact"/>
        <w:numPr>
          <w:ilvl w:val="0"/>
          <w:numId w:val="1072"/>
        </w:numPr>
      </w:pPr>
      <w:r>
        <w:rPr>
          <w:rStyle w:val="VerbatimChar"/>
        </w:rPr>
        <w:t xml:space="preserve">section-C4-S1-concept-soi-final-2026-01-14.tex</w:t>
      </w:r>
    </w:p>
    <w:p>
      <w:pPr>
        <w:pStyle w:val="Compact"/>
        <w:numPr>
          <w:ilvl w:val="1"/>
          <w:numId w:val="1073"/>
        </w:numPr>
      </w:pPr>
      <w:r>
        <w:t xml:space="preserve">Maps to 4.1 (entire).</w:t>
      </w:r>
      <w:r>
        <w:br/>
      </w:r>
    </w:p>
    <w:p>
      <w:pPr>
        <w:pStyle w:val="Compact"/>
        <w:numPr>
          <w:ilvl w:val="1"/>
          <w:numId w:val="1073"/>
        </w:numPr>
      </w:pPr>
      <w:r>
        <w:t xml:space="preserve">Status: FINAL; integrate into</w:t>
      </w:r>
      <w:r>
        <w:t xml:space="preserve"> </w:t>
      </w:r>
      <w:r>
        <w:rPr>
          <w:rStyle w:val="VerbatimChar"/>
        </w:rPr>
        <w:t xml:space="preserve">guide.tex</w:t>
      </w:r>
      <w:r>
        <w:t xml:space="preserve">.</w:t>
      </w:r>
    </w:p>
    <w:p>
      <w:pPr>
        <w:pStyle w:val="Compact"/>
        <w:numPr>
          <w:ilvl w:val="0"/>
          <w:numId w:val="1072"/>
        </w:numPr>
      </w:pPr>
      <w:r>
        <w:rPr>
          <w:rStyle w:val="VerbatimChar"/>
        </w:rPr>
        <w:t xml:space="preserve">section-C4-S2-dms-up-final.tex</w:t>
      </w:r>
    </w:p>
    <w:p>
      <w:pPr>
        <w:pStyle w:val="Compact"/>
        <w:numPr>
          <w:ilvl w:val="1"/>
          <w:numId w:val="1074"/>
        </w:numPr>
      </w:pPr>
      <w:r>
        <w:t xml:space="preserve">Maps to 4.2.1.</w:t>
      </w:r>
      <w:r>
        <w:br/>
      </w:r>
    </w:p>
    <w:p>
      <w:pPr>
        <w:pStyle w:val="Compact"/>
        <w:numPr>
          <w:ilvl w:val="1"/>
          <w:numId w:val="1074"/>
        </w:numPr>
      </w:pPr>
      <w:r>
        <w:t xml:space="preserve">Status: FINAL narrative; only polishing/integration pending.</w:t>
      </w:r>
    </w:p>
    <w:p>
      <w:pPr>
        <w:pStyle w:val="FirstParagraph"/>
      </w:pPr>
      <w:r>
        <w:rPr>
          <w:b/>
          <w:bCs/>
        </w:rPr>
        <w:t xml:space="preserve">Deprecated WIP files:</w:t>
      </w:r>
    </w:p>
    <w:p>
      <w:pPr>
        <w:pStyle w:val="Compact"/>
        <w:numPr>
          <w:ilvl w:val="0"/>
          <w:numId w:val="1075"/>
        </w:numPr>
      </w:pPr>
      <w:r>
        <w:rPr>
          <w:rStyle w:val="VerbatimChar"/>
        </w:rPr>
        <w:t xml:space="preserve">section-C4-S2-dms-up-down-deprecated-2026-01-14.tex</w:t>
      </w:r>
    </w:p>
    <w:p>
      <w:pPr>
        <w:pStyle w:val="Compact"/>
        <w:numPr>
          <w:ilvl w:val="1"/>
          <w:numId w:val="1076"/>
        </w:numPr>
      </w:pPr>
      <w:r>
        <w:t xml:space="preserve">Source of legacy DMS Down text; must</w:t>
      </w:r>
      <w:r>
        <w:t xml:space="preserve"> </w:t>
      </w:r>
      <w:r>
        <w:rPr>
          <w:b/>
          <w:bCs/>
        </w:rPr>
        <w:t xml:space="preserve">not</w:t>
      </w:r>
      <w:r>
        <w:t xml:space="preserve"> </w:t>
      </w:r>
      <w:r>
        <w:t xml:space="preserve">be re‑used directly.</w:t>
      </w:r>
      <w:r>
        <w:br/>
      </w:r>
    </w:p>
    <w:p>
      <w:pPr>
        <w:pStyle w:val="Compact"/>
        <w:numPr>
          <w:ilvl w:val="1"/>
          <w:numId w:val="1076"/>
        </w:numPr>
      </w:pPr>
      <w:r>
        <w:t xml:space="preserve">Relevant DMS Down content already copied to a separate scratch file.</w:t>
      </w:r>
    </w:p>
    <w:p>
      <w:pPr>
        <w:pStyle w:val="Compact"/>
        <w:numPr>
          <w:ilvl w:val="0"/>
          <w:numId w:val="1075"/>
        </w:numPr>
      </w:pPr>
      <w:r>
        <w:rPr>
          <w:rStyle w:val="VerbatimChar"/>
        </w:rPr>
        <w:t xml:space="preserve">section-C4-S3-dms-format-cycling-deprecated-2026-01-13.tex</w:t>
      </w:r>
    </w:p>
    <w:p>
      <w:pPr>
        <w:pStyle w:val="Compact"/>
        <w:numPr>
          <w:ilvl w:val="1"/>
          <w:numId w:val="1077"/>
        </w:numPr>
      </w:pPr>
      <w:r>
        <w:t xml:space="preserve">Old attempt at format cycling; not to be used as is.</w:t>
      </w:r>
    </w:p>
    <w:p>
      <w:pPr>
        <w:pStyle w:val="FirstParagraph"/>
      </w:pPr>
      <w:r>
        <w:rPr>
          <w:b/>
          <w:bCs/>
        </w:rPr>
        <w:t xml:space="preserve">New WIP files to create:</w:t>
      </w:r>
    </w:p>
    <w:p>
      <w:pPr>
        <w:pStyle w:val="Compact"/>
        <w:numPr>
          <w:ilvl w:val="0"/>
          <w:numId w:val="1078"/>
        </w:numPr>
      </w:pPr>
      <w:r>
        <w:rPr>
          <w:rStyle w:val="VerbatimChar"/>
        </w:rPr>
        <w:t xml:space="preserve">section-C4-S2-dms-down-review-2026-01-xx.tex</w:t>
      </w:r>
    </w:p>
    <w:p>
      <w:pPr>
        <w:pStyle w:val="Compact"/>
        <w:numPr>
          <w:ilvl w:val="1"/>
          <w:numId w:val="1079"/>
        </w:numPr>
      </w:pPr>
      <w:r>
        <w:t xml:space="preserve">Implements 4.2.2 per this blueprint.</w:t>
      </w:r>
      <w:r>
        <w:br/>
      </w:r>
    </w:p>
    <w:p>
      <w:pPr>
        <w:pStyle w:val="Compact"/>
        <w:numPr>
          <w:ilvl w:val="1"/>
          <w:numId w:val="1079"/>
        </w:numPr>
      </w:pPr>
      <w:r>
        <w:t xml:space="preserve">Uses extracted DMS Down content from deprecated file as raw material, but rewritten for clarity and to avoid redundancy with 4.1.</w:t>
      </w:r>
    </w:p>
    <w:p>
      <w:pPr>
        <w:pStyle w:val="Compact"/>
        <w:numPr>
          <w:ilvl w:val="0"/>
          <w:numId w:val="1078"/>
        </w:numPr>
      </w:pPr>
      <w:r>
        <w:rPr>
          <w:rStyle w:val="VerbatimChar"/>
        </w:rPr>
        <w:t xml:space="preserve">section-C4-S3-dms-left-right-review-2026-01-xx.tex</w:t>
      </w:r>
    </w:p>
    <w:p>
      <w:pPr>
        <w:pStyle w:val="Compact"/>
        <w:numPr>
          <w:ilvl w:val="1"/>
          <w:numId w:val="1080"/>
        </w:numPr>
      </w:pPr>
      <w:r>
        <w:t xml:space="preserve">Implements 4.2.3 from scratch (format cycling, independent of SOI).</w:t>
      </w:r>
      <w:r>
        <w:br/>
      </w:r>
    </w:p>
    <w:p>
      <w:pPr>
        <w:pStyle w:val="Compact"/>
        <w:numPr>
          <w:ilvl w:val="1"/>
          <w:numId w:val="1080"/>
        </w:numPr>
      </w:pPr>
      <w:r>
        <w:t xml:space="preserve">May borrow ideas from deprecated C4‑S3, but not structure.</w:t>
      </w:r>
    </w:p>
    <w:p>
      <w:pPr>
        <w:pStyle w:val="Compact"/>
        <w:numPr>
          <w:ilvl w:val="0"/>
          <w:numId w:val="1078"/>
        </w:numPr>
      </w:pPr>
      <w:r>
        <w:rPr>
          <w:rStyle w:val="VerbatimChar"/>
        </w:rPr>
        <w:t xml:space="preserve">section-C4-S4-dms-summary-review-2026-01-xx.tex</w:t>
      </w:r>
      <w:r>
        <w:t xml:space="preserve"> </w:t>
      </w:r>
      <w:r>
        <w:t xml:space="preserve">(or similar naming)</w:t>
      </w:r>
    </w:p>
    <w:p>
      <w:pPr>
        <w:pStyle w:val="Compact"/>
        <w:numPr>
          <w:ilvl w:val="1"/>
          <w:numId w:val="1081"/>
        </w:numPr>
      </w:pPr>
      <w:r>
        <w:t xml:space="preserve">Implements 4.2.4 summary and consolidated table.</w:t>
      </w:r>
    </w:p>
    <w:p>
      <w:pPr>
        <w:pStyle w:val="FirstParagraph"/>
      </w:pPr>
      <w:r>
        <w:rPr>
          <w:b/>
          <w:bCs/>
        </w:rPr>
        <w:t xml:space="preserve">Project Tracking updates (to be done in</w:t>
      </w:r>
      <w:r>
        <w:rPr>
          <w:b/>
          <w:bCs/>
        </w:rPr>
        <w:t xml:space="preserve"> </w:t>
      </w:r>
      <w:r>
        <w:rPr>
          <w:rStyle w:val="VerbatimChar"/>
          <w:b/>
          <w:bCs/>
        </w:rPr>
        <w:t xml:space="preserve">project-tracking-v5.0.0.md</w:t>
      </w:r>
      <w:r>
        <w:rPr>
          <w:b/>
          <w:bCs/>
        </w:rPr>
        <w:t xml:space="preserve">):</w:t>
      </w:r>
    </w:p>
    <w:p>
      <w:pPr>
        <w:pStyle w:val="Compact"/>
        <w:numPr>
          <w:ilvl w:val="0"/>
          <w:numId w:val="1082"/>
        </w:numPr>
      </w:pPr>
      <w:r>
        <w:t xml:space="preserve">Mark Chapter 4:</w:t>
      </w:r>
    </w:p>
    <w:p>
      <w:pPr>
        <w:pStyle w:val="Compact"/>
        <w:numPr>
          <w:ilvl w:val="1"/>
          <w:numId w:val="1083"/>
        </w:numPr>
      </w:pPr>
      <w:r>
        <w:t xml:space="preserve">C4‑S1: COMPLETE (Final).</w:t>
      </w:r>
      <w:r>
        <w:br/>
      </w:r>
    </w:p>
    <w:p>
      <w:pPr>
        <w:pStyle w:val="Compact"/>
        <w:numPr>
          <w:ilvl w:val="1"/>
          <w:numId w:val="1083"/>
        </w:numPr>
      </w:pPr>
      <w:r>
        <w:t xml:space="preserve">C4‑S2 (DMS Up): COMPLETE (Final).</w:t>
      </w:r>
      <w:r>
        <w:br/>
      </w:r>
    </w:p>
    <w:p>
      <w:pPr>
        <w:pStyle w:val="Compact"/>
        <w:numPr>
          <w:ilvl w:val="1"/>
          <w:numId w:val="1083"/>
        </w:numPr>
      </w:pPr>
      <w:r>
        <w:t xml:space="preserve">C4‑S2 (DMS Down): IN PROGRESS (TO DO, WIP not yet created).</w:t>
      </w:r>
      <w:r>
        <w:br/>
      </w:r>
    </w:p>
    <w:p>
      <w:pPr>
        <w:pStyle w:val="Compact"/>
        <w:numPr>
          <w:ilvl w:val="1"/>
          <w:numId w:val="1083"/>
        </w:numPr>
      </w:pPr>
      <w:r>
        <w:t xml:space="preserve">C4‑S3 (Left/Right): NOT STARTED.</w:t>
      </w:r>
      <w:r>
        <w:br/>
      </w:r>
    </w:p>
    <w:p>
      <w:pPr>
        <w:pStyle w:val="Compact"/>
        <w:numPr>
          <w:ilvl w:val="1"/>
          <w:numId w:val="1083"/>
        </w:numPr>
      </w:pPr>
      <w:r>
        <w:t xml:space="preserve">4.2.4 Summary: NOT STARTED.</w:t>
      </w:r>
    </w:p>
    <w:p>
      <w:pPr>
        <w:pStyle w:val="Compact"/>
        <w:numPr>
          <w:ilvl w:val="0"/>
          <w:numId w:val="1082"/>
        </w:numPr>
      </w:pPr>
      <w:r>
        <w:t xml:space="preserve">Note archival of deprecated files and creation of</w:t>
      </w:r>
      <w:r>
        <w:t xml:space="preserve"> </w:t>
      </w:r>
      <w:r>
        <w:rPr>
          <w:rStyle w:val="VerbatimChar"/>
        </w:rPr>
        <w:t xml:space="preserve">section-C4-S2-dms-up-final.tex</w:t>
      </w:r>
      <w:r>
        <w:t xml:space="preserve"> </w:t>
      </w:r>
      <w:r>
        <w:t xml:space="preserve">as the canonical DMS Up section.</w:t>
      </w:r>
    </w:p>
    <w:p>
      <w:r>
        <w:pict>
          <v:rect style="width:0;height:1.5pt" o:hralign="center" o:hrstd="t" o:hr="t"/>
        </w:pict>
      </w:r>
    </w:p>
    <w:p>
      <w:pPr>
        <w:pStyle w:val="FirstParagraph"/>
      </w:pPr>
      <w:r>
        <w:rPr>
          <w:i/>
          <w:iCs/>
        </w:rPr>
        <w:t xml:space="preserve">End of unified Chapter 4 (DMS) blueprint v1.1</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2026-01-15T05:04:34Z</dcterms:created>
  <dcterms:modified xsi:type="dcterms:W3CDTF">2026-01-15T05:04:34Z</dcterms:modified>
</cp:coreProperties>
</file>

<file path=docProps/custom.xml><?xml version="1.0" encoding="utf-8"?>
<Properties xmlns="http://schemas.openxmlformats.org/officeDocument/2006/custom-properties" xmlns:vt="http://schemas.openxmlformats.org/officeDocument/2006/docPropsVTypes"/>
</file>