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785E5" w14:textId="0DCCBF5A" w:rsidR="007725A2" w:rsidRDefault="00000000">
      <w:pPr>
        <w:jc w:val="both"/>
      </w:pPr>
      <w:r>
        <w:rPr>
          <w:b/>
        </w:rPr>
        <w:t>Tarea 1.c) – Carlos Ojeda Cárcamo</w:t>
      </w:r>
    </w:p>
    <w:p w14:paraId="6BE89966" w14:textId="77777777" w:rsidR="007725A2" w:rsidRDefault="00000000">
      <w:pPr>
        <w:jc w:val="both"/>
      </w:pPr>
      <w:r w:rsidRPr="009E6028">
        <w:rPr>
          <w:b/>
          <w:bCs/>
        </w:rPr>
        <w:t>Objetivo:</w:t>
      </w:r>
      <w:r>
        <w:t xml:space="preserve"> Construir y evaluar modelos de clasificación predictiva para identificar a los estudiantes que completaron el curso (</w:t>
      </w:r>
      <w:r w:rsidRPr="009E6028">
        <w:rPr>
          <w:i/>
          <w:iCs/>
        </w:rPr>
        <w:t>take_exam</w:t>
      </w:r>
      <w:r>
        <w:t xml:space="preserve"> = 1 como clase positiva). Se comparan tres familias de modelos bajo validación cruzada estratificada de 5 folds (StratifiedKFold, </w:t>
      </w:r>
      <w:r w:rsidRPr="009E6028">
        <w:rPr>
          <w:i/>
          <w:iCs/>
        </w:rPr>
        <w:t>random_state</w:t>
      </w:r>
      <w:r>
        <w:t xml:space="preserve">=42), garantizando comparabilidad directa: Regresión Logística, SVM con múltiples kernels y Random Forest </w:t>
      </w:r>
      <w:proofErr w:type="spellStart"/>
      <w:r>
        <w:t>como</w:t>
      </w:r>
      <w:proofErr w:type="spellEnd"/>
      <w:r>
        <w:t xml:space="preserve"> </w:t>
      </w:r>
      <w:proofErr w:type="spellStart"/>
      <w:r>
        <w:t>propuesta</w:t>
      </w:r>
      <w:proofErr w:type="spellEnd"/>
      <w:r>
        <w:t xml:space="preserve"> </w:t>
      </w:r>
      <w:proofErr w:type="spellStart"/>
      <w:r>
        <w:t>creativa</w:t>
      </w:r>
      <w:proofErr w:type="spellEnd"/>
      <w:r>
        <w:t xml:space="preserve"> de </w:t>
      </w:r>
      <w:proofErr w:type="spellStart"/>
      <w:r>
        <w:t>modelo</w:t>
      </w:r>
      <w:proofErr w:type="spellEnd"/>
      <w:r>
        <w:t xml:space="preserve"> </w:t>
      </w:r>
      <w:proofErr w:type="spellStart"/>
      <w:r>
        <w:t>avanzado</w:t>
      </w:r>
      <w:proofErr w:type="spellEnd"/>
      <w:r>
        <w:t>.</w:t>
      </w:r>
    </w:p>
    <w:p w14:paraId="6957B59B" w14:textId="5F4D8E13" w:rsidR="009E6028" w:rsidRPr="009E6028" w:rsidRDefault="009E6028">
      <w:pPr>
        <w:jc w:val="both"/>
        <w:rPr>
          <w:b/>
          <w:bCs/>
        </w:rPr>
      </w:pPr>
      <w:proofErr w:type="spellStart"/>
      <w:r w:rsidRPr="009E6028">
        <w:rPr>
          <w:b/>
          <w:bCs/>
        </w:rPr>
        <w:t>Repositorio</w:t>
      </w:r>
      <w:proofErr w:type="spellEnd"/>
      <w:r w:rsidRPr="009E6028">
        <w:rPr>
          <w:b/>
          <w:bCs/>
        </w:rPr>
        <w:t>:</w:t>
      </w:r>
      <w:r>
        <w:rPr>
          <w:b/>
          <w:bCs/>
        </w:rPr>
        <w:t xml:space="preserve"> </w:t>
      </w:r>
      <w:hyperlink r:id="rId6" w:history="1">
        <w:r w:rsidR="008519F9" w:rsidRPr="00BD525B">
          <w:rPr>
            <w:rStyle w:val="Hipervnculo"/>
          </w:rPr>
          <w:t>https://github.com/carlos-ojeda01/Tarea-1c</w:t>
        </w:r>
      </w:hyperlink>
      <w:r w:rsidR="008519F9">
        <w:t xml:space="preserve"> </w:t>
      </w:r>
    </w:p>
    <w:p w14:paraId="5551DDF5" w14:textId="77777777" w:rsidR="007725A2" w:rsidRDefault="007725A2">
      <w:pPr>
        <w:jc w:val="both"/>
      </w:pPr>
    </w:p>
    <w:p w14:paraId="40BCDC3E" w14:textId="77777777" w:rsidR="007725A2" w:rsidRDefault="00000000">
      <w:pPr>
        <w:jc w:val="both"/>
      </w:pPr>
      <w:r>
        <w:rPr>
          <w:b/>
        </w:rPr>
        <w:t>A. Fundamentación de la Selección de Variables</w:t>
      </w:r>
    </w:p>
    <w:p w14:paraId="285A0101" w14:textId="77777777" w:rsidR="007725A2" w:rsidRDefault="00000000">
      <w:pPr>
        <w:jc w:val="both"/>
      </w:pPr>
      <w:r>
        <w:t>Se combinan dos criterios complementarios para la selección de variables: (1) correlación de Pearson con umbral |r| &gt; 0.7 para detectar y descartar variables de uso redundantes entre sí, y (2) juicio experto, donde las variables tienen contexto y significado teórico que fundamenta su inclusión o exclusión, apoyado en la experiencia de las Tareas 1.a y 1.b.</w:t>
      </w:r>
    </w:p>
    <w:p w14:paraId="1FE54BF9" w14:textId="77777777" w:rsidR="007725A2" w:rsidRDefault="00000000">
      <w:pPr>
        <w:jc w:val="both"/>
      </w:pPr>
      <w:r>
        <w:t>Las cuatro variables de uso del sistema (</w:t>
      </w:r>
      <w:r w:rsidRPr="009E6028">
        <w:rPr>
          <w:i/>
          <w:iCs/>
        </w:rPr>
        <w:t>total_time, total_activity, qp_activity, total_activity_be</w:t>
      </w:r>
      <w:r>
        <w:t xml:space="preserve">) miden aspectos relacionados del engagement. La matriz de correlación muestra que todas están altamente correlacionadas entre sí (r ≥ 0.71), por lo que el script descarta automáticamente las redundantes y retiene únicamente qp_activity. En la Tarea 1b se demostró que </w:t>
      </w:r>
      <w:r w:rsidRPr="009E6028">
        <w:rPr>
          <w:i/>
          <w:iCs/>
        </w:rPr>
        <w:t>total_activity_be</w:t>
      </w:r>
      <w:r>
        <w:t xml:space="preserve"> y </w:t>
      </w:r>
      <w:r w:rsidRPr="009E6028">
        <w:rPr>
          <w:i/>
          <w:iCs/>
        </w:rPr>
        <w:t>total_time</w:t>
      </w:r>
      <w:r>
        <w:t xml:space="preserve"> son proxies intercambiables de </w:t>
      </w:r>
      <w:r w:rsidRPr="009E6028">
        <w:rPr>
          <w:i/>
          <w:iCs/>
        </w:rPr>
        <w:t>engagement</w:t>
      </w:r>
      <w:r>
        <w:t xml:space="preserve">, pero </w:t>
      </w:r>
      <w:r w:rsidRPr="009E6028">
        <w:rPr>
          <w:i/>
          <w:iCs/>
        </w:rPr>
        <w:t>total_time</w:t>
      </w:r>
      <w:r>
        <w:t xml:space="preserve"> puede inflarse por sesgos (sesiones abiertas sin interactuar). </w:t>
      </w:r>
      <w:r w:rsidRPr="009E6028">
        <w:rPr>
          <w:i/>
          <w:iCs/>
        </w:rPr>
        <w:t>qp_activity</w:t>
      </w:r>
      <w:r>
        <w:t xml:space="preserve"> captura interacción cognitivamente activa (ejercicios de QuizPet/Parsons), siendo un indicador más específico de engagement profundo que el conteo bruto de eventos.</w:t>
      </w:r>
    </w:p>
    <w:p w14:paraId="3AA0434F" w14:textId="77777777" w:rsidR="007725A2" w:rsidRDefault="00000000">
      <w:pPr>
        <w:jc w:val="center"/>
      </w:pPr>
      <w:r>
        <w:rPr>
          <w:noProof/>
        </w:rPr>
        <w:drawing>
          <wp:inline distT="0" distB="0" distL="0" distR="0" wp14:anchorId="5D3EA254" wp14:editId="250D29B6">
            <wp:extent cx="3424245" cy="28575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cion_uso.png"/>
                    <pic:cNvPicPr/>
                  </pic:nvPicPr>
                  <pic:blipFill>
                    <a:blip r:embed="rId7"/>
                    <a:stretch>
                      <a:fillRect/>
                    </a:stretch>
                  </pic:blipFill>
                  <pic:spPr>
                    <a:xfrm>
                      <a:off x="0" y="0"/>
                      <a:ext cx="3431483" cy="2863540"/>
                    </a:xfrm>
                    <a:prstGeom prst="rect">
                      <a:avLst/>
                    </a:prstGeom>
                  </pic:spPr>
                </pic:pic>
              </a:graphicData>
            </a:graphic>
          </wp:inline>
        </w:drawing>
      </w:r>
    </w:p>
    <w:p w14:paraId="3142FBDA" w14:textId="77777777" w:rsidR="007725A2" w:rsidRDefault="00000000">
      <w:pPr>
        <w:jc w:val="center"/>
      </w:pPr>
      <w:r>
        <w:rPr>
          <w:i/>
          <w:sz w:val="20"/>
        </w:rPr>
        <w:lastRenderedPageBreak/>
        <w:t>Figura 1. Matriz de correlación de Pearson entre métricas de uso del sistema.</w:t>
      </w:r>
    </w:p>
    <w:p w14:paraId="71C49EFA" w14:textId="77777777" w:rsidR="007725A2" w:rsidRDefault="00000000">
      <w:pPr>
        <w:jc w:val="both"/>
      </w:pPr>
      <w:r>
        <w:t>Para la variable motivacional, el script calcula la correlación de cada variable (Fi, CBi, Vi, MApi, PApi) con take_exam y selecciona automáticamente la de mayor |r|. La variable seleccionada es PApi (Performance-Approach), con r = +0.0896. Cabe destacar que en la Tarea 1b la variable motivacional se seleccionó por su correlación con el engagement (total_activity_be), donde MApi fue la más fuerte (r = +0.1213). Aquí el criterio es la correlación directa con el objetivo de clasificación (take_exam), por lo que la variable ganadora puede diferir. Esto es metodológicamente correcto: cada tarea tiene su propio objetivo y la selección debe alinearse con él.</w:t>
      </w:r>
    </w:p>
    <w:p w14:paraId="1F13D349" w14:textId="77777777" w:rsidR="007725A2" w:rsidRDefault="00000000">
      <w:pPr>
        <w:jc w:val="both"/>
      </w:pPr>
      <w:r>
        <w:t>Variables finales seleccionadas: pretest (conocimiento previo, por juicio experto como predictor basal obligatorio), PApi (motivacional, mayor |r| con take_exam) y qp_activity (engagement, única variable de uso no redundante tras el filtro |r| &gt; 0.7).</w:t>
      </w:r>
    </w:p>
    <w:p w14:paraId="569D51BD" w14:textId="77777777" w:rsidR="007725A2" w:rsidRDefault="007725A2">
      <w:pPr>
        <w:jc w:val="both"/>
      </w:pPr>
    </w:p>
    <w:p w14:paraId="6C559EAB" w14:textId="77777777" w:rsidR="007725A2" w:rsidRDefault="00000000">
      <w:pPr>
        <w:jc w:val="both"/>
      </w:pPr>
      <w:r>
        <w:rPr>
          <w:b/>
        </w:rPr>
        <w:t>B. Regresión Logística con Validación Cruzada (5-Folds)</w:t>
      </w:r>
    </w:p>
    <w:p w14:paraId="2BB4EC40" w14:textId="77777777" w:rsidR="007725A2" w:rsidRDefault="00000000">
      <w:pPr>
        <w:jc w:val="both"/>
      </w:pPr>
      <w:r>
        <w:t>Se implementa un esquema de StratifiedKFold(n_splits=5, shuffle=True, random_state=42). Se entrena una Regresión Logística con class_weight='balanced' para mitigar el desbalance de clases (83.8% vs 16.2%). Se reporta el accuracy de cada fold y, para el mejor fold, se grafican la curva ROC (con AUC) y la matriz de confusión.</w:t>
      </w:r>
    </w:p>
    <w:p w14:paraId="56D81CE7" w14:textId="77777777" w:rsidR="007725A2" w:rsidRDefault="00000000">
      <w:pPr>
        <w:jc w:val="both"/>
      </w:pPr>
      <w:r>
        <w:t>Accuracy por fold:</w:t>
      </w:r>
    </w:p>
    <w:tbl>
      <w:tblPr>
        <w:tblStyle w:val="Tablaconcuadrcula"/>
        <w:tblW w:w="0" w:type="auto"/>
        <w:jc w:val="center"/>
        <w:tblLook w:val="04A0" w:firstRow="1" w:lastRow="0" w:firstColumn="1" w:lastColumn="0" w:noHBand="0" w:noVBand="1"/>
      </w:tblPr>
      <w:tblGrid>
        <w:gridCol w:w="2880"/>
        <w:gridCol w:w="2880"/>
        <w:gridCol w:w="2880"/>
      </w:tblGrid>
      <w:tr w:rsidR="007725A2" w14:paraId="3F9FA7C6" w14:textId="77777777">
        <w:trPr>
          <w:jc w:val="center"/>
        </w:trPr>
        <w:tc>
          <w:tcPr>
            <w:tcW w:w="2880" w:type="dxa"/>
          </w:tcPr>
          <w:p w14:paraId="3BD9B8F6" w14:textId="77777777" w:rsidR="007725A2" w:rsidRDefault="00000000">
            <w:pPr>
              <w:jc w:val="center"/>
            </w:pPr>
            <w:r>
              <w:rPr>
                <w:b/>
                <w:sz w:val="20"/>
              </w:rPr>
              <w:t>Fold</w:t>
            </w:r>
          </w:p>
        </w:tc>
        <w:tc>
          <w:tcPr>
            <w:tcW w:w="2880" w:type="dxa"/>
          </w:tcPr>
          <w:p w14:paraId="2A99968D" w14:textId="77777777" w:rsidR="007725A2" w:rsidRDefault="00000000">
            <w:pPr>
              <w:jc w:val="center"/>
            </w:pPr>
            <w:r>
              <w:rPr>
                <w:b/>
                <w:sz w:val="20"/>
              </w:rPr>
              <w:t>Accuracy</w:t>
            </w:r>
          </w:p>
        </w:tc>
        <w:tc>
          <w:tcPr>
            <w:tcW w:w="2880" w:type="dxa"/>
          </w:tcPr>
          <w:p w14:paraId="61316940" w14:textId="77777777" w:rsidR="007725A2" w:rsidRDefault="00000000">
            <w:pPr>
              <w:jc w:val="center"/>
            </w:pPr>
            <w:r>
              <w:rPr>
                <w:b/>
                <w:sz w:val="20"/>
              </w:rPr>
              <w:t>n_test</w:t>
            </w:r>
          </w:p>
        </w:tc>
      </w:tr>
      <w:tr w:rsidR="007725A2" w14:paraId="59AA836D" w14:textId="77777777">
        <w:trPr>
          <w:jc w:val="center"/>
        </w:trPr>
        <w:tc>
          <w:tcPr>
            <w:tcW w:w="2880" w:type="dxa"/>
          </w:tcPr>
          <w:p w14:paraId="6AF42381" w14:textId="77777777" w:rsidR="007725A2" w:rsidRDefault="00000000">
            <w:pPr>
              <w:jc w:val="center"/>
            </w:pPr>
            <w:r>
              <w:rPr>
                <w:sz w:val="20"/>
              </w:rPr>
              <w:t>Fold 1</w:t>
            </w:r>
          </w:p>
        </w:tc>
        <w:tc>
          <w:tcPr>
            <w:tcW w:w="2880" w:type="dxa"/>
          </w:tcPr>
          <w:p w14:paraId="3302FE21" w14:textId="77777777" w:rsidR="007725A2" w:rsidRDefault="00000000">
            <w:pPr>
              <w:jc w:val="center"/>
            </w:pPr>
            <w:r>
              <w:rPr>
                <w:sz w:val="20"/>
              </w:rPr>
              <w:t>0.4524</w:t>
            </w:r>
          </w:p>
        </w:tc>
        <w:tc>
          <w:tcPr>
            <w:tcW w:w="2880" w:type="dxa"/>
          </w:tcPr>
          <w:p w14:paraId="14DC11FB" w14:textId="77777777" w:rsidR="007725A2" w:rsidRDefault="00000000">
            <w:pPr>
              <w:jc w:val="center"/>
            </w:pPr>
            <w:r>
              <w:rPr>
                <w:sz w:val="20"/>
              </w:rPr>
              <w:t>126</w:t>
            </w:r>
          </w:p>
        </w:tc>
      </w:tr>
      <w:tr w:rsidR="007725A2" w14:paraId="4D1A6BD3" w14:textId="77777777">
        <w:trPr>
          <w:jc w:val="center"/>
        </w:trPr>
        <w:tc>
          <w:tcPr>
            <w:tcW w:w="2880" w:type="dxa"/>
          </w:tcPr>
          <w:p w14:paraId="7D80E41B" w14:textId="77777777" w:rsidR="007725A2" w:rsidRDefault="00000000">
            <w:pPr>
              <w:jc w:val="center"/>
            </w:pPr>
            <w:r>
              <w:rPr>
                <w:sz w:val="20"/>
              </w:rPr>
              <w:t>Fold 2</w:t>
            </w:r>
          </w:p>
        </w:tc>
        <w:tc>
          <w:tcPr>
            <w:tcW w:w="2880" w:type="dxa"/>
          </w:tcPr>
          <w:p w14:paraId="54BBD525" w14:textId="77777777" w:rsidR="007725A2" w:rsidRDefault="00000000">
            <w:pPr>
              <w:jc w:val="center"/>
            </w:pPr>
            <w:r>
              <w:rPr>
                <w:sz w:val="20"/>
              </w:rPr>
              <w:t>0.4444</w:t>
            </w:r>
          </w:p>
        </w:tc>
        <w:tc>
          <w:tcPr>
            <w:tcW w:w="2880" w:type="dxa"/>
          </w:tcPr>
          <w:p w14:paraId="44ECD7AA" w14:textId="77777777" w:rsidR="007725A2" w:rsidRDefault="00000000">
            <w:pPr>
              <w:jc w:val="center"/>
            </w:pPr>
            <w:r>
              <w:rPr>
                <w:sz w:val="20"/>
              </w:rPr>
              <w:t>126</w:t>
            </w:r>
          </w:p>
        </w:tc>
      </w:tr>
      <w:tr w:rsidR="007725A2" w14:paraId="37C90808" w14:textId="77777777">
        <w:trPr>
          <w:jc w:val="center"/>
        </w:trPr>
        <w:tc>
          <w:tcPr>
            <w:tcW w:w="2880" w:type="dxa"/>
          </w:tcPr>
          <w:p w14:paraId="09A75A0B" w14:textId="77777777" w:rsidR="007725A2" w:rsidRDefault="00000000">
            <w:pPr>
              <w:jc w:val="center"/>
            </w:pPr>
            <w:r>
              <w:rPr>
                <w:sz w:val="20"/>
              </w:rPr>
              <w:t>Fold 3</w:t>
            </w:r>
          </w:p>
        </w:tc>
        <w:tc>
          <w:tcPr>
            <w:tcW w:w="2880" w:type="dxa"/>
          </w:tcPr>
          <w:p w14:paraId="74360A0C" w14:textId="77777777" w:rsidR="007725A2" w:rsidRDefault="00000000">
            <w:pPr>
              <w:jc w:val="center"/>
            </w:pPr>
            <w:r>
              <w:rPr>
                <w:sz w:val="20"/>
              </w:rPr>
              <w:t>0.5159</w:t>
            </w:r>
          </w:p>
        </w:tc>
        <w:tc>
          <w:tcPr>
            <w:tcW w:w="2880" w:type="dxa"/>
          </w:tcPr>
          <w:p w14:paraId="582C5516" w14:textId="77777777" w:rsidR="007725A2" w:rsidRDefault="00000000">
            <w:pPr>
              <w:jc w:val="center"/>
            </w:pPr>
            <w:r>
              <w:rPr>
                <w:sz w:val="20"/>
              </w:rPr>
              <w:t>126</w:t>
            </w:r>
          </w:p>
        </w:tc>
      </w:tr>
      <w:tr w:rsidR="007725A2" w14:paraId="34600B7F" w14:textId="77777777">
        <w:trPr>
          <w:jc w:val="center"/>
        </w:trPr>
        <w:tc>
          <w:tcPr>
            <w:tcW w:w="2880" w:type="dxa"/>
          </w:tcPr>
          <w:p w14:paraId="3645E8FC" w14:textId="77777777" w:rsidR="007725A2" w:rsidRDefault="00000000">
            <w:pPr>
              <w:jc w:val="center"/>
            </w:pPr>
            <w:r>
              <w:rPr>
                <w:sz w:val="20"/>
              </w:rPr>
              <w:t>Fold 4</w:t>
            </w:r>
          </w:p>
        </w:tc>
        <w:tc>
          <w:tcPr>
            <w:tcW w:w="2880" w:type="dxa"/>
          </w:tcPr>
          <w:p w14:paraId="3307C95D" w14:textId="77777777" w:rsidR="007725A2" w:rsidRDefault="00000000">
            <w:pPr>
              <w:jc w:val="center"/>
            </w:pPr>
            <w:r>
              <w:rPr>
                <w:sz w:val="20"/>
              </w:rPr>
              <w:t>0.6111</w:t>
            </w:r>
          </w:p>
        </w:tc>
        <w:tc>
          <w:tcPr>
            <w:tcW w:w="2880" w:type="dxa"/>
          </w:tcPr>
          <w:p w14:paraId="4CC4C901" w14:textId="77777777" w:rsidR="007725A2" w:rsidRDefault="00000000">
            <w:pPr>
              <w:jc w:val="center"/>
            </w:pPr>
            <w:r>
              <w:rPr>
                <w:sz w:val="20"/>
              </w:rPr>
              <w:t>126</w:t>
            </w:r>
          </w:p>
        </w:tc>
      </w:tr>
      <w:tr w:rsidR="007725A2" w14:paraId="52172525" w14:textId="77777777">
        <w:trPr>
          <w:jc w:val="center"/>
        </w:trPr>
        <w:tc>
          <w:tcPr>
            <w:tcW w:w="2880" w:type="dxa"/>
          </w:tcPr>
          <w:p w14:paraId="63A5E2B2" w14:textId="77777777" w:rsidR="007725A2" w:rsidRDefault="00000000">
            <w:pPr>
              <w:jc w:val="center"/>
            </w:pPr>
            <w:r>
              <w:rPr>
                <w:sz w:val="20"/>
              </w:rPr>
              <w:t>Fold 5</w:t>
            </w:r>
          </w:p>
        </w:tc>
        <w:tc>
          <w:tcPr>
            <w:tcW w:w="2880" w:type="dxa"/>
          </w:tcPr>
          <w:p w14:paraId="6DF6C584" w14:textId="77777777" w:rsidR="007725A2" w:rsidRDefault="00000000">
            <w:pPr>
              <w:jc w:val="center"/>
            </w:pPr>
            <w:r>
              <w:rPr>
                <w:sz w:val="20"/>
              </w:rPr>
              <w:t>0.5794</w:t>
            </w:r>
          </w:p>
        </w:tc>
        <w:tc>
          <w:tcPr>
            <w:tcW w:w="2880" w:type="dxa"/>
          </w:tcPr>
          <w:p w14:paraId="2F0446A6" w14:textId="77777777" w:rsidR="007725A2" w:rsidRDefault="00000000">
            <w:pPr>
              <w:jc w:val="center"/>
            </w:pPr>
            <w:r>
              <w:rPr>
                <w:sz w:val="20"/>
              </w:rPr>
              <w:t>126</w:t>
            </w:r>
          </w:p>
        </w:tc>
      </w:tr>
    </w:tbl>
    <w:p w14:paraId="5CF8EA49" w14:textId="77777777" w:rsidR="007725A2" w:rsidRDefault="00000000">
      <w:pPr>
        <w:jc w:val="both"/>
      </w:pPr>
      <w:r>
        <w:t>Accuracy promedio (5 folds): 0.5206 ± 0.0665. Mejor fold: #4 (accuracy = 0.6111).</w:t>
      </w:r>
    </w:p>
    <w:p w14:paraId="5440D74C" w14:textId="77777777" w:rsidR="007725A2" w:rsidRDefault="00000000">
      <w:pPr>
        <w:jc w:val="center"/>
      </w:pPr>
      <w:r>
        <w:rPr>
          <w:noProof/>
        </w:rPr>
        <w:drawing>
          <wp:inline distT="0" distB="0" distL="0" distR="0" wp14:anchorId="0DD8DE8D" wp14:editId="53DE76E0">
            <wp:extent cx="5029200" cy="1939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reg_roc_cm.png"/>
                    <pic:cNvPicPr/>
                  </pic:nvPicPr>
                  <pic:blipFill>
                    <a:blip r:embed="rId8"/>
                    <a:stretch>
                      <a:fillRect/>
                    </a:stretch>
                  </pic:blipFill>
                  <pic:spPr>
                    <a:xfrm>
                      <a:off x="0" y="0"/>
                      <a:ext cx="5029200" cy="1939066"/>
                    </a:xfrm>
                    <a:prstGeom prst="rect">
                      <a:avLst/>
                    </a:prstGeom>
                  </pic:spPr>
                </pic:pic>
              </a:graphicData>
            </a:graphic>
          </wp:inline>
        </w:drawing>
      </w:r>
    </w:p>
    <w:p w14:paraId="56906436" w14:textId="77777777" w:rsidR="007725A2" w:rsidRDefault="00000000">
      <w:pPr>
        <w:jc w:val="center"/>
      </w:pPr>
      <w:r>
        <w:rPr>
          <w:i/>
          <w:sz w:val="20"/>
        </w:rPr>
        <w:t>Figura 2. Curva ROC y matriz de confusión — Regresión Logística (mejor fold #4).</w:t>
      </w:r>
    </w:p>
    <w:p w14:paraId="7C615124" w14:textId="77777777" w:rsidR="007725A2" w:rsidRDefault="00000000">
      <w:pPr>
        <w:jc w:val="both"/>
      </w:pPr>
      <w:r>
        <w:lastRenderedPageBreak/>
        <w:t>La Regresión Logística con class_weight='balanced' logra un AUC de 0.756, considerado aceptable (&gt; 0.7). Destaca por su alta especificidad (0.810): identifica correctamente al 81% de los estudiantes que no completarán el curso, lo que es valioso para focalizar intervenciones de retención. Sin embargo, su sensibilidad es moderada (0.571), detectando solo al 57% de quienes sí completan. El accuracy promedio baja a 0.52 (frente al 0.84 del modelo sin balance) porque el modelo ahora penaliza los errores en la clase minoritaria, sacrificando accuracy global por capacidad de discriminación.</w:t>
      </w:r>
    </w:p>
    <w:p w14:paraId="3C72D700" w14:textId="77777777" w:rsidR="007725A2" w:rsidRDefault="007725A2">
      <w:pPr>
        <w:jc w:val="both"/>
      </w:pPr>
    </w:p>
    <w:p w14:paraId="1CAEFDD5" w14:textId="77777777" w:rsidR="007725A2" w:rsidRDefault="00000000">
      <w:pPr>
        <w:jc w:val="both"/>
      </w:pPr>
      <w:r>
        <w:rPr>
          <w:b/>
        </w:rPr>
        <w:t>C. SVM con Evaluación de Diferentes Kernels</w:t>
      </w:r>
    </w:p>
    <w:p w14:paraId="004C9E43" w14:textId="77777777" w:rsidR="007725A2" w:rsidRDefault="00000000">
      <w:pPr>
        <w:jc w:val="both"/>
      </w:pPr>
      <w:r>
        <w:t>Usando el mismo split de 5-folds, se entrenan modelos de SVM con class_weight='balanced' probando tres kernels: linear, rbf y poly. Se reporta el accuracy promedio de cada kernel para seleccionar el mejor.</w:t>
      </w:r>
    </w:p>
    <w:p w14:paraId="16602791" w14:textId="77777777" w:rsidR="007725A2" w:rsidRDefault="00000000">
      <w:pPr>
        <w:jc w:val="both"/>
      </w:pPr>
      <w:r>
        <w:t>Comparación de kernels:</w:t>
      </w:r>
    </w:p>
    <w:tbl>
      <w:tblPr>
        <w:tblStyle w:val="Tablaconcuadrcula"/>
        <w:tblW w:w="0" w:type="auto"/>
        <w:jc w:val="center"/>
        <w:tblLook w:val="04A0" w:firstRow="1" w:lastRow="0" w:firstColumn="1" w:lastColumn="0" w:noHBand="0" w:noVBand="1"/>
      </w:tblPr>
      <w:tblGrid>
        <w:gridCol w:w="2160"/>
        <w:gridCol w:w="2160"/>
        <w:gridCol w:w="2160"/>
        <w:gridCol w:w="2160"/>
      </w:tblGrid>
      <w:tr w:rsidR="007725A2" w14:paraId="178DEDF6" w14:textId="77777777">
        <w:trPr>
          <w:jc w:val="center"/>
        </w:trPr>
        <w:tc>
          <w:tcPr>
            <w:tcW w:w="2160" w:type="dxa"/>
          </w:tcPr>
          <w:p w14:paraId="01DA9423" w14:textId="77777777" w:rsidR="007725A2" w:rsidRDefault="00000000">
            <w:pPr>
              <w:jc w:val="center"/>
            </w:pPr>
            <w:r>
              <w:rPr>
                <w:b/>
                <w:sz w:val="20"/>
              </w:rPr>
              <w:t>Kernel</w:t>
            </w:r>
          </w:p>
        </w:tc>
        <w:tc>
          <w:tcPr>
            <w:tcW w:w="2160" w:type="dxa"/>
          </w:tcPr>
          <w:p w14:paraId="3971B5DF" w14:textId="77777777" w:rsidR="007725A2" w:rsidRDefault="00000000">
            <w:pPr>
              <w:jc w:val="center"/>
            </w:pPr>
            <w:r>
              <w:rPr>
                <w:b/>
                <w:sz w:val="20"/>
              </w:rPr>
              <w:t>Accuracy promedio</w:t>
            </w:r>
          </w:p>
        </w:tc>
        <w:tc>
          <w:tcPr>
            <w:tcW w:w="2160" w:type="dxa"/>
          </w:tcPr>
          <w:p w14:paraId="5A5B1006" w14:textId="77777777" w:rsidR="007725A2" w:rsidRDefault="00000000">
            <w:pPr>
              <w:jc w:val="center"/>
            </w:pPr>
            <w:r>
              <w:rPr>
                <w:b/>
                <w:sz w:val="20"/>
              </w:rPr>
              <w:t>Std</w:t>
            </w:r>
          </w:p>
        </w:tc>
        <w:tc>
          <w:tcPr>
            <w:tcW w:w="2160" w:type="dxa"/>
          </w:tcPr>
          <w:p w14:paraId="72829B55" w14:textId="77777777" w:rsidR="007725A2" w:rsidRDefault="00000000">
            <w:pPr>
              <w:jc w:val="center"/>
            </w:pPr>
            <w:r>
              <w:rPr>
                <w:b/>
                <w:sz w:val="20"/>
              </w:rPr>
              <w:t>Folds</w:t>
            </w:r>
          </w:p>
        </w:tc>
      </w:tr>
      <w:tr w:rsidR="007725A2" w14:paraId="5E11375F" w14:textId="77777777">
        <w:trPr>
          <w:jc w:val="center"/>
        </w:trPr>
        <w:tc>
          <w:tcPr>
            <w:tcW w:w="2160" w:type="dxa"/>
          </w:tcPr>
          <w:p w14:paraId="3AEEC75E" w14:textId="77777777" w:rsidR="007725A2" w:rsidRDefault="00000000">
            <w:pPr>
              <w:jc w:val="center"/>
            </w:pPr>
            <w:r>
              <w:rPr>
                <w:sz w:val="20"/>
              </w:rPr>
              <w:t>linear</w:t>
            </w:r>
          </w:p>
        </w:tc>
        <w:tc>
          <w:tcPr>
            <w:tcW w:w="2160" w:type="dxa"/>
          </w:tcPr>
          <w:p w14:paraId="7563222F" w14:textId="77777777" w:rsidR="007725A2" w:rsidRDefault="00000000">
            <w:pPr>
              <w:jc w:val="center"/>
            </w:pPr>
            <w:r>
              <w:rPr>
                <w:sz w:val="20"/>
              </w:rPr>
              <w:t>0.4000</w:t>
            </w:r>
          </w:p>
        </w:tc>
        <w:tc>
          <w:tcPr>
            <w:tcW w:w="2160" w:type="dxa"/>
          </w:tcPr>
          <w:p w14:paraId="77235863" w14:textId="77777777" w:rsidR="007725A2" w:rsidRDefault="00000000">
            <w:pPr>
              <w:jc w:val="center"/>
            </w:pPr>
            <w:r>
              <w:rPr>
                <w:sz w:val="20"/>
              </w:rPr>
              <w:t>0.0378</w:t>
            </w:r>
          </w:p>
        </w:tc>
        <w:tc>
          <w:tcPr>
            <w:tcW w:w="2160" w:type="dxa"/>
          </w:tcPr>
          <w:p w14:paraId="2202BCC9" w14:textId="77777777" w:rsidR="007725A2" w:rsidRDefault="00000000">
            <w:pPr>
              <w:jc w:val="center"/>
            </w:pPr>
            <w:r>
              <w:rPr>
                <w:sz w:val="20"/>
              </w:rPr>
              <w:t>0.357, 0.397, 0.365, 0.460, 0.421</w:t>
            </w:r>
          </w:p>
        </w:tc>
      </w:tr>
      <w:tr w:rsidR="007725A2" w14:paraId="638B3984" w14:textId="77777777">
        <w:trPr>
          <w:jc w:val="center"/>
        </w:trPr>
        <w:tc>
          <w:tcPr>
            <w:tcW w:w="2160" w:type="dxa"/>
          </w:tcPr>
          <w:p w14:paraId="558614DF" w14:textId="77777777" w:rsidR="007725A2" w:rsidRDefault="00000000">
            <w:pPr>
              <w:jc w:val="center"/>
            </w:pPr>
            <w:r>
              <w:rPr>
                <w:sz w:val="20"/>
              </w:rPr>
              <w:t>rbf</w:t>
            </w:r>
          </w:p>
        </w:tc>
        <w:tc>
          <w:tcPr>
            <w:tcW w:w="2160" w:type="dxa"/>
          </w:tcPr>
          <w:p w14:paraId="13DB954B" w14:textId="77777777" w:rsidR="007725A2" w:rsidRDefault="00000000">
            <w:pPr>
              <w:jc w:val="center"/>
            </w:pPr>
            <w:r>
              <w:rPr>
                <w:sz w:val="20"/>
              </w:rPr>
              <w:t>0.5524</w:t>
            </w:r>
          </w:p>
        </w:tc>
        <w:tc>
          <w:tcPr>
            <w:tcW w:w="2160" w:type="dxa"/>
          </w:tcPr>
          <w:p w14:paraId="69FB0F66" w14:textId="77777777" w:rsidR="007725A2" w:rsidRDefault="00000000">
            <w:pPr>
              <w:jc w:val="center"/>
            </w:pPr>
            <w:r>
              <w:rPr>
                <w:sz w:val="20"/>
              </w:rPr>
              <w:t>0.0599</w:t>
            </w:r>
          </w:p>
        </w:tc>
        <w:tc>
          <w:tcPr>
            <w:tcW w:w="2160" w:type="dxa"/>
          </w:tcPr>
          <w:p w14:paraId="5F8A9BE3" w14:textId="77777777" w:rsidR="007725A2" w:rsidRDefault="00000000">
            <w:pPr>
              <w:jc w:val="center"/>
            </w:pPr>
            <w:r>
              <w:rPr>
                <w:sz w:val="20"/>
              </w:rPr>
              <w:t>0.563, 0.460, 0.524, 0.643, 0.571</w:t>
            </w:r>
          </w:p>
        </w:tc>
      </w:tr>
      <w:tr w:rsidR="007725A2" w14:paraId="6C9AC7F7" w14:textId="77777777">
        <w:trPr>
          <w:jc w:val="center"/>
        </w:trPr>
        <w:tc>
          <w:tcPr>
            <w:tcW w:w="2160" w:type="dxa"/>
          </w:tcPr>
          <w:p w14:paraId="6F2A65ED" w14:textId="77777777" w:rsidR="007725A2" w:rsidRDefault="00000000">
            <w:pPr>
              <w:jc w:val="center"/>
            </w:pPr>
            <w:r>
              <w:rPr>
                <w:sz w:val="20"/>
              </w:rPr>
              <w:t>poly</w:t>
            </w:r>
          </w:p>
        </w:tc>
        <w:tc>
          <w:tcPr>
            <w:tcW w:w="2160" w:type="dxa"/>
          </w:tcPr>
          <w:p w14:paraId="4895214B" w14:textId="77777777" w:rsidR="007725A2" w:rsidRDefault="00000000">
            <w:pPr>
              <w:jc w:val="center"/>
            </w:pPr>
            <w:r>
              <w:rPr>
                <w:sz w:val="20"/>
              </w:rPr>
              <w:t>0.7444</w:t>
            </w:r>
          </w:p>
        </w:tc>
        <w:tc>
          <w:tcPr>
            <w:tcW w:w="2160" w:type="dxa"/>
          </w:tcPr>
          <w:p w14:paraId="1C2B1F2D" w14:textId="77777777" w:rsidR="007725A2" w:rsidRDefault="00000000">
            <w:pPr>
              <w:jc w:val="center"/>
            </w:pPr>
            <w:r>
              <w:rPr>
                <w:sz w:val="20"/>
              </w:rPr>
              <w:t>0.0535</w:t>
            </w:r>
          </w:p>
        </w:tc>
        <w:tc>
          <w:tcPr>
            <w:tcW w:w="2160" w:type="dxa"/>
          </w:tcPr>
          <w:p w14:paraId="3D57CE86" w14:textId="77777777" w:rsidR="007725A2" w:rsidRDefault="00000000">
            <w:pPr>
              <w:jc w:val="center"/>
            </w:pPr>
            <w:r>
              <w:rPr>
                <w:sz w:val="20"/>
              </w:rPr>
              <w:t>0.659, 0.754, 0.714, 0.786, 0.810</w:t>
            </w:r>
          </w:p>
        </w:tc>
      </w:tr>
    </w:tbl>
    <w:p w14:paraId="08F62E0B" w14:textId="77777777" w:rsidR="007725A2" w:rsidRDefault="00000000">
      <w:pPr>
        <w:jc w:val="both"/>
      </w:pPr>
      <w:r>
        <w:t>Mejor kernel de SVM: poly (accuracy promedio = 0.7444).</w:t>
      </w:r>
    </w:p>
    <w:p w14:paraId="67511145" w14:textId="77777777" w:rsidR="007725A2" w:rsidRDefault="00000000">
      <w:pPr>
        <w:jc w:val="center"/>
      </w:pPr>
      <w:r>
        <w:rPr>
          <w:noProof/>
        </w:rPr>
        <w:drawing>
          <wp:inline distT="0" distB="0" distL="0" distR="0" wp14:anchorId="18835D4C" wp14:editId="029EF1FF">
            <wp:extent cx="5029200" cy="19396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roc_cm.png"/>
                    <pic:cNvPicPr/>
                  </pic:nvPicPr>
                  <pic:blipFill>
                    <a:blip r:embed="rId9"/>
                    <a:stretch>
                      <a:fillRect/>
                    </a:stretch>
                  </pic:blipFill>
                  <pic:spPr>
                    <a:xfrm>
                      <a:off x="0" y="0"/>
                      <a:ext cx="5029200" cy="1939681"/>
                    </a:xfrm>
                    <a:prstGeom prst="rect">
                      <a:avLst/>
                    </a:prstGeom>
                  </pic:spPr>
                </pic:pic>
              </a:graphicData>
            </a:graphic>
          </wp:inline>
        </w:drawing>
      </w:r>
    </w:p>
    <w:p w14:paraId="2C106387" w14:textId="77777777" w:rsidR="007725A2" w:rsidRDefault="00000000">
      <w:pPr>
        <w:jc w:val="center"/>
      </w:pPr>
      <w:r>
        <w:rPr>
          <w:i/>
          <w:sz w:val="20"/>
        </w:rPr>
        <w:t>Figura 3. Curva ROC y matriz de confusión — SVM kernel=poly (mejor fold).</w:t>
      </w:r>
    </w:p>
    <w:p w14:paraId="6ABB95D4" w14:textId="43A419B9" w:rsidR="007725A2" w:rsidRDefault="00000000">
      <w:pPr>
        <w:jc w:val="both"/>
      </w:pPr>
      <w:r>
        <w:t xml:space="preserve">El kernel polinomial (poly) es el que mejor desempeña en accuracy promedio (0.744), superando notablemente a linear (0.400) y rbf (0.552). Esto sugiere que la frontera de decisión entre completar/no completar el curso no es lineal. El SVM poly tiene alta sensibilidad (0.886): detecta correctamente al 89% de los estudiantes que completan el curso. Sin embargo, su especificidad es baja (0.429) y su AUC (0.682) es inferior al de la Regresión Logística, indicando que </w:t>
      </w:r>
      <w:proofErr w:type="spellStart"/>
      <w:r>
        <w:t>su</w:t>
      </w:r>
      <w:proofErr w:type="spellEnd"/>
      <w:r>
        <w:t xml:space="preserve"> </w:t>
      </w:r>
      <w:proofErr w:type="spellStart"/>
      <w:r>
        <w:t>capacidad</w:t>
      </w:r>
      <w:proofErr w:type="spellEnd"/>
      <w:r>
        <w:t xml:space="preserve"> de </w:t>
      </w:r>
      <w:proofErr w:type="spellStart"/>
      <w:r>
        <w:t>discriminación</w:t>
      </w:r>
      <w:proofErr w:type="spellEnd"/>
      <w:r>
        <w:t xml:space="preserve"> global es </w:t>
      </w:r>
      <w:proofErr w:type="spellStart"/>
      <w:r>
        <w:t>menor</w:t>
      </w:r>
      <w:proofErr w:type="spellEnd"/>
      <w:r>
        <w:t>.</w:t>
      </w:r>
    </w:p>
    <w:p w14:paraId="396FD057" w14:textId="77777777" w:rsidR="007725A2" w:rsidRDefault="00000000">
      <w:pPr>
        <w:jc w:val="both"/>
      </w:pPr>
      <w:r>
        <w:rPr>
          <w:b/>
        </w:rPr>
        <w:lastRenderedPageBreak/>
        <w:t>D. Modelo Avanzado: Random Forest (Propuesta Creativa)</w:t>
      </w:r>
    </w:p>
    <w:p w14:paraId="119869C8" w14:textId="77777777" w:rsidR="007725A2" w:rsidRDefault="00000000">
      <w:pPr>
        <w:jc w:val="both"/>
      </w:pPr>
      <w:r>
        <w:t>Se propone un tercer modelo avanzado: Random Forest Classifier. Este modelo es adecuado para datos tabulares con potencial desbalance porque captura no-linealidades e interacciones entre variables sin requerir escalado estricto, ofrece class_weight='balanced' para mitigar el desbalance de clases, y es interpretable vía importancia de variables.</w:t>
      </w:r>
    </w:p>
    <w:p w14:paraId="1F1EDEC5" w14:textId="77777777" w:rsidR="007725A2" w:rsidRDefault="00000000">
      <w:pPr>
        <w:jc w:val="both"/>
      </w:pPr>
      <w:r>
        <w:t>Accuracy por fold:</w:t>
      </w:r>
    </w:p>
    <w:tbl>
      <w:tblPr>
        <w:tblStyle w:val="Tablaconcuadrcula"/>
        <w:tblW w:w="0" w:type="auto"/>
        <w:jc w:val="center"/>
        <w:tblLook w:val="04A0" w:firstRow="1" w:lastRow="0" w:firstColumn="1" w:lastColumn="0" w:noHBand="0" w:noVBand="1"/>
      </w:tblPr>
      <w:tblGrid>
        <w:gridCol w:w="4320"/>
        <w:gridCol w:w="4320"/>
      </w:tblGrid>
      <w:tr w:rsidR="007725A2" w14:paraId="5470E63E" w14:textId="77777777">
        <w:trPr>
          <w:jc w:val="center"/>
        </w:trPr>
        <w:tc>
          <w:tcPr>
            <w:tcW w:w="4320" w:type="dxa"/>
          </w:tcPr>
          <w:p w14:paraId="7E54FF7C" w14:textId="77777777" w:rsidR="007725A2" w:rsidRDefault="00000000">
            <w:pPr>
              <w:jc w:val="center"/>
            </w:pPr>
            <w:r>
              <w:rPr>
                <w:b/>
                <w:sz w:val="20"/>
              </w:rPr>
              <w:t>Fold</w:t>
            </w:r>
          </w:p>
        </w:tc>
        <w:tc>
          <w:tcPr>
            <w:tcW w:w="4320" w:type="dxa"/>
          </w:tcPr>
          <w:p w14:paraId="1DDA22AC" w14:textId="77777777" w:rsidR="007725A2" w:rsidRDefault="00000000">
            <w:pPr>
              <w:jc w:val="center"/>
            </w:pPr>
            <w:r>
              <w:rPr>
                <w:b/>
                <w:sz w:val="20"/>
              </w:rPr>
              <w:t>Accuracy</w:t>
            </w:r>
          </w:p>
        </w:tc>
      </w:tr>
      <w:tr w:rsidR="007725A2" w14:paraId="027800E2" w14:textId="77777777">
        <w:trPr>
          <w:jc w:val="center"/>
        </w:trPr>
        <w:tc>
          <w:tcPr>
            <w:tcW w:w="4320" w:type="dxa"/>
          </w:tcPr>
          <w:p w14:paraId="0A3DB67D" w14:textId="77777777" w:rsidR="007725A2" w:rsidRDefault="00000000">
            <w:pPr>
              <w:jc w:val="center"/>
            </w:pPr>
            <w:r>
              <w:rPr>
                <w:sz w:val="20"/>
              </w:rPr>
              <w:t>Fold 1</w:t>
            </w:r>
          </w:p>
        </w:tc>
        <w:tc>
          <w:tcPr>
            <w:tcW w:w="4320" w:type="dxa"/>
          </w:tcPr>
          <w:p w14:paraId="7C8E8457" w14:textId="77777777" w:rsidR="007725A2" w:rsidRDefault="00000000">
            <w:pPr>
              <w:jc w:val="center"/>
            </w:pPr>
            <w:r>
              <w:rPr>
                <w:sz w:val="20"/>
              </w:rPr>
              <w:t>0.714</w:t>
            </w:r>
          </w:p>
        </w:tc>
      </w:tr>
      <w:tr w:rsidR="007725A2" w14:paraId="0DA4D7F7" w14:textId="77777777">
        <w:trPr>
          <w:jc w:val="center"/>
        </w:trPr>
        <w:tc>
          <w:tcPr>
            <w:tcW w:w="4320" w:type="dxa"/>
          </w:tcPr>
          <w:p w14:paraId="50C69A91" w14:textId="77777777" w:rsidR="007725A2" w:rsidRDefault="00000000">
            <w:pPr>
              <w:jc w:val="center"/>
            </w:pPr>
            <w:r>
              <w:rPr>
                <w:sz w:val="20"/>
              </w:rPr>
              <w:t>Fold 2</w:t>
            </w:r>
          </w:p>
        </w:tc>
        <w:tc>
          <w:tcPr>
            <w:tcW w:w="4320" w:type="dxa"/>
          </w:tcPr>
          <w:p w14:paraId="6E249CEB" w14:textId="77777777" w:rsidR="007725A2" w:rsidRDefault="00000000">
            <w:pPr>
              <w:jc w:val="center"/>
            </w:pPr>
            <w:r>
              <w:rPr>
                <w:sz w:val="20"/>
              </w:rPr>
              <w:t>0.651</w:t>
            </w:r>
          </w:p>
        </w:tc>
      </w:tr>
      <w:tr w:rsidR="007725A2" w14:paraId="6324F60A" w14:textId="77777777">
        <w:trPr>
          <w:jc w:val="center"/>
        </w:trPr>
        <w:tc>
          <w:tcPr>
            <w:tcW w:w="4320" w:type="dxa"/>
          </w:tcPr>
          <w:p w14:paraId="07FDC420" w14:textId="77777777" w:rsidR="007725A2" w:rsidRDefault="00000000">
            <w:pPr>
              <w:jc w:val="center"/>
            </w:pPr>
            <w:r>
              <w:rPr>
                <w:sz w:val="20"/>
              </w:rPr>
              <w:t>Fold 3</w:t>
            </w:r>
          </w:p>
        </w:tc>
        <w:tc>
          <w:tcPr>
            <w:tcW w:w="4320" w:type="dxa"/>
          </w:tcPr>
          <w:p w14:paraId="2D59A53E" w14:textId="77777777" w:rsidR="007725A2" w:rsidRDefault="00000000">
            <w:pPr>
              <w:jc w:val="center"/>
            </w:pPr>
            <w:r>
              <w:rPr>
                <w:sz w:val="20"/>
              </w:rPr>
              <w:t>0.643</w:t>
            </w:r>
          </w:p>
        </w:tc>
      </w:tr>
      <w:tr w:rsidR="007725A2" w14:paraId="53A359A9" w14:textId="77777777">
        <w:trPr>
          <w:jc w:val="center"/>
        </w:trPr>
        <w:tc>
          <w:tcPr>
            <w:tcW w:w="4320" w:type="dxa"/>
          </w:tcPr>
          <w:p w14:paraId="1BFFD885" w14:textId="77777777" w:rsidR="007725A2" w:rsidRDefault="00000000">
            <w:pPr>
              <w:jc w:val="center"/>
            </w:pPr>
            <w:r>
              <w:rPr>
                <w:sz w:val="20"/>
              </w:rPr>
              <w:t>Fold 4</w:t>
            </w:r>
          </w:p>
        </w:tc>
        <w:tc>
          <w:tcPr>
            <w:tcW w:w="4320" w:type="dxa"/>
          </w:tcPr>
          <w:p w14:paraId="41221599" w14:textId="77777777" w:rsidR="007725A2" w:rsidRDefault="00000000">
            <w:pPr>
              <w:jc w:val="center"/>
            </w:pPr>
            <w:r>
              <w:rPr>
                <w:sz w:val="20"/>
              </w:rPr>
              <w:t>0.770</w:t>
            </w:r>
          </w:p>
        </w:tc>
      </w:tr>
      <w:tr w:rsidR="007725A2" w14:paraId="393CEDC4" w14:textId="77777777">
        <w:trPr>
          <w:jc w:val="center"/>
        </w:trPr>
        <w:tc>
          <w:tcPr>
            <w:tcW w:w="4320" w:type="dxa"/>
          </w:tcPr>
          <w:p w14:paraId="3CB38262" w14:textId="77777777" w:rsidR="007725A2" w:rsidRDefault="00000000">
            <w:pPr>
              <w:jc w:val="center"/>
            </w:pPr>
            <w:r>
              <w:rPr>
                <w:sz w:val="20"/>
              </w:rPr>
              <w:t>Fold 5</w:t>
            </w:r>
          </w:p>
        </w:tc>
        <w:tc>
          <w:tcPr>
            <w:tcW w:w="4320" w:type="dxa"/>
          </w:tcPr>
          <w:p w14:paraId="4D9DC936" w14:textId="77777777" w:rsidR="007725A2" w:rsidRDefault="00000000">
            <w:pPr>
              <w:jc w:val="center"/>
            </w:pPr>
            <w:r>
              <w:rPr>
                <w:sz w:val="20"/>
              </w:rPr>
              <w:t>0.683</w:t>
            </w:r>
          </w:p>
        </w:tc>
      </w:tr>
    </w:tbl>
    <w:p w14:paraId="717A472D" w14:textId="77777777" w:rsidR="007725A2" w:rsidRDefault="00000000">
      <w:pPr>
        <w:jc w:val="both"/>
      </w:pPr>
      <w:r>
        <w:t>Accuracy promedio (5 folds): 0.6921 ± 0.0464.</w:t>
      </w:r>
    </w:p>
    <w:p w14:paraId="7B09746B" w14:textId="77777777" w:rsidR="007725A2" w:rsidRDefault="00000000">
      <w:pPr>
        <w:jc w:val="both"/>
      </w:pPr>
      <w:r>
        <w:t>Importancia promedio de variables (Random Forest):</w:t>
      </w:r>
    </w:p>
    <w:tbl>
      <w:tblPr>
        <w:tblStyle w:val="Tablaconcuadrcula"/>
        <w:tblW w:w="0" w:type="auto"/>
        <w:jc w:val="center"/>
        <w:tblLook w:val="04A0" w:firstRow="1" w:lastRow="0" w:firstColumn="1" w:lastColumn="0" w:noHBand="0" w:noVBand="1"/>
      </w:tblPr>
      <w:tblGrid>
        <w:gridCol w:w="4320"/>
        <w:gridCol w:w="4320"/>
      </w:tblGrid>
      <w:tr w:rsidR="007725A2" w14:paraId="784303EF" w14:textId="77777777">
        <w:trPr>
          <w:jc w:val="center"/>
        </w:trPr>
        <w:tc>
          <w:tcPr>
            <w:tcW w:w="4320" w:type="dxa"/>
          </w:tcPr>
          <w:p w14:paraId="34C41C71" w14:textId="77777777" w:rsidR="007725A2" w:rsidRDefault="00000000">
            <w:pPr>
              <w:jc w:val="center"/>
            </w:pPr>
            <w:r>
              <w:rPr>
                <w:b/>
                <w:sz w:val="20"/>
              </w:rPr>
              <w:t>Variable</w:t>
            </w:r>
          </w:p>
        </w:tc>
        <w:tc>
          <w:tcPr>
            <w:tcW w:w="4320" w:type="dxa"/>
          </w:tcPr>
          <w:p w14:paraId="6283E05C" w14:textId="77777777" w:rsidR="007725A2" w:rsidRDefault="00000000">
            <w:pPr>
              <w:jc w:val="center"/>
            </w:pPr>
            <w:r>
              <w:rPr>
                <w:b/>
                <w:sz w:val="20"/>
              </w:rPr>
              <w:t>Importancia</w:t>
            </w:r>
          </w:p>
        </w:tc>
      </w:tr>
      <w:tr w:rsidR="007725A2" w14:paraId="7BF3559A" w14:textId="77777777">
        <w:trPr>
          <w:jc w:val="center"/>
        </w:trPr>
        <w:tc>
          <w:tcPr>
            <w:tcW w:w="4320" w:type="dxa"/>
          </w:tcPr>
          <w:p w14:paraId="3DFAD1D9" w14:textId="77777777" w:rsidR="007725A2" w:rsidRDefault="00000000">
            <w:pPr>
              <w:jc w:val="center"/>
            </w:pPr>
            <w:r>
              <w:rPr>
                <w:sz w:val="20"/>
              </w:rPr>
              <w:t>qp_activity</w:t>
            </w:r>
          </w:p>
        </w:tc>
        <w:tc>
          <w:tcPr>
            <w:tcW w:w="4320" w:type="dxa"/>
          </w:tcPr>
          <w:p w14:paraId="5A514C92" w14:textId="77777777" w:rsidR="007725A2" w:rsidRDefault="00000000">
            <w:pPr>
              <w:jc w:val="center"/>
            </w:pPr>
            <w:r>
              <w:rPr>
                <w:sz w:val="20"/>
              </w:rPr>
              <w:t>0.440</w:t>
            </w:r>
          </w:p>
        </w:tc>
      </w:tr>
      <w:tr w:rsidR="007725A2" w14:paraId="4D32426B" w14:textId="77777777">
        <w:trPr>
          <w:jc w:val="center"/>
        </w:trPr>
        <w:tc>
          <w:tcPr>
            <w:tcW w:w="4320" w:type="dxa"/>
          </w:tcPr>
          <w:p w14:paraId="4127E99C" w14:textId="77777777" w:rsidR="007725A2" w:rsidRDefault="00000000">
            <w:pPr>
              <w:jc w:val="center"/>
            </w:pPr>
            <w:r>
              <w:rPr>
                <w:sz w:val="20"/>
              </w:rPr>
              <w:t>PApi</w:t>
            </w:r>
          </w:p>
        </w:tc>
        <w:tc>
          <w:tcPr>
            <w:tcW w:w="4320" w:type="dxa"/>
          </w:tcPr>
          <w:p w14:paraId="3339D878" w14:textId="77777777" w:rsidR="007725A2" w:rsidRDefault="00000000">
            <w:pPr>
              <w:jc w:val="center"/>
            </w:pPr>
            <w:r>
              <w:rPr>
                <w:sz w:val="20"/>
              </w:rPr>
              <w:t>0.343</w:t>
            </w:r>
          </w:p>
        </w:tc>
      </w:tr>
      <w:tr w:rsidR="007725A2" w14:paraId="465268F6" w14:textId="77777777">
        <w:trPr>
          <w:jc w:val="center"/>
        </w:trPr>
        <w:tc>
          <w:tcPr>
            <w:tcW w:w="4320" w:type="dxa"/>
          </w:tcPr>
          <w:p w14:paraId="1C2AE002" w14:textId="77777777" w:rsidR="007725A2" w:rsidRDefault="00000000">
            <w:pPr>
              <w:jc w:val="center"/>
            </w:pPr>
            <w:r>
              <w:rPr>
                <w:sz w:val="20"/>
              </w:rPr>
              <w:t>pretest</w:t>
            </w:r>
          </w:p>
        </w:tc>
        <w:tc>
          <w:tcPr>
            <w:tcW w:w="4320" w:type="dxa"/>
          </w:tcPr>
          <w:p w14:paraId="33E07E1A" w14:textId="77777777" w:rsidR="007725A2" w:rsidRDefault="00000000">
            <w:pPr>
              <w:jc w:val="center"/>
            </w:pPr>
            <w:r>
              <w:rPr>
                <w:sz w:val="20"/>
              </w:rPr>
              <w:t>0.217</w:t>
            </w:r>
          </w:p>
        </w:tc>
      </w:tr>
    </w:tbl>
    <w:p w14:paraId="62918413" w14:textId="77777777" w:rsidR="007725A2" w:rsidRDefault="00000000">
      <w:pPr>
        <w:jc w:val="both"/>
      </w:pPr>
      <w:r>
        <w:t>El Random Forest identifica qp_activity como la variable más importante (44%), seguida por PApi (34%) y pretest (22%). Esto contrasta con la Tarea 1b, donde pretest era el predictor dominante del posttest: en la clasificación de take_exam, el engagement activo (qp_activity) tiene mayor peso predictivo que el conocimiento previo.</w:t>
      </w:r>
    </w:p>
    <w:p w14:paraId="0384BD86" w14:textId="77777777" w:rsidR="007725A2" w:rsidRDefault="00000000">
      <w:pPr>
        <w:jc w:val="center"/>
      </w:pPr>
      <w:r>
        <w:rPr>
          <w:noProof/>
        </w:rPr>
        <w:drawing>
          <wp:inline distT="0" distB="0" distL="0" distR="0" wp14:anchorId="26B67EC2" wp14:editId="42299805">
            <wp:extent cx="5029200" cy="19396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roc_cm.png"/>
                    <pic:cNvPicPr/>
                  </pic:nvPicPr>
                  <pic:blipFill>
                    <a:blip r:embed="rId10"/>
                    <a:stretch>
                      <a:fillRect/>
                    </a:stretch>
                  </pic:blipFill>
                  <pic:spPr>
                    <a:xfrm>
                      <a:off x="0" y="0"/>
                      <a:ext cx="5029200" cy="1939681"/>
                    </a:xfrm>
                    <a:prstGeom prst="rect">
                      <a:avLst/>
                    </a:prstGeom>
                  </pic:spPr>
                </pic:pic>
              </a:graphicData>
            </a:graphic>
          </wp:inline>
        </w:drawing>
      </w:r>
    </w:p>
    <w:p w14:paraId="16677162" w14:textId="77777777" w:rsidR="007725A2" w:rsidRDefault="00000000">
      <w:pPr>
        <w:jc w:val="center"/>
      </w:pPr>
      <w:r>
        <w:rPr>
          <w:i/>
          <w:sz w:val="20"/>
        </w:rPr>
        <w:t>Figura 4. Curva ROC y matriz de confusión — Random Forest (mejor fold).</w:t>
      </w:r>
    </w:p>
    <w:p w14:paraId="19757CD1" w14:textId="77777777" w:rsidR="007725A2" w:rsidRDefault="007725A2">
      <w:pPr>
        <w:jc w:val="both"/>
      </w:pPr>
    </w:p>
    <w:p w14:paraId="4B422AF4" w14:textId="77777777" w:rsidR="007725A2" w:rsidRDefault="00000000">
      <w:pPr>
        <w:jc w:val="both"/>
      </w:pPr>
      <w:r>
        <w:rPr>
          <w:b/>
        </w:rPr>
        <w:t>E. Reporte Comparativo Final</w:t>
      </w:r>
    </w:p>
    <w:p w14:paraId="4476A1FD" w14:textId="77777777" w:rsidR="007725A2" w:rsidRDefault="00000000">
      <w:pPr>
        <w:jc w:val="both"/>
      </w:pPr>
      <w:r>
        <w:t>Se genera un gráfico combinado con las curvas ROC de los tres modelos en un mismo eje para evaluar visualmente cuál clasifica mejor el éxito estudiantil.</w:t>
      </w:r>
    </w:p>
    <w:p w14:paraId="16314E77" w14:textId="77777777" w:rsidR="007725A2" w:rsidRDefault="00000000">
      <w:pPr>
        <w:jc w:val="center"/>
      </w:pPr>
      <w:r>
        <w:rPr>
          <w:noProof/>
        </w:rPr>
        <w:lastRenderedPageBreak/>
        <w:drawing>
          <wp:inline distT="0" distB="0" distL="0" distR="0" wp14:anchorId="50B9C37E" wp14:editId="018DA426">
            <wp:extent cx="4114800" cy="3050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roc.png"/>
                    <pic:cNvPicPr/>
                  </pic:nvPicPr>
                  <pic:blipFill>
                    <a:blip r:embed="rId11"/>
                    <a:stretch>
                      <a:fillRect/>
                    </a:stretch>
                  </pic:blipFill>
                  <pic:spPr>
                    <a:xfrm>
                      <a:off x="0" y="0"/>
                      <a:ext cx="4114800" cy="3050205"/>
                    </a:xfrm>
                    <a:prstGeom prst="rect">
                      <a:avLst/>
                    </a:prstGeom>
                  </pic:spPr>
                </pic:pic>
              </a:graphicData>
            </a:graphic>
          </wp:inline>
        </w:drawing>
      </w:r>
    </w:p>
    <w:p w14:paraId="7C9BDFC0" w14:textId="77777777" w:rsidR="007725A2" w:rsidRDefault="00000000">
      <w:pPr>
        <w:jc w:val="center"/>
      </w:pPr>
      <w:r>
        <w:rPr>
          <w:i/>
          <w:sz w:val="20"/>
        </w:rPr>
        <w:t>Figura 5. Comparación de curvas ROC — Predicción de take_exam (mejor fold de cada modelo).</w:t>
      </w:r>
    </w:p>
    <w:p w14:paraId="02E3D59F" w14:textId="77777777" w:rsidR="007725A2" w:rsidRDefault="00000000">
      <w:pPr>
        <w:jc w:val="both"/>
      </w:pPr>
      <w:r>
        <w:t>Tabla resumen comparativa:</w:t>
      </w:r>
    </w:p>
    <w:tbl>
      <w:tblPr>
        <w:tblStyle w:val="Tablaconcuadrcula"/>
        <w:tblW w:w="0" w:type="auto"/>
        <w:jc w:val="center"/>
        <w:tblLook w:val="04A0" w:firstRow="1" w:lastRow="0" w:firstColumn="1" w:lastColumn="0" w:noHBand="0" w:noVBand="1"/>
      </w:tblPr>
      <w:tblGrid>
        <w:gridCol w:w="1440"/>
        <w:gridCol w:w="1440"/>
        <w:gridCol w:w="1440"/>
        <w:gridCol w:w="1440"/>
        <w:gridCol w:w="1440"/>
        <w:gridCol w:w="1440"/>
      </w:tblGrid>
      <w:tr w:rsidR="007725A2" w14:paraId="76821AF2" w14:textId="77777777">
        <w:trPr>
          <w:jc w:val="center"/>
        </w:trPr>
        <w:tc>
          <w:tcPr>
            <w:tcW w:w="1440" w:type="dxa"/>
          </w:tcPr>
          <w:p w14:paraId="7986D474" w14:textId="77777777" w:rsidR="007725A2" w:rsidRDefault="00000000">
            <w:pPr>
              <w:jc w:val="center"/>
            </w:pPr>
            <w:r>
              <w:rPr>
                <w:b/>
                <w:sz w:val="20"/>
              </w:rPr>
              <w:t>Modelo</w:t>
            </w:r>
          </w:p>
        </w:tc>
        <w:tc>
          <w:tcPr>
            <w:tcW w:w="1440" w:type="dxa"/>
          </w:tcPr>
          <w:p w14:paraId="44915FFA" w14:textId="77777777" w:rsidR="007725A2" w:rsidRDefault="00000000">
            <w:pPr>
              <w:jc w:val="center"/>
            </w:pPr>
            <w:r>
              <w:rPr>
                <w:b/>
                <w:sz w:val="20"/>
              </w:rPr>
              <w:t>Accuracy (5-fold)</w:t>
            </w:r>
          </w:p>
        </w:tc>
        <w:tc>
          <w:tcPr>
            <w:tcW w:w="1440" w:type="dxa"/>
          </w:tcPr>
          <w:p w14:paraId="181BD1B7" w14:textId="77777777" w:rsidR="007725A2" w:rsidRDefault="00000000">
            <w:pPr>
              <w:jc w:val="center"/>
            </w:pPr>
            <w:r>
              <w:rPr>
                <w:b/>
                <w:sz w:val="20"/>
              </w:rPr>
              <w:t>Std</w:t>
            </w:r>
          </w:p>
        </w:tc>
        <w:tc>
          <w:tcPr>
            <w:tcW w:w="1440" w:type="dxa"/>
          </w:tcPr>
          <w:p w14:paraId="7E490F6D" w14:textId="77777777" w:rsidR="007725A2" w:rsidRDefault="00000000">
            <w:pPr>
              <w:jc w:val="center"/>
            </w:pPr>
            <w:r>
              <w:rPr>
                <w:b/>
                <w:sz w:val="20"/>
              </w:rPr>
              <w:t>AUC</w:t>
            </w:r>
          </w:p>
        </w:tc>
        <w:tc>
          <w:tcPr>
            <w:tcW w:w="1440" w:type="dxa"/>
          </w:tcPr>
          <w:p w14:paraId="53E1C068" w14:textId="77777777" w:rsidR="007725A2" w:rsidRDefault="00000000">
            <w:pPr>
              <w:jc w:val="center"/>
            </w:pPr>
            <w:r>
              <w:rPr>
                <w:b/>
                <w:sz w:val="20"/>
              </w:rPr>
              <w:t>Sensibilidad</w:t>
            </w:r>
          </w:p>
        </w:tc>
        <w:tc>
          <w:tcPr>
            <w:tcW w:w="1440" w:type="dxa"/>
          </w:tcPr>
          <w:p w14:paraId="169F40B5" w14:textId="77777777" w:rsidR="007725A2" w:rsidRDefault="00000000">
            <w:pPr>
              <w:jc w:val="center"/>
            </w:pPr>
            <w:r>
              <w:rPr>
                <w:b/>
                <w:sz w:val="20"/>
              </w:rPr>
              <w:t>Especificidad</w:t>
            </w:r>
          </w:p>
        </w:tc>
      </w:tr>
      <w:tr w:rsidR="007725A2" w14:paraId="4960A39A" w14:textId="77777777">
        <w:trPr>
          <w:jc w:val="center"/>
        </w:trPr>
        <w:tc>
          <w:tcPr>
            <w:tcW w:w="1440" w:type="dxa"/>
          </w:tcPr>
          <w:p w14:paraId="7850A2C8" w14:textId="77777777" w:rsidR="007725A2" w:rsidRDefault="00000000">
            <w:pPr>
              <w:jc w:val="center"/>
            </w:pPr>
            <w:r>
              <w:rPr>
                <w:sz w:val="20"/>
              </w:rPr>
              <w:t>Regresión Logística</w:t>
            </w:r>
          </w:p>
        </w:tc>
        <w:tc>
          <w:tcPr>
            <w:tcW w:w="1440" w:type="dxa"/>
          </w:tcPr>
          <w:p w14:paraId="4881D003" w14:textId="77777777" w:rsidR="007725A2" w:rsidRDefault="00000000">
            <w:pPr>
              <w:jc w:val="center"/>
            </w:pPr>
            <w:r>
              <w:rPr>
                <w:sz w:val="20"/>
              </w:rPr>
              <w:t>0.5206</w:t>
            </w:r>
          </w:p>
        </w:tc>
        <w:tc>
          <w:tcPr>
            <w:tcW w:w="1440" w:type="dxa"/>
          </w:tcPr>
          <w:p w14:paraId="3715D895" w14:textId="77777777" w:rsidR="007725A2" w:rsidRDefault="00000000">
            <w:pPr>
              <w:jc w:val="center"/>
            </w:pPr>
            <w:r>
              <w:rPr>
                <w:sz w:val="20"/>
              </w:rPr>
              <w:t>0.0665</w:t>
            </w:r>
          </w:p>
        </w:tc>
        <w:tc>
          <w:tcPr>
            <w:tcW w:w="1440" w:type="dxa"/>
          </w:tcPr>
          <w:p w14:paraId="5C22AFA2" w14:textId="77777777" w:rsidR="007725A2" w:rsidRDefault="00000000">
            <w:pPr>
              <w:jc w:val="center"/>
            </w:pPr>
            <w:r>
              <w:rPr>
                <w:sz w:val="20"/>
              </w:rPr>
              <w:t>0.7556</w:t>
            </w:r>
          </w:p>
        </w:tc>
        <w:tc>
          <w:tcPr>
            <w:tcW w:w="1440" w:type="dxa"/>
          </w:tcPr>
          <w:p w14:paraId="39B8BC15" w14:textId="77777777" w:rsidR="007725A2" w:rsidRDefault="00000000">
            <w:pPr>
              <w:jc w:val="center"/>
            </w:pPr>
            <w:r>
              <w:rPr>
                <w:sz w:val="20"/>
              </w:rPr>
              <w:t>0.5714</w:t>
            </w:r>
          </w:p>
        </w:tc>
        <w:tc>
          <w:tcPr>
            <w:tcW w:w="1440" w:type="dxa"/>
          </w:tcPr>
          <w:p w14:paraId="7F14507C" w14:textId="77777777" w:rsidR="007725A2" w:rsidRDefault="00000000">
            <w:pPr>
              <w:jc w:val="center"/>
            </w:pPr>
            <w:r>
              <w:rPr>
                <w:sz w:val="20"/>
              </w:rPr>
              <w:t>0.8095</w:t>
            </w:r>
          </w:p>
        </w:tc>
      </w:tr>
      <w:tr w:rsidR="007725A2" w14:paraId="19985F81" w14:textId="77777777">
        <w:trPr>
          <w:jc w:val="center"/>
        </w:trPr>
        <w:tc>
          <w:tcPr>
            <w:tcW w:w="1440" w:type="dxa"/>
          </w:tcPr>
          <w:p w14:paraId="1B711CD8" w14:textId="77777777" w:rsidR="007725A2" w:rsidRDefault="00000000">
            <w:pPr>
              <w:jc w:val="center"/>
            </w:pPr>
            <w:r>
              <w:rPr>
                <w:sz w:val="20"/>
              </w:rPr>
              <w:t>SVM (poly)</w:t>
            </w:r>
          </w:p>
        </w:tc>
        <w:tc>
          <w:tcPr>
            <w:tcW w:w="1440" w:type="dxa"/>
          </w:tcPr>
          <w:p w14:paraId="5D6C5266" w14:textId="77777777" w:rsidR="007725A2" w:rsidRDefault="00000000">
            <w:pPr>
              <w:jc w:val="center"/>
            </w:pPr>
            <w:r>
              <w:rPr>
                <w:sz w:val="20"/>
              </w:rPr>
              <w:t>0.7444</w:t>
            </w:r>
          </w:p>
        </w:tc>
        <w:tc>
          <w:tcPr>
            <w:tcW w:w="1440" w:type="dxa"/>
          </w:tcPr>
          <w:p w14:paraId="1FA1FB48" w14:textId="77777777" w:rsidR="007725A2" w:rsidRDefault="00000000">
            <w:pPr>
              <w:jc w:val="center"/>
            </w:pPr>
            <w:r>
              <w:rPr>
                <w:sz w:val="20"/>
              </w:rPr>
              <w:t>0.0535</w:t>
            </w:r>
          </w:p>
        </w:tc>
        <w:tc>
          <w:tcPr>
            <w:tcW w:w="1440" w:type="dxa"/>
          </w:tcPr>
          <w:p w14:paraId="2431C609" w14:textId="77777777" w:rsidR="007725A2" w:rsidRDefault="00000000">
            <w:pPr>
              <w:jc w:val="center"/>
            </w:pPr>
            <w:r>
              <w:rPr>
                <w:sz w:val="20"/>
              </w:rPr>
              <w:t>0.6823</w:t>
            </w:r>
          </w:p>
        </w:tc>
        <w:tc>
          <w:tcPr>
            <w:tcW w:w="1440" w:type="dxa"/>
          </w:tcPr>
          <w:p w14:paraId="248708AF" w14:textId="77777777" w:rsidR="007725A2" w:rsidRDefault="00000000">
            <w:pPr>
              <w:jc w:val="center"/>
            </w:pPr>
            <w:r>
              <w:rPr>
                <w:sz w:val="20"/>
              </w:rPr>
              <w:t>0.8857</w:t>
            </w:r>
          </w:p>
        </w:tc>
        <w:tc>
          <w:tcPr>
            <w:tcW w:w="1440" w:type="dxa"/>
          </w:tcPr>
          <w:p w14:paraId="6B64EB00" w14:textId="77777777" w:rsidR="007725A2" w:rsidRDefault="00000000">
            <w:pPr>
              <w:jc w:val="center"/>
            </w:pPr>
            <w:r>
              <w:rPr>
                <w:sz w:val="20"/>
              </w:rPr>
              <w:t>0.4286</w:t>
            </w:r>
          </w:p>
        </w:tc>
      </w:tr>
      <w:tr w:rsidR="007725A2" w14:paraId="0E247C86" w14:textId="77777777">
        <w:trPr>
          <w:jc w:val="center"/>
        </w:trPr>
        <w:tc>
          <w:tcPr>
            <w:tcW w:w="1440" w:type="dxa"/>
          </w:tcPr>
          <w:p w14:paraId="05949F20" w14:textId="77777777" w:rsidR="007725A2" w:rsidRDefault="00000000">
            <w:pPr>
              <w:jc w:val="center"/>
            </w:pPr>
            <w:r>
              <w:rPr>
                <w:sz w:val="20"/>
              </w:rPr>
              <w:t>Random Forest</w:t>
            </w:r>
          </w:p>
        </w:tc>
        <w:tc>
          <w:tcPr>
            <w:tcW w:w="1440" w:type="dxa"/>
          </w:tcPr>
          <w:p w14:paraId="31A93823" w14:textId="77777777" w:rsidR="007725A2" w:rsidRDefault="00000000">
            <w:pPr>
              <w:jc w:val="center"/>
            </w:pPr>
            <w:r>
              <w:rPr>
                <w:sz w:val="20"/>
              </w:rPr>
              <w:t>0.6921</w:t>
            </w:r>
          </w:p>
        </w:tc>
        <w:tc>
          <w:tcPr>
            <w:tcW w:w="1440" w:type="dxa"/>
          </w:tcPr>
          <w:p w14:paraId="43DB6251" w14:textId="77777777" w:rsidR="007725A2" w:rsidRDefault="00000000">
            <w:pPr>
              <w:jc w:val="center"/>
            </w:pPr>
            <w:r>
              <w:rPr>
                <w:sz w:val="20"/>
              </w:rPr>
              <w:t>0.0464</w:t>
            </w:r>
          </w:p>
        </w:tc>
        <w:tc>
          <w:tcPr>
            <w:tcW w:w="1440" w:type="dxa"/>
          </w:tcPr>
          <w:p w14:paraId="5257A1D4" w14:textId="77777777" w:rsidR="007725A2" w:rsidRDefault="00000000">
            <w:pPr>
              <w:jc w:val="center"/>
            </w:pPr>
            <w:r>
              <w:rPr>
                <w:sz w:val="20"/>
              </w:rPr>
              <w:t>0.7247</w:t>
            </w:r>
          </w:p>
        </w:tc>
        <w:tc>
          <w:tcPr>
            <w:tcW w:w="1440" w:type="dxa"/>
          </w:tcPr>
          <w:p w14:paraId="06E82B25" w14:textId="77777777" w:rsidR="007725A2" w:rsidRDefault="00000000">
            <w:pPr>
              <w:jc w:val="center"/>
            </w:pPr>
            <w:r>
              <w:rPr>
                <w:sz w:val="20"/>
              </w:rPr>
              <w:t>0.8667</w:t>
            </w:r>
          </w:p>
        </w:tc>
        <w:tc>
          <w:tcPr>
            <w:tcW w:w="1440" w:type="dxa"/>
          </w:tcPr>
          <w:p w14:paraId="13CBD7DA" w14:textId="77777777" w:rsidR="007725A2" w:rsidRDefault="00000000">
            <w:pPr>
              <w:jc w:val="center"/>
            </w:pPr>
            <w:r>
              <w:rPr>
                <w:sz w:val="20"/>
              </w:rPr>
              <w:t>0.2857</w:t>
            </w:r>
          </w:p>
        </w:tc>
      </w:tr>
    </w:tbl>
    <w:p w14:paraId="28C9C83E" w14:textId="77777777" w:rsidR="007725A2" w:rsidRDefault="007725A2">
      <w:pPr>
        <w:jc w:val="both"/>
      </w:pPr>
    </w:p>
    <w:p w14:paraId="6013C8C4" w14:textId="77777777" w:rsidR="007725A2" w:rsidRDefault="00000000">
      <w:pPr>
        <w:jc w:val="both"/>
      </w:pPr>
      <w:r>
        <w:rPr>
          <w:b/>
        </w:rPr>
        <w:t>F. Conclusión</w:t>
      </w:r>
    </w:p>
    <w:p w14:paraId="7209E3A9" w14:textId="77777777" w:rsidR="007725A2" w:rsidRDefault="00000000">
      <w:pPr>
        <w:jc w:val="both"/>
      </w:pPr>
      <w:r>
        <w:t>La Regresión Logística ofrece la mayor interpretabilidad: sus coeficientes indican la dirección y magnitud del efecto de cada variable, lo que es valioso para entender por qué un estudiante tiene mayor probabilidad de completar el curso. Además, presenta el mejor AUC (0.756) y la mejor especificidad (0.810), siendo el modelo más equilibrado para identificar tanto a quienes completan como a quienes no completan el curso.</w:t>
      </w:r>
    </w:p>
    <w:p w14:paraId="006FD025" w14:textId="77777777" w:rsidR="007725A2" w:rsidRDefault="00000000">
      <w:pPr>
        <w:jc w:val="both"/>
      </w:pPr>
      <w:r>
        <w:t>El SVM (kernel poly) logra el mejor accuracy promedio (0.744) y la mayor sensibilidad (0.886), siendo el más efectivo para detectar a los estudiantes que completan. Sin embargo, su especificidad es baja (0.429), generando muchos falsos positivos.</w:t>
      </w:r>
    </w:p>
    <w:p w14:paraId="5C90D7C2" w14:textId="77777777" w:rsidR="007725A2" w:rsidRDefault="00000000">
      <w:pPr>
        <w:jc w:val="both"/>
      </w:pPr>
      <w:r>
        <w:t xml:space="preserve">El Random Forest maneja naturalmente interacciones y umbrales no lineales, y es robusto al desbalance mediante class_weight='balanced'. Presenta la menor varianza entre folds (std = 0.046), sugiriendo buena estabilidad. Su AUC intermedio (0.725) lo posiciona </w:t>
      </w:r>
      <w:r>
        <w:lastRenderedPageBreak/>
        <w:t>como una alternativa equilibrada, destacando por la importancia de qp_activity como predictor.</w:t>
      </w:r>
    </w:p>
    <w:p w14:paraId="3BB20FC9" w14:textId="77777777" w:rsidR="007725A2" w:rsidRDefault="00000000">
      <w:pPr>
        <w:jc w:val="both"/>
      </w:pPr>
      <w:r>
        <w:t>El modelo con menor varianza entre folds es el que mejor generaliza. Si la diferencia de accuracy promedio entre modelos es pequeña (típica en datasets educativos con efectos modestos), se prefiere el modelo más parsimonioso e interpretable (Regresión Logística), salvo que el Random Forest ofrezca una mejora sustancial en AUC o sensibilidad. En este caso, la Regresión Logística se posiciona como el modelo recomendado por su mejor AUC, mayor especificidad e interpretabilidad.</w:t>
      </w:r>
    </w:p>
    <w:p w14:paraId="39145CF3" w14:textId="77777777" w:rsidR="007725A2" w:rsidRDefault="00000000">
      <w:pPr>
        <w:jc w:val="both"/>
      </w:pPr>
      <w:r>
        <w:t>Como limitaciones, el dataset tiene un fuerte desbalance de clases (83.8% vs 16.2%), mitigado con class_weight='balanced' en los tres modelos y estratificación en la validación cruzada. Las variables motivacionales tienen correlaciones bajas con el objetivo (r &lt; 0.10), consistente con la literatura: la motivación explica una fracción pequeña de la varianza del comportamiento. El pretest (conocimiento previo) fue el predictor dominante en la Tarea 1b, pero en la clasificación de take_exam el engagement activo (qp_activity) tiene mayor peso predictivo según el Random Forest, lo que sugiere que completar el curso depende más de la interacción con la plataforma que del conocimiento previo.</w:t>
      </w:r>
    </w:p>
    <w:sectPr w:rsidR="007725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2173785">
    <w:abstractNumId w:val="8"/>
  </w:num>
  <w:num w:numId="2" w16cid:durableId="1524981323">
    <w:abstractNumId w:val="6"/>
  </w:num>
  <w:num w:numId="3" w16cid:durableId="250091705">
    <w:abstractNumId w:val="5"/>
  </w:num>
  <w:num w:numId="4" w16cid:durableId="731931906">
    <w:abstractNumId w:val="4"/>
  </w:num>
  <w:num w:numId="5" w16cid:durableId="1256554262">
    <w:abstractNumId w:val="7"/>
  </w:num>
  <w:num w:numId="6" w16cid:durableId="537083349">
    <w:abstractNumId w:val="3"/>
  </w:num>
  <w:num w:numId="7" w16cid:durableId="1154642830">
    <w:abstractNumId w:val="2"/>
  </w:num>
  <w:num w:numId="8" w16cid:durableId="1002467571">
    <w:abstractNumId w:val="1"/>
  </w:num>
  <w:num w:numId="9" w16cid:durableId="2853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5DF"/>
    <w:rsid w:val="0015074B"/>
    <w:rsid w:val="0029639D"/>
    <w:rsid w:val="00326F90"/>
    <w:rsid w:val="007725A2"/>
    <w:rsid w:val="008519F9"/>
    <w:rsid w:val="009E6028"/>
    <w:rsid w:val="009F59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44454"/>
  <w14:defaultImageDpi w14:val="300"/>
  <w15:docId w15:val="{65FB6724-CB6E-4AFD-A353-3A02E191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519F9"/>
    <w:rPr>
      <w:color w:val="0000FF" w:themeColor="hyperlink"/>
      <w:u w:val="single"/>
    </w:rPr>
  </w:style>
  <w:style w:type="character" w:styleId="Mencinsinresolver">
    <w:name w:val="Unresolved Mention"/>
    <w:basedOn w:val="Fuentedeprrafopredeter"/>
    <w:uiPriority w:val="99"/>
    <w:semiHidden/>
    <w:unhideWhenUsed/>
    <w:rsid w:val="00851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arlos-ojeda01/Tarea-1c"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1366</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Ojeda Cárcamo</cp:lastModifiedBy>
  <cp:revision>3</cp:revision>
  <dcterms:created xsi:type="dcterms:W3CDTF">2013-12-23T23:15:00Z</dcterms:created>
  <dcterms:modified xsi:type="dcterms:W3CDTF">2026-06-30T02:46:00Z</dcterms:modified>
  <cp:category/>
</cp:coreProperties>
</file>