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Policy Brief</w:t>
      </w:r>
    </w:p>
    <w:p>
      <w:r>
        <w:br/>
        <w:br/>
        <w:t>Answer:**Executive Summary**</w:t>
        <w:br/>
        <w:br/>
        <w:t>This research examines the differential health benefits of college completion among American racial and ethnic minorities using nationally representative data. Key findings indicate that while college graduation is associated with lower rates of depression across all racial groups, it predicts lower metabolic syndrome only for whites. Conversely, black and Hispanic adults from disadvantaged backgrounds who complete college exhibit higher metabolic syndrome, suggesting that upward social mobility may incur a health cost for these minority groups. The study underscores the complex interplay between race, educational attainment, and health, highlighting persistent health disparities despite academic success.</w:t>
        <w:br/>
        <w:br/>
        <w:t>Answer:### Background</w:t>
        <w:br/>
        <w:br/>
        <w:t>This research paper investigates the long-term effects of adolescent disadvantage on depressive symptoms and metabolic syndrome in adulthood. Historically, socio-economic and educational disparities have been linked to poorer mental health and physical well-being. The study utilizes data from the Add Health project, focusing on a sample of 14,167 respondents who participated in both Wave I and Wave IV in-home interviews, with a final analytic sample of 13,009 for depressive symptoms and 10,786 for metabolic syndrome after accounting for missing data. The research seeks to understand how factors such as educational attainment, social isolation, social stress, and obesity mediate these outcomes, providing a comprehensive look at the interplay between early-life disadvantage and adult health disparities.</w:t>
        <w:br/>
        <w:br/>
        <w:t>Answer:### Research Question and Problem Summary</w:t>
        <w:br/>
        <w:br/>
        <w:t>The core research question of this study investigates the long-term impacts of various adolescent experiences and characteristics on adult health outcomes, specifically depressive symptoms and metabolic syndrome. The significance of this problem lies in understanding how early-life socioeconomic, educational, and social environments contribute to health disparities in adulthood. The study aims to address gaps in existing literature by examining the mediating roles of striving, perseverance, social isolation, social stress, and obesity. Challenges include ensuring comprehensive data collection and dealing with missing data points, which were mitigated through listwise deletion and careful sample selection.</w:t>
        <w:br/>
        <w:br/>
        <w:t>Answer:### Key Statistical Findings</w:t>
        <w:br/>
        <w:br/>
        <w:t>- **Striving and Perseverance**: Adolescents' striving was measured using a four-item scale which included educational expectations, educational aspirations, hopefulness about the future, and belief in hard work. The mean (SD) scores for these items were not detailed, but they were used to gauge the long-term impact on adulthood perseverance, which was measured with a nine-item personality scale including optimism, planning for the future, and a sense of control over one’s life.</w:t>
        <w:br/>
        <w:br/>
        <w:t>- **Social Isolation**: The research examined social isolation during adolescence and adulthood using scales that included social connections with family, friends, schoolmates, and the community. Specific mean (SD) or percentages were not provided, but the scales aimed to quantify the lack of social connections at different life stages.</w:t>
        <w:br/>
        <w:br/>
        <w:t>- **Social Stress**: Social stress was assessed by counting the number of stressful life events reported during adolescence and adulthood, along with the Cohen perceived stress scale at wave IV. Detailed quantitative data from these measures were not provided in the summary, but these were crucial for examining the relationship between social stress and long-term outcomes.</w:t>
        <w:br/>
        <w:br/>
        <w:t>- **Obesity and Community Disadvantage**: Adolescent body mass index (BMI) was used as a measure of obesity, contributing to the understanding of long-term health outcomes. Community disadvantage was measured based on the proportion of Black residents, vacant homes, county-level infant mortality rate, and violent crime rate. These were coded into binary indicators with the top quartile defined as disadvantaged, but specific numerical values were not detailed in the summary.</w:t>
        <w:br/>
        <w:br/>
        <w:t>- **School Disadvantage**: School-level aggregated measures of household welfare, parental unemployment, parental education level, and single-parent households were used to determine school disadvantage. Similarly, items such as grade retention, dropout rate, class sizes, teacher qualifications, and daily attendance were also recoded as binary indicators with the top quartile defined as disadvantaged. Specific numerical values for these indicators were not provided in the summary.</w:t>
        <w:br/>
        <w:br/>
        <w:t>These findings emphasize the multi-faceted approach to assessing long-term outcomes by examining educational and social factors during adolescence and adulthood.</w:t>
        <w:br/>
        <w:br/>
        <w:t>Answer:**Conclusion and Policy Recommendations:**</w:t>
        <w:br/>
        <w:br/>
        <w:t>The research highlights the significant impact of social and psychological factors, such as striving, perseverance, social isolation, and stress, on long-term health outcomes like depressive symptoms and metabolic syndrome. Policy recommendations include implementing targeted interventions in adolescence to foster educational aspirations and perseverance, as well as programs to reduce social isolation and stress. Specifically, schools and community organizations should develop mentorship and support systems to enhance students' future outlook and coping skills, backed by data showing the positive correlation between these factors and improved health outcomes.</w:t>
      </w:r>
    </w:p>
    <w:p/>
    <w:p>
      <w:r>
        <w:drawing>
          <wp:inline xmlns:a="http://schemas.openxmlformats.org/drawingml/2006/main" xmlns:pic="http://schemas.openxmlformats.org/drawingml/2006/picture">
            <wp:extent cx="4572000" cy="27473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4572000" cy="2747300"/>
                    </a:xfrm>
                    <a:prstGeom prst="rect"/>
                  </pic:spPr>
                </pic:pic>
              </a:graphicData>
            </a:graphic>
          </wp:inline>
        </w:drawing>
      </w:r>
    </w:p>
    <w:p/>
    <w:p>
      <w:r>
        <w:drawing>
          <wp:inline xmlns:a="http://schemas.openxmlformats.org/drawingml/2006/main" xmlns:pic="http://schemas.openxmlformats.org/drawingml/2006/picture">
            <wp:extent cx="4572000" cy="27473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572000" cy="27473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