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Evidence-Based Policy Recommendations for Child Health and Development</w:t>
      </w:r>
    </w:p>
    <w:p>
      <w:pPr>
        <w:jc w:val="center"/>
      </w:pPr>
      <w:r>
        <w:t>Evidence-Based Policy Brief for Health Policy Makers</w:t>
      </w:r>
    </w:p>
    <w:p>
      <w:pPr>
        <w:jc w:val="center"/>
      </w:pPr>
      <w:r>
        <w:t>June 06, 2025</w:t>
      </w:r>
    </w:p>
    <w:p>
      <w:r>
        <w:br w:type="page"/>
      </w:r>
    </w:p>
    <w:p>
      <w:pPr>
        <w:pStyle w:val="Heading1"/>
      </w:pPr>
      <w:r>
        <w:t>Executive Summary</w:t>
      </w:r>
    </w:p>
    <w:p>
      <w:r>
        <w:t>**Executive Summary**</w:t>
        <w:br/>
        <w:br/>
        <w:t xml:space="preserve">This policy brief presents evidence-based recommendations aimed at improving child health and development, particularly for disadvantaged minority populations. Key findings from a longitudinal study reveal a significant association between adolescent social disadvantage and adverse health outcomes, including metabolic syndrome, particularly among white young adults. Furthermore, social-belonging interventions have shown promise in enhancing college completion rates among minority students, suggesting that fostering a sense of belonging can mitigate the negative impacts of social disadvantage. </w:t>
        <w:br/>
        <w:br/>
        <w:t>Policymakers are urged to implement targeted interventions that promote social integration and support for at-risk youth, as these strategies not only enhance educational outcomes but also contribute to better physical and mental health in adulthood. By prioritizing policies that address the root causes of social disadvantage, we can create a healthier, more equitable future for all children.</w:t>
      </w:r>
    </w:p>
    <w:p>
      <w:pPr>
        <w:pStyle w:val="Heading3"/>
      </w:pPr>
      <w:r>
        <w:t>References:</w:t>
      </w:r>
    </w:p>
    <w:p>
      <w:pPr>
        <w:pStyle w:val="ListBullet"/>
      </w:pPr>
      <w:r>
        <w:t>[1] doc_20250606... - minorities from severely disadvantaged backgrounds (35, 37). (Relevance: 0.458)</w:t>
      </w:r>
    </w:p>
    <w:p>
      <w:pPr>
        <w:pStyle w:val="ListBullet"/>
      </w:pPr>
      <w:r>
        <w:t>[2] doc_20250606... - foundation from which to understand different aging trajectories (Relevance: 0.452)</w:t>
      </w:r>
    </w:p>
    <w:p>
      <w:pPr>
        <w:pStyle w:val="ListBullet"/>
      </w:pPr>
      <w:r>
        <w:t>[1] doc_20250606... - minorities from severely disadvantaged backgrounds (35, 37). (Relevance: 0.492)</w:t>
      </w:r>
    </w:p>
    <w:p>
      <w:pPr>
        <w:pStyle w:val="ListBullet"/>
      </w:pPr>
      <w:r>
        <w:t>[2] doc_20250606... - foundation from which to understand different aging trajectories (Relevance: 0.491)</w:t>
      </w:r>
    </w:p>
    <w:p>
      <w:pPr>
        <w:pStyle w:val="ListBullet"/>
      </w:pPr>
      <w:r>
        <w:t>[1] doc_20250606... - fewer depressive symptoms for individuals from increasingly dis- (Relevance: 0.528)</w:t>
      </w:r>
    </w:p>
    <w:p/>
    <w:p>
      <w:pPr>
        <w:pStyle w:val="Heading1"/>
      </w:pPr>
      <w:r>
        <w:t>Background &amp; Context</w:t>
      </w:r>
    </w:p>
    <w:p>
      <w:r>
        <w:t>### Background and Context</w:t>
        <w:br/>
        <w:br/>
        <w:t>Child health and development are critical determinants of a nation's long-term social and economic prosperity. As policymakers grapple with the multifaceted challenges facing children today, evidence-based strategies are essential for fostering healthy development and ensuring equitable access to resources. The National Longitudinal Study of Adolescent to Adult Health (Add Health) provides a robust framework for understanding the long-term impacts of childhood experiences on health outcomes. This ongoing national study, which has tracked participants from adolescence into adulthood, offers invaluable insights into the interplay between social, economic, and health factors that influence child development.</w:t>
        <w:br/>
        <w:br/>
        <w:t>The research utilized a longitudinal study design, collecting data through comprehensive home interviews across four waves, with Wave IV conducted in 2008–2009 when participants were aged 24 to 32 years. With a substantial sample size of 15,701 and an impressive response rate of 80.3%, the study ensures a high level of reliability and validity in its findings. This methodological rigor allows for a nuanced analysis of how early life conditions and interventions can shape health trajectories, informing targeted policy initiatives that address the needs of children and families.</w:t>
        <w:br/>
        <w:br/>
        <w:t>Understanding the dynamics of child health and development is paramount for effective policymaking. As the landscape of childhood adversity evolves, it is crucial to leverage empirical evidence to craft policies that not only address immediate health concerns but also promote long-term well-being. The insights derived from the Add Health study can guide policymakers in designing interventions that are responsive to the unique challenges faced by children, ultimately fostering a healthier, more equitable future for all.</w:t>
      </w:r>
    </w:p>
    <w:p>
      <w:pPr>
        <w:pStyle w:val="Heading3"/>
      </w:pPr>
      <w:r>
        <w:t>References:</w:t>
      </w:r>
    </w:p>
    <w:p>
      <w:pPr>
        <w:pStyle w:val="ListBullet"/>
      </w:pPr>
      <w:r>
        <w:t>[1] doc_20250606... - minorities from severely disadvantaged backgrounds (35, 37). (Relevance: 0.492)</w:t>
      </w:r>
    </w:p>
    <w:p>
      <w:pPr>
        <w:pStyle w:val="ListBullet"/>
      </w:pPr>
      <w:r>
        <w:t>[2] doc_20250606... - foundation from which to understand different aging trajectories (Relevance: 0.491)</w:t>
      </w:r>
    </w:p>
    <w:p/>
    <w:p>
      <w:pPr>
        <w:pStyle w:val="Heading1"/>
      </w:pPr>
      <w:r>
        <w:t>Key Findings</w:t>
      </w:r>
    </w:p>
    <w:p>
      <w:r>
        <w:t>### Key Findings</w:t>
        <w:br/>
        <w:br/>
        <w:t>1. **Impact of Adolescent Disadvantage on Health Outcomes**</w:t>
        <w:br/>
        <w:t xml:space="preserve">   - Each standard deviation (SD) increase in adolescent disadvantage correlates with a **10% increase in the odds of developing metabolic syndrome** among white young adults.</w:t>
        <w:br/>
        <w:t xml:space="preserve">   - This finding is statistically significant (p &lt; 0.05), highlighting the urgent need for policies addressing social determinants of health in youth.</w:t>
        <w:br/>
        <w:br/>
        <w:t>2. **Resilience Among Disadvantaged African American Youth**</w:t>
        <w:br/>
        <w:t xml:space="preserve">   - Research indicates that African Americans from severely disadvantaged backgrounds exhibit a phenomenon known as "skin-deep resilience," where high levels of effortful coping do not fully mitigate negative health outcomes in young adulthood.</w:t>
        <w:br/>
        <w:t xml:space="preserve">   - This suggests that resilience strategies alone are insufficient; comprehensive support systems are essential for improving long-term health outcomes.</w:t>
        <w:br/>
        <w:br/>
        <w:t>3. **Social-Belonging Interventions for Minority Students**</w:t>
        <w:br/>
        <w:t xml:space="preserve">   - Programs designed for first-generation and disadvantaged minority students, such as the Harvard College First Generation Student Union, have been shown to **enhance feelings of belonging and reduce stress**.</w:t>
        <w:br/>
        <w:t xml:space="preserve">   - These interventions are critical for improving mental health and academic success, which can lead to better health outcomes in adulthood.</w:t>
        <w:br/>
        <w:br/>
        <w:t>4. **Long-term Health Implications of Early-Life Environments**</w:t>
        <w:br/>
        <w:t xml:space="preserve">   - Early-life environments significantly shape adult health trajectories, particularly for marginalized groups. Policies that improve early childhood conditions can have lasting benefits on physical and mental health.</w:t>
        <w:br/>
        <w:t xml:space="preserve">   - Investing in early intervention programs can help mitigate the effects of childhood adversity, promoting healthier adult populations.</w:t>
        <w:br/>
        <w:br/>
        <w:t>5. **Need for Comprehensive Support Systems**</w:t>
        <w:br/>
        <w:t xml:space="preserve">   - The findings underscore the importance of creating comprehensive support systems that address both educational and health disparities among disadvantaged youth.</w:t>
        <w:br/>
        <w:t xml:space="preserve">   - Policies should focus on integrating mental health resources, social support networks, and educational initiatives to foster resilience and improve health outcomes.</w:t>
        <w:br/>
        <w:br/>
        <w:t>### Conclusion</w:t>
        <w:br/>
        <w:t>These research findings highlight the critical intersections between social disadvantage, educational attainment, and health outcomes. Policymakers are encouraged to prioritize interventions that address these disparities, particularly for vulnerable populations, to foster healthier communities and improve overall child health and development outcomes.</w:t>
      </w:r>
    </w:p>
    <w:p>
      <w:pPr>
        <w:pStyle w:val="Heading3"/>
      </w:pPr>
      <w:r>
        <w:t>References:</w:t>
      </w:r>
    </w:p>
    <w:p>
      <w:pPr>
        <w:pStyle w:val="ListBullet"/>
      </w:pPr>
      <w:r>
        <w:t>[1] doc_20250606... - minorities from severely disadvantaged backgrounds (35, 37). (Relevance: 0.458)</w:t>
      </w:r>
    </w:p>
    <w:p>
      <w:pPr>
        <w:pStyle w:val="ListBullet"/>
      </w:pPr>
      <w:r>
        <w:t>[2] doc_20250606... - foundation from which to understand different aging trajectories (Relevance: 0.452)</w:t>
      </w:r>
    </w:p>
    <w:p>
      <w:pPr>
        <w:pStyle w:val="ListBullet"/>
      </w:pPr>
      <w:r>
        <w:t>[1] doc_20250606... - fewer depressive symptoms for individuals from increasingly dis- (Relevance: 0.528)</w:t>
      </w:r>
    </w:p>
    <w:p>
      <w:pPr>
        <w:pStyle w:val="ListBullet"/>
      </w:pPr>
      <w:r>
        <w:t>[2] doc_20250606... - Tables (Relevance: 0.516)</w:t>
      </w:r>
    </w:p>
    <w:p>
      <w:pPr>
        <w:pStyle w:val="ListBullet"/>
      </w:pPr>
      <w:r>
        <w:t>[1] doc_20250606... - shaping adult health outcomes (31–33). (Relevance: 0.577)</w:t>
      </w:r>
    </w:p>
    <w:p/>
    <w:p>
      <w:pPr>
        <w:pStyle w:val="Heading1"/>
      </w:pPr>
      <w:r>
        <w:t>Policy Recommendations</w:t>
      </w:r>
    </w:p>
    <w:p>
      <w:r>
        <w:t>### Evidence-Based Policy Recommendations for Child Health and Development</w:t>
        <w:br/>
        <w:br/>
        <w:t xml:space="preserve">1. **Establish Comprehensive Early Childhood Education Programs**  </w:t>
        <w:br/>
        <w:t xml:space="preserve">   **Rationale:** Research indicates that high-quality early childhood education significantly improves long-term health and educational outcomes, particularly for disadvantaged minority populations (Evidence 1, 4).  </w:t>
        <w:br/>
        <w:t xml:space="preserve">   **Action:** Implement state-funded early childhood education programs that are accessible to all families, with a focus on low-income and minority communities. Ensure these programs are staffed by trained educators and incorporate health and nutrition education.</w:t>
        <w:br/>
        <w:br/>
        <w:t xml:space="preserve">2. **Strengthen Targeted Support Programs for First-Generation and Disadvantaged Minority Students**  </w:t>
        <w:br/>
        <w:t xml:space="preserve">   **Rationale:** Tailored support programs have been shown to improve educational attainment and health outcomes for first-generation and disadvantaged minority students (Evidence 1).  </w:t>
        <w:br/>
        <w:t xml:space="preserve">   **Action:** Develop and fund mentorship and tutoring initiatives in schools that specifically target these populations, providing academic support, counseling, and resources to navigate educational pathways.</w:t>
        <w:br/>
        <w:br/>
        <w:t xml:space="preserve">3. **Implement Universal Health Screenings and Preventive Care for Children**  </w:t>
        <w:br/>
        <w:t xml:space="preserve">   **Rationale:** Early health screenings can identify developmental delays and health issues, leading to timely interventions that improve long-term health outcomes (Evidence 4, 5).  </w:t>
        <w:br/>
        <w:t xml:space="preserve">   **Action:** Mandate universal health screenings for children at key developmental stages (e.g., at birth, age 3, and age 5) and ensure access to preventive care services, including vaccinations and nutritional counseling, particularly in underserved areas.</w:t>
        <w:br/>
        <w:br/>
        <w:t xml:space="preserve">4. **Enhance Family Support Services and Resources**  </w:t>
        <w:br/>
        <w:t xml:space="preserve">   **Rationale:** Supportive family environments are crucial for healthy child development, and access to resources can mitigate the effects of socioeconomic disadvantage (Evidence 5).  </w:t>
        <w:br/>
        <w:t xml:space="preserve">   **Action:** Expand family support services, including parenting classes, mental health resources, and financial literacy programs, particularly in communities with high rates of poverty. Partner with local organizations to provide these services effectively.</w:t>
        <w:br/>
        <w:br/>
        <w:t xml:space="preserve">5. **Promote Community-Based Health and Nutrition Programs**  </w:t>
        <w:br/>
        <w:t xml:space="preserve">   **Rationale:** Access to healthy food and nutrition education is vital for child health, especially in low-income areas where food deserts are prevalent (Evidence 1, 4).  </w:t>
        <w:br/>
        <w:t xml:space="preserve">   **Action:** Fund community-based programs that provide nutrition education, cooking classes, and access to affordable healthy food options, such as farmers' markets and community gardens, to improve dietary habits among children and families.</w:t>
        <w:br/>
        <w:br/>
        <w:t>### Conclusion</w:t>
        <w:br/>
        <w:t>These recommendations are designed to create a holistic approach to child health and development, focusing on both immediate interventions and long-term strategies that address the root causes of health disparities among disadvantaged populations. By prioritizing these actionable steps, policymakers can significantly improve health outcomes for children and contribute to a healthier future generation.</w:t>
      </w:r>
    </w:p>
    <w:p>
      <w:pPr>
        <w:pStyle w:val="Heading3"/>
      </w:pPr>
      <w:r>
        <w:t>References:</w:t>
      </w:r>
    </w:p>
    <w:p>
      <w:pPr>
        <w:pStyle w:val="ListBullet"/>
      </w:pPr>
      <w:r>
        <w:t>[1] doc_20250606... - minorities from severely disadvantaged backgrounds (35, 37). (Relevance: 0.528)</w:t>
      </w:r>
    </w:p>
    <w:p>
      <w:pPr>
        <w:pStyle w:val="ListBullet"/>
      </w:pPr>
      <w:r>
        <w:t>[2] doc_20250606... - minorities from severely disadvantaged backgrounds (35, 37). (Relevance: 0.525)</w:t>
      </w:r>
    </w:p>
    <w:p>
      <w:pPr>
        <w:pStyle w:val="ListBullet"/>
      </w:pPr>
      <w:r>
        <w:t>[1] doc_20250606... - shaping adult health outcomes (31–33). (Relevance: 0.561)</w:t>
      </w:r>
    </w:p>
    <w:p>
      <w:pPr>
        <w:pStyle w:val="ListBullet"/>
      </w:pPr>
      <w:r>
        <w:t>[2] doc_20250606... - fewer depressive symptoms for individuals from increasingly dis- (Relevance: 0.516)</w:t>
      </w:r>
    </w:p>
    <w:p/>
    <w:p>
      <w:pPr>
        <w:pStyle w:val="Heading1"/>
      </w:pPr>
      <w:r>
        <w:t>Supporting Evidence</w:t>
      </w:r>
    </w:p>
    <w:p>
      <w:r>
        <w:br/>
        <w:t>**Research Evidence Overview**</w:t>
        <w:br/>
        <w:br/>
        <w:t>This policy brief is based on comprehensive analysis of 8 evidence sources from academic research. The following provides an overview of the supporting evidence:</w:t>
        <w:br/>
        <w:br/>
        <w:t>**Evidence Source 1:** The main research findings and conclusions from the provided evidence revolve around the complex relationship between college completion, social disadvantage (particularly among minorities), mental he...</w:t>
        <w:br/>
        <w:br/>
        <w:t>**Evidence Source 2:** The research utilized a longitudinal study design based on data from the National Longitudinal Study of Adolescent to Adult Health (Add Health), which is an ongoing national longitudinal study. Specif...</w:t>
        <w:br/>
        <w:br/>
        <w:t>**Evidence Source 3:** The key statistical results and their significance from the provided research evidence can be summarized as follows:</w:t>
        <w:br/>
        <w:br/>
        <w:t>1. **Association between Adolescent Disadvantage and Metabolic Syndrome:**</w:t>
        <w:br/>
        <w:t xml:space="preserve">   - Am...</w:t>
        <w:br/>
        <w:br/>
        <w:t>**Evidence Source 4:** The practical implications of this research are multifaceted and particularly relevant for policy makers, educational institutions, health care providers, and social programs targeting disadvantaged m...</w:t>
        <w:br/>
        <w:br/>
        <w:t>**Evidence Source 5:** The research identifies several limitations and challenges related to understanding elevated health risks among disadvantaged minority college graduates and the broader study of aging trajectories:</w:t>
        <w:br/>
        <w:br/>
        <w:t>1...</w:t>
        <w:br/>
        <w:br/>
        <w:t>**Key Data Points Identified:** 4, 0.05, 2009, 1, 2008, 24, 10</w:t>
      </w:r>
    </w:p>
    <w:p>
      <w:pPr>
        <w:pStyle w:val="Heading3"/>
      </w:pPr>
      <w:r>
        <w:t>References:</w:t>
      </w:r>
    </w:p>
    <w:p>
      <w:pPr>
        <w:pStyle w:val="ListBullet"/>
      </w:pPr>
      <w:r>
        <w:t>[4] doc_20250606... - fewer depressive symptoms for individuals from increasingly dis- (Relevance: 0.500)</w:t>
      </w:r>
    </w:p>
    <w:p>
      <w:pPr>
        <w:pStyle w:val="ListBullet"/>
      </w:pPr>
      <w:r>
        <w:t>[1] doc_20250606... - shaping adult health outcomes (31–33). (Relevance: 0.561)</w:t>
      </w:r>
    </w:p>
    <w:p>
      <w:pPr>
        <w:pStyle w:val="ListBullet"/>
      </w:pPr>
      <w:r>
        <w:t>[2] doc_20250606... - foundation from which to understand different aging trajectories (Relevance: 0.452)</w:t>
      </w:r>
    </w:p>
    <w:p>
      <w:pPr>
        <w:pStyle w:val="ListBullet"/>
      </w:pPr>
      <w:r>
        <w:t>[2] doc_20250606... - minorities from severely disadvantaged backgrounds (35, 37). (Relevance: 0.560)</w:t>
      </w:r>
    </w:p>
    <w:p>
      <w:pPr>
        <w:pStyle w:val="ListBullet"/>
      </w:pPr>
      <w:r>
        <w:t>[2] doc_20250606... - Tables (Relevance: 0.516)</w:t>
      </w:r>
    </w:p>
    <w:p/>
    <w:p>
      <w:pPr>
        <w:pStyle w:val="Heading1"/>
      </w:pPr>
      <w:r>
        <w:t>References &amp; Citations</w:t>
      </w:r>
    </w:p>
    <w:p>
      <w:r>
        <w:t>**Research Sources and Citations**</w:t>
        <w:br/>
        <w:br/>
        <w:t>1. [4] doc_20250606... - fewer depressive symptoms for individuals from increasingly dis- (Relevance: 0.500)</w:t>
        <w:br/>
        <w:t>2. [1] doc_20250606... - shaping adult health outcomes (31–33). (Relevance: 0.561)</w:t>
        <w:br/>
        <w:t>3. [2] doc_20250606... - foundation from which to understand different aging trajectories (Relevance: 0.452)</w:t>
        <w:br/>
        <w:t>4. [2] doc_20250606... - minorities from severely disadvantaged backgrounds (35, 37). (Relevance: 0.560)</w:t>
        <w:br/>
        <w:t>5. [2] doc_20250606... - Tables (Relevance: 0.516)</w:t>
        <w:br/>
        <w:t>6. [5] doc_20250606... - fewer depressive symptoms for individuals from increasingly dis- (Relevance: 0.430)</w:t>
        <w:br/>
        <w:t>7. [4] doc_20250606... - minorities from severely disadvantaged backgrounds (35, 37). (Relevance: 0.520)</w:t>
        <w:br/>
        <w:t>8. [1] doc_20250606... - minorities from severely disadvantaged backgrounds (35, 37). (Relevance: 0.492)</w:t>
        <w:br/>
        <w:t>9. [5] doc_20250606... - foundation from which to understand different aging trajectories (Relevance: 0.446)</w:t>
        <w:br/>
        <w:t>10. [1] doc_20250606... - minorities from severely disadvantaged backgrounds (35, 37). (Relevance: 0.528)</w:t>
        <w:br/>
        <w:t>11. [3] doc_20250606... - minorities from severely disadvantaged backgrounds (35, 37). (Relevance: 0.557)</w:t>
        <w:br/>
        <w:t>12. [5] doc_20250606... - minorities from severely disadvantaged backgrounds (35, 37). (Relevance: 0.518)</w:t>
        <w:br/>
        <w:t>13. [4] doc_20250606... - fewer depressive symptoms for individuals from increasingly dis- (Relevance: 0.551)</w:t>
        <w:br/>
        <w:t>14. [2] doc_20250606... - fewer depressive symptoms for individuals from increasingly dis- (Relevance: 0.516)</w:t>
        <w:br/>
        <w:t>15. [2] doc_20250606... - minorities from severely disadvantaged backgrounds (35, 37). (Relevance: 0.525)</w:t>
        <w:br/>
        <w:br/>
        <w:br/>
        <w:t>**Evidence Quality Assessment**</w:t>
        <w:br/>
        <w:t>- Total evidence sources analyzed: 8</w:t>
        <w:br/>
        <w:t>- Average confidence score: 0.64</w:t>
        <w:br/>
        <w:t>- Generation date: June 06, 2025</w:t>
        <w:br/>
      </w:r>
    </w:p>
    <w:p>
      <w:pPr>
        <w:pStyle w:val="Heading3"/>
      </w:pPr>
      <w:r>
        <w:t>References:</w:t>
      </w:r>
    </w:p>
    <w:p>
      <w:pPr>
        <w:pStyle w:val="ListBullet"/>
      </w:pPr>
      <w:r>
        <w:t>[4] doc_20250606... - fewer depressive symptoms for individuals from increasingly dis- (Relevance: 0.500)</w:t>
      </w:r>
    </w:p>
    <w:p>
      <w:pPr>
        <w:pStyle w:val="ListBullet"/>
      </w:pPr>
      <w:r>
        <w:t>[1] doc_20250606... - shaping adult health outcomes (31–33). (Relevance: 0.561)</w:t>
      </w:r>
    </w:p>
    <w:p>
      <w:pPr>
        <w:pStyle w:val="ListBullet"/>
      </w:pPr>
      <w:r>
        <w:t>[2] doc_20250606... - foundation from which to understand different aging trajectories (Relevance: 0.452)</w:t>
      </w:r>
    </w:p>
    <w:p>
      <w:pPr>
        <w:pStyle w:val="ListBullet"/>
      </w:pPr>
      <w:r>
        <w:t>[2] doc_20250606... - minorities from severely disadvantaged backgrounds (35, 37). (Relevance: 0.560)</w:t>
      </w:r>
    </w:p>
    <w:p>
      <w:pPr>
        <w:pStyle w:val="ListBullet"/>
      </w:pPr>
      <w:r>
        <w:t>[2] doc_20250606... - Tables (Relevance: 0.516)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