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bookmarkStart w:colFirst="0" w:colLast="0" w:name="4v5gp0r302oe" w:id="0"/>
    <w:bookmarkEnd w:id="0"/>
    <w:bookmarkStart w:colFirst="0" w:colLast="0" w:name="j2jwet5daywv" w:id="1"/>
    <w:bookmarkEnd w:id="1"/>
    <w:p w:rsidR="00000000" w:rsidDel="00000000" w:rsidP="00000000" w:rsidRDefault="00000000" w:rsidRPr="00000000" w14:paraId="00000001">
      <w:pPr>
        <w:pStyle w:val="Heading1"/>
        <w:jc w:val="center"/>
        <w:rPr/>
      </w:pPr>
      <w:bookmarkStart w:colFirst="0" w:colLast="0" w:name="_yrvsv8nd3pzq" w:id="2"/>
      <w:bookmarkEnd w:id="2"/>
      <w:r w:rsidDel="00000000" w:rsidR="00000000" w:rsidRPr="00000000">
        <w:rPr>
          <w:rtl w:val="0"/>
        </w:rPr>
        <w:t xml:space="preserve">Informe Ejecutivo — StreamView Analytics</w:t>
      </w:r>
    </w:p>
    <w:p w:rsidR="00000000" w:rsidDel="00000000" w:rsidP="00000000" w:rsidRDefault="00000000" w:rsidRPr="00000000" w14:paraId="00000002">
      <w:pPr>
        <w:pStyle w:val="Heading2"/>
        <w:jc w:val="center"/>
        <w:rPr>
          <w:sz w:val="56"/>
          <w:szCs w:val="56"/>
        </w:rPr>
      </w:pPr>
      <w:bookmarkStart w:colFirst="0" w:colLast="0" w:name="_dsti2gyc8qim" w:id="3"/>
      <w:bookmarkEnd w:id="3"/>
      <w:r w:rsidDel="00000000" w:rsidR="00000000" w:rsidRPr="00000000">
        <w:rPr>
          <w:sz w:val="56"/>
          <w:szCs w:val="56"/>
          <w:rtl w:val="0"/>
        </w:rPr>
        <w:t xml:space="preserve">Análisis del Catálogo de Contenido</w:t>
      </w:r>
    </w:p>
    <w:p w:rsidR="00000000" w:rsidDel="00000000" w:rsidP="00000000" w:rsidRDefault="00000000" w:rsidRPr="00000000" w14:paraId="00000003">
      <w:pPr>
        <w:pBdr>
          <w:top w:space="0" w:sz="0" w:val="nil"/>
          <w:left w:space="0" w:sz="0" w:val="nil"/>
          <w:bottom w:space="0" w:sz="0" w:val="nil"/>
          <w:right w:space="0" w:sz="0" w:val="nil"/>
          <w:between w:space="0" w:sz="0" w:val="nil"/>
        </w:pBdr>
        <w:spacing w:after="180" w:before="180" w:lineRule="auto"/>
        <w:rPr>
          <w:b w:val="1"/>
          <w:bCs w:val="1"/>
          <w:color w:val="000000"/>
        </w:rPr>
      </w:pP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after="180" w:before="180" w:lineRule="auto"/>
        <w:rPr>
          <w:b w:val="1"/>
          <w:bCs w:val="1"/>
          <w:color w:val="000000"/>
        </w:rPr>
      </w:pPr>
      <w:r w:rsidDel="00000000" w:rsidR="00000000" w:rsidRPr="00000000">
        <w:rPr>
          <w:rtl w:val="0"/>
        </w:rPr>
      </w:r>
    </w:p>
    <w:p w:rsidR="00000000" w:rsidDel="00000000" w:rsidP="00000000" w:rsidRDefault="00000000" w:rsidRPr="00000000" w14:paraId="00000005">
      <w:pPr>
        <w:pBdr>
          <w:top w:space="0" w:sz="0" w:val="nil"/>
          <w:left w:space="0" w:sz="0" w:val="nil"/>
          <w:bottom w:space="0" w:sz="0" w:val="nil"/>
          <w:right w:space="0" w:sz="0" w:val="nil"/>
          <w:between w:space="0" w:sz="0" w:val="nil"/>
        </w:pBdr>
        <w:spacing w:after="180" w:before="180" w:lineRule="auto"/>
        <w:rPr>
          <w:b w:val="1"/>
          <w:bCs w:val="1"/>
          <w:color w:val="000000"/>
        </w:rPr>
      </w:pPr>
      <w:r w:rsidDel="00000000" w:rsidR="00000000" w:rsidRPr="00000000">
        <w:rPr>
          <w:rtl w:val="0"/>
        </w:rPr>
      </w:r>
    </w:p>
    <w:p w:rsidR="00000000" w:rsidDel="00000000" w:rsidP="00000000" w:rsidRDefault="00000000" w:rsidRPr="00000000" w14:paraId="00000006">
      <w:pPr>
        <w:pBdr>
          <w:top w:space="0" w:sz="0" w:val="nil"/>
          <w:left w:space="0" w:sz="0" w:val="nil"/>
          <w:bottom w:space="0" w:sz="0" w:val="nil"/>
          <w:right w:space="0" w:sz="0" w:val="nil"/>
          <w:between w:space="0" w:sz="0" w:val="nil"/>
        </w:pBdr>
        <w:spacing w:after="180" w:before="180" w:lineRule="auto"/>
        <w:rPr>
          <w:b w:val="1"/>
          <w:bCs w:val="1"/>
          <w:color w:val="000000"/>
        </w:rPr>
      </w:pPr>
      <w:r w:rsidDel="00000000" w:rsidR="00000000" w:rsidRPr="00000000">
        <w:rPr>
          <w:rtl w:val="0"/>
        </w:rPr>
      </w:r>
    </w:p>
    <w:p w:rsidR="00000000" w:rsidDel="00000000" w:rsidP="00000000" w:rsidRDefault="00000000" w:rsidRPr="00000000" w14:paraId="00000007">
      <w:pPr>
        <w:pBdr>
          <w:top w:space="0" w:sz="0" w:val="nil"/>
          <w:left w:space="0" w:sz="0" w:val="nil"/>
          <w:bottom w:space="0" w:sz="0" w:val="nil"/>
          <w:right w:space="0" w:sz="0" w:val="nil"/>
          <w:between w:space="0" w:sz="0" w:val="nil"/>
        </w:pBdr>
        <w:spacing w:after="180" w:before="180" w:lineRule="auto"/>
        <w:rPr>
          <w:b w:val="1"/>
          <w:bCs w:val="1"/>
          <w:color w:val="000000"/>
        </w:rPr>
      </w:pPr>
      <w:r w:rsidDel="00000000" w:rsidR="00000000" w:rsidRPr="00000000">
        <w:rPr>
          <w:rtl w:val="0"/>
        </w:rPr>
      </w:r>
    </w:p>
    <w:p w:rsidR="00000000" w:rsidDel="00000000" w:rsidP="00000000" w:rsidRDefault="00000000" w:rsidRPr="00000000" w14:paraId="00000008">
      <w:pPr>
        <w:pBdr>
          <w:top w:space="0" w:sz="0" w:val="nil"/>
          <w:left w:space="0" w:sz="0" w:val="nil"/>
          <w:bottom w:space="0" w:sz="0" w:val="nil"/>
          <w:right w:space="0" w:sz="0" w:val="nil"/>
          <w:between w:space="0" w:sz="0" w:val="nil"/>
        </w:pBdr>
        <w:spacing w:after="180" w:before="180" w:lineRule="auto"/>
        <w:rPr>
          <w:b w:val="1"/>
          <w:bCs w:val="1"/>
          <w:color w:val="000000"/>
        </w:rPr>
      </w:pPr>
      <w:r w:rsidDel="00000000" w:rsidR="00000000" w:rsidRPr="00000000">
        <w:rPr>
          <w:rtl w:val="0"/>
        </w:rPr>
      </w:r>
    </w:p>
    <w:p w:rsidR="00000000" w:rsidDel="00000000" w:rsidP="00000000" w:rsidRDefault="00000000" w:rsidRPr="00000000" w14:paraId="00000009">
      <w:pPr>
        <w:pBdr>
          <w:top w:space="0" w:sz="0" w:val="nil"/>
          <w:left w:space="0" w:sz="0" w:val="nil"/>
          <w:bottom w:space="0" w:sz="0" w:val="nil"/>
          <w:right w:space="0" w:sz="0" w:val="nil"/>
          <w:between w:space="0" w:sz="0" w:val="nil"/>
        </w:pBdr>
        <w:spacing w:after="180" w:before="180" w:lineRule="auto"/>
        <w:rPr>
          <w:b w:val="1"/>
          <w:bCs w:val="1"/>
          <w:color w:val="000000"/>
        </w:rPr>
      </w:pPr>
      <w:r w:rsidDel="00000000" w:rsidR="00000000" w:rsidRPr="00000000">
        <w:rPr>
          <w:rtl w:val="0"/>
        </w:rPr>
      </w:r>
    </w:p>
    <w:p w:rsidR="00000000" w:rsidDel="00000000" w:rsidP="00000000" w:rsidRDefault="00000000" w:rsidRPr="00000000" w14:paraId="0000000A">
      <w:pPr>
        <w:pBdr>
          <w:top w:space="0" w:sz="0" w:val="nil"/>
          <w:left w:space="0" w:sz="0" w:val="nil"/>
          <w:bottom w:space="0" w:sz="0" w:val="nil"/>
          <w:right w:space="0" w:sz="0" w:val="nil"/>
          <w:between w:space="0" w:sz="0" w:val="nil"/>
        </w:pBdr>
        <w:spacing w:after="180" w:before="180" w:lineRule="auto"/>
        <w:rPr>
          <w:b w:val="1"/>
          <w:bCs w:val="1"/>
          <w:color w:val="000000"/>
        </w:rPr>
      </w:pPr>
      <w:r w:rsidDel="00000000" w:rsidR="00000000" w:rsidRPr="00000000">
        <w:rPr>
          <w:rtl w:val="0"/>
        </w:rPr>
      </w:r>
    </w:p>
    <w:p w:rsidR="00000000" w:rsidDel="00000000" w:rsidP="00000000" w:rsidRDefault="00000000" w:rsidRPr="00000000" w14:paraId="0000000B">
      <w:pPr>
        <w:pBdr>
          <w:top w:space="0" w:sz="0" w:val="nil"/>
          <w:left w:space="0" w:sz="0" w:val="nil"/>
          <w:bottom w:space="0" w:sz="0" w:val="nil"/>
          <w:right w:space="0" w:sz="0" w:val="nil"/>
          <w:between w:space="0" w:sz="0" w:val="nil"/>
        </w:pBdr>
        <w:spacing w:after="180" w:before="180" w:lineRule="auto"/>
        <w:rPr>
          <w:b w:val="1"/>
          <w:bCs w:val="1"/>
          <w:color w:val="000000"/>
        </w:rPr>
      </w:pPr>
      <w:r w:rsidDel="00000000" w:rsidR="00000000" w:rsidRPr="00000000">
        <w:rPr>
          <w:rtl w:val="0"/>
        </w:rPr>
      </w:r>
    </w:p>
    <w:p w:rsidR="00000000" w:rsidDel="00000000" w:rsidP="00000000" w:rsidRDefault="00000000" w:rsidRPr="00000000" w14:paraId="0000000C">
      <w:pPr>
        <w:pBdr>
          <w:top w:space="0" w:sz="0" w:val="nil"/>
          <w:left w:space="0" w:sz="0" w:val="nil"/>
          <w:bottom w:space="0" w:sz="0" w:val="nil"/>
          <w:right w:space="0" w:sz="0" w:val="nil"/>
          <w:between w:space="0" w:sz="0" w:val="nil"/>
        </w:pBdr>
        <w:spacing w:after="180" w:before="180" w:lineRule="auto"/>
        <w:rPr>
          <w:b w:val="1"/>
          <w:bCs w:val="1"/>
          <w:color w:val="000000"/>
        </w:rPr>
      </w:pPr>
      <w:r w:rsidDel="00000000" w:rsidR="00000000" w:rsidRPr="00000000">
        <w:rPr>
          <w:rtl w:val="0"/>
        </w:rPr>
      </w:r>
    </w:p>
    <w:p w:rsidR="00000000" w:rsidDel="00000000" w:rsidP="00000000" w:rsidRDefault="00000000" w:rsidRPr="00000000" w14:paraId="0000000D">
      <w:pPr>
        <w:pBdr>
          <w:top w:space="0" w:sz="0" w:val="nil"/>
          <w:left w:space="0" w:sz="0" w:val="nil"/>
          <w:bottom w:space="0" w:sz="0" w:val="nil"/>
          <w:right w:space="0" w:sz="0" w:val="nil"/>
          <w:between w:space="0" w:sz="0" w:val="nil"/>
        </w:pBdr>
        <w:spacing w:after="180" w:before="180" w:lineRule="auto"/>
        <w:rPr>
          <w:b w:val="1"/>
          <w:bCs w:val="1"/>
          <w:color w:val="000000"/>
        </w:rPr>
      </w:pPr>
      <w:r w:rsidDel="00000000" w:rsidR="00000000" w:rsidRPr="00000000">
        <w:rPr>
          <w:rtl w:val="0"/>
        </w:rPr>
      </w:r>
    </w:p>
    <w:p w:rsidR="00000000" w:rsidDel="00000000" w:rsidP="00000000" w:rsidRDefault="00000000" w:rsidRPr="00000000" w14:paraId="0000000E">
      <w:pPr>
        <w:pBdr>
          <w:top w:space="0" w:sz="0" w:val="nil"/>
          <w:left w:space="0" w:sz="0" w:val="nil"/>
          <w:bottom w:space="0" w:sz="0" w:val="nil"/>
          <w:right w:space="0" w:sz="0" w:val="nil"/>
          <w:between w:space="0" w:sz="0" w:val="nil"/>
        </w:pBdr>
        <w:spacing w:after="180" w:before="180" w:lineRule="auto"/>
        <w:rPr>
          <w:b w:val="1"/>
          <w:bCs w:val="1"/>
          <w:color w:val="000000"/>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spacing w:after="180" w:before="180" w:lineRule="auto"/>
        <w:rPr>
          <w:b w:val="1"/>
          <w:bCs w:val="1"/>
          <w:color w:val="000000"/>
        </w:rPr>
      </w:pPr>
      <w:r w:rsidDel="00000000" w:rsidR="00000000" w:rsidRPr="00000000">
        <w:rPr>
          <w:rtl w:val="0"/>
        </w:rPr>
      </w:r>
    </w:p>
    <w:p w:rsidR="00000000" w:rsidDel="00000000" w:rsidP="00000000" w:rsidRDefault="00000000" w:rsidRPr="00000000" w14:paraId="00000010">
      <w:pPr>
        <w:pBdr>
          <w:top w:space="0" w:sz="0" w:val="nil"/>
          <w:left w:space="0" w:sz="0" w:val="nil"/>
          <w:bottom w:space="0" w:sz="0" w:val="nil"/>
          <w:right w:space="0" w:sz="0" w:val="nil"/>
          <w:between w:space="0" w:sz="0" w:val="nil"/>
        </w:pBdr>
        <w:spacing w:after="180" w:before="180" w:lineRule="auto"/>
        <w:rPr>
          <w:b w:val="1"/>
          <w:bCs w:val="1"/>
          <w:color w:val="000000"/>
        </w:rPr>
      </w:pP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spacing w:after="180" w:before="180" w:lineRule="auto"/>
        <w:rPr>
          <w:b w:val="1"/>
          <w:bCs w:val="1"/>
          <w:color w:val="000000"/>
        </w:rPr>
      </w:pPr>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spacing w:after="180" w:before="180" w:lineRule="auto"/>
        <w:rPr>
          <w:color w:val="000000"/>
        </w:rPr>
      </w:pPr>
      <w:r w:rsidDel="00000000" w:rsidR="00000000" w:rsidRPr="00000000">
        <w:rPr>
          <w:b w:val="1"/>
          <w:bCs w:val="1"/>
          <w:color w:val="000000"/>
          <w:rtl w:val="0"/>
        </w:rPr>
        <w:t xml:space="preserve">Curso:</w:t>
      </w:r>
      <w:r w:rsidDel="00000000" w:rsidR="00000000" w:rsidRPr="00000000">
        <w:rPr>
          <w:color w:val="000000"/>
          <w:rtl w:val="0"/>
        </w:rPr>
        <w:t xml:space="preserve"> ADY1104 Visualización de Datos </w:t>
      </w:r>
    </w:p>
    <w:p w:rsidR="00000000" w:rsidDel="00000000" w:rsidP="00000000" w:rsidRDefault="00000000" w:rsidRPr="00000000" w14:paraId="00000013">
      <w:pPr>
        <w:pBdr>
          <w:top w:space="0" w:sz="0" w:val="nil"/>
          <w:left w:space="0" w:sz="0" w:val="nil"/>
          <w:bottom w:space="0" w:sz="0" w:val="nil"/>
          <w:right w:space="0" w:sz="0" w:val="nil"/>
          <w:between w:space="0" w:sz="0" w:val="nil"/>
        </w:pBdr>
        <w:spacing w:after="180" w:before="180" w:lineRule="auto"/>
        <w:rPr>
          <w:color w:val="000000"/>
        </w:rPr>
      </w:pPr>
      <w:r w:rsidDel="00000000" w:rsidR="00000000" w:rsidRPr="00000000">
        <w:rPr>
          <w:b w:val="1"/>
          <w:bCs w:val="1"/>
          <w:color w:val="000000"/>
          <w:rtl w:val="0"/>
        </w:rPr>
        <w:t xml:space="preserve">Evaluación:</w:t>
      </w:r>
      <w:r w:rsidDel="00000000" w:rsidR="00000000" w:rsidRPr="00000000">
        <w:rPr>
          <w:color w:val="000000"/>
          <w:rtl w:val="0"/>
        </w:rPr>
        <w:t xml:space="preserve"> EP3</w:t>
      </w:r>
    </w:p>
    <w:p w:rsidR="00000000" w:rsidDel="00000000" w:rsidP="00000000" w:rsidRDefault="00000000" w:rsidRPr="00000000" w14:paraId="00000014">
      <w:pPr>
        <w:pBdr>
          <w:top w:space="0" w:sz="0" w:val="nil"/>
          <w:left w:space="0" w:sz="0" w:val="nil"/>
          <w:bottom w:space="0" w:sz="0" w:val="nil"/>
          <w:right w:space="0" w:sz="0" w:val="nil"/>
          <w:between w:space="0" w:sz="0" w:val="nil"/>
        </w:pBdr>
        <w:spacing w:after="180" w:before="180" w:lineRule="auto"/>
        <w:rPr>
          <w:color w:val="000000"/>
        </w:rPr>
      </w:pPr>
      <w:r w:rsidDel="00000000" w:rsidR="00000000" w:rsidRPr="00000000">
        <w:rPr>
          <w:b w:val="1"/>
          <w:bCs w:val="1"/>
          <w:color w:val="000000"/>
          <w:rtl w:val="0"/>
        </w:rPr>
        <w:t xml:space="preserve">Institución:</w:t>
      </w:r>
      <w:r w:rsidDel="00000000" w:rsidR="00000000" w:rsidRPr="00000000">
        <w:rPr>
          <w:color w:val="000000"/>
          <w:rtl w:val="0"/>
        </w:rPr>
        <w:t xml:space="preserve"> DUOC UC</w:t>
      </w:r>
    </w:p>
    <w:p w:rsidR="00000000" w:rsidDel="00000000" w:rsidP="00000000" w:rsidRDefault="00000000" w:rsidRPr="00000000" w14:paraId="00000015">
      <w:pPr>
        <w:pBdr>
          <w:top w:space="0" w:sz="0" w:val="nil"/>
          <w:left w:space="0" w:sz="0" w:val="nil"/>
          <w:bottom w:space="0" w:sz="0" w:val="nil"/>
          <w:right w:space="0" w:sz="0" w:val="nil"/>
          <w:between w:space="0" w:sz="0" w:val="nil"/>
        </w:pBdr>
        <w:spacing w:after="180" w:before="180" w:lineRule="auto"/>
        <w:rPr>
          <w:color w:val="000000"/>
        </w:rPr>
      </w:pPr>
      <w:r w:rsidDel="00000000" w:rsidR="00000000" w:rsidRPr="00000000">
        <w:rPr>
          <w:color w:val="000000"/>
          <w:rtl w:val="0"/>
        </w:rPr>
        <w:t xml:space="preserve"> </w:t>
      </w:r>
      <w:r w:rsidDel="00000000" w:rsidR="00000000" w:rsidRPr="00000000">
        <w:rPr>
          <w:b w:val="1"/>
          <w:bCs w:val="1"/>
          <w:color w:val="000000"/>
          <w:rtl w:val="0"/>
        </w:rPr>
        <w:t xml:space="preserve">Fecha:</w:t>
      </w:r>
      <w:r w:rsidDel="00000000" w:rsidR="00000000" w:rsidRPr="00000000">
        <w:rPr>
          <w:color w:val="000000"/>
          <w:rtl w:val="0"/>
        </w:rPr>
        <w:t xml:space="preserve"> 09/09/2026</w:t>
      </w:r>
    </w:p>
    <w:p w:rsidR="00000000" w:rsidDel="00000000" w:rsidP="00000000" w:rsidRDefault="00000000" w:rsidRPr="00000000" w14:paraId="00000016">
      <w:pPr>
        <w:pBdr>
          <w:top w:space="0" w:sz="0" w:val="nil"/>
          <w:left w:space="0" w:sz="0" w:val="nil"/>
          <w:bottom w:space="0" w:sz="0" w:val="nil"/>
          <w:right w:space="0" w:sz="0" w:val="nil"/>
          <w:between w:space="0" w:sz="0" w:val="nil"/>
        </w:pBdr>
        <w:spacing w:after="180" w:before="180" w:lineRule="auto"/>
        <w:rPr>
          <w:color w:val="000000"/>
        </w:rPr>
      </w:pPr>
      <w:r w:rsidDel="00000000" w:rsidR="00000000" w:rsidRPr="00000000">
        <w:rPr>
          <w:b w:val="1"/>
          <w:bCs w:val="1"/>
          <w:color w:val="000000"/>
          <w:rtl w:val="0"/>
        </w:rPr>
        <w:t xml:space="preserve">Integrantes</w:t>
      </w:r>
      <w:r w:rsidDel="00000000" w:rsidR="00000000" w:rsidRPr="00000000">
        <w:rPr>
          <w:color w:val="000000"/>
          <w:rtl w:val="0"/>
        </w:rPr>
        <w:t xml:space="preserve">: </w:t>
      </w:r>
    </w:p>
    <w:p w:rsidR="00000000" w:rsidDel="00000000" w:rsidP="00000000" w:rsidRDefault="00000000" w:rsidRPr="00000000" w14:paraId="00000017">
      <w:pPr>
        <w:numPr>
          <w:ilvl w:val="0"/>
          <w:numId w:val="3"/>
        </w:numPr>
        <w:pBdr>
          <w:top w:space="0" w:sz="0" w:val="nil"/>
          <w:left w:space="0" w:sz="0" w:val="nil"/>
          <w:bottom w:space="0" w:sz="0" w:val="nil"/>
          <w:right w:space="0" w:sz="0" w:val="nil"/>
          <w:between w:space="0" w:sz="0" w:val="nil"/>
        </w:pBdr>
        <w:spacing w:after="180" w:before="180" w:lineRule="auto"/>
        <w:ind w:left="720" w:hanging="360"/>
        <w:rPr>
          <w:color w:val="000000"/>
        </w:rPr>
      </w:pPr>
      <w:r w:rsidDel="00000000" w:rsidR="00000000" w:rsidRPr="00000000">
        <w:rPr>
          <w:color w:val="000000"/>
          <w:rtl w:val="0"/>
        </w:rPr>
        <w:t xml:space="preserve">Carlos Hidalgo</w:t>
      </w:r>
    </w:p>
    <w:p w:rsidR="00000000" w:rsidDel="00000000" w:rsidP="00000000" w:rsidRDefault="00000000" w:rsidRPr="00000000" w14:paraId="00000018">
      <w:pPr>
        <w:numPr>
          <w:ilvl w:val="0"/>
          <w:numId w:val="3"/>
        </w:numPr>
        <w:pBdr>
          <w:top w:space="0" w:sz="0" w:val="nil"/>
          <w:left w:space="0" w:sz="0" w:val="nil"/>
          <w:bottom w:space="0" w:sz="0" w:val="nil"/>
          <w:right w:space="0" w:sz="0" w:val="nil"/>
          <w:between w:space="0" w:sz="0" w:val="nil"/>
        </w:pBdr>
        <w:spacing w:after="180" w:before="180" w:lineRule="auto"/>
        <w:ind w:left="720" w:hanging="360"/>
        <w:rPr>
          <w:color w:val="000000"/>
        </w:rPr>
      </w:pPr>
      <w:r w:rsidDel="00000000" w:rsidR="00000000" w:rsidRPr="00000000">
        <w:rPr>
          <w:color w:val="000000"/>
          <w:rtl w:val="0"/>
        </w:rPr>
        <w:t xml:space="preserve">Gabriel Caroca</w:t>
      </w:r>
    </w:p>
    <w:p w:rsidR="00000000" w:rsidDel="00000000" w:rsidP="00000000" w:rsidRDefault="00000000" w:rsidRPr="00000000" w14:paraId="00000019">
      <w:pPr>
        <w:numPr>
          <w:ilvl w:val="0"/>
          <w:numId w:val="3"/>
        </w:numPr>
        <w:pBdr>
          <w:top w:space="0" w:sz="0" w:val="nil"/>
          <w:left w:space="0" w:sz="0" w:val="nil"/>
          <w:bottom w:space="0" w:sz="0" w:val="nil"/>
          <w:right w:space="0" w:sz="0" w:val="nil"/>
          <w:between w:space="0" w:sz="0" w:val="nil"/>
        </w:pBdr>
        <w:spacing w:after="180" w:before="180" w:lineRule="auto"/>
        <w:ind w:left="720" w:hanging="360"/>
        <w:rPr>
          <w:color w:val="000000"/>
        </w:rPr>
      </w:pPr>
      <w:r w:rsidDel="00000000" w:rsidR="00000000" w:rsidRPr="00000000">
        <w:rPr>
          <w:color w:val="000000"/>
          <w:rtl w:val="0"/>
        </w:rPr>
        <w:t xml:space="preserve">Bruno Miranda</w:t>
      </w:r>
    </w:p>
    <w:p w:rsidR="00000000" w:rsidDel="00000000" w:rsidP="00000000" w:rsidRDefault="00000000" w:rsidRPr="00000000" w14:paraId="0000001A">
      <w:pPr>
        <w:numPr>
          <w:ilvl w:val="0"/>
          <w:numId w:val="3"/>
        </w:numPr>
        <w:pBdr>
          <w:top w:space="0" w:sz="0" w:val="nil"/>
          <w:left w:space="0" w:sz="0" w:val="nil"/>
          <w:bottom w:space="0" w:sz="0" w:val="nil"/>
          <w:right w:space="0" w:sz="0" w:val="nil"/>
          <w:between w:space="0" w:sz="0" w:val="nil"/>
        </w:pBdr>
        <w:spacing w:after="180" w:before="180" w:lineRule="auto"/>
        <w:ind w:left="720" w:hanging="360"/>
        <w:rPr>
          <w:color w:val="000000"/>
        </w:rPr>
      </w:pPr>
      <w:r w:rsidDel="00000000" w:rsidR="00000000" w:rsidRPr="00000000">
        <w:rPr>
          <w:color w:val="000000"/>
          <w:rtl w:val="0"/>
        </w:rPr>
        <w:t xml:space="preserve">Keiny Navarro</w:t>
      </w:r>
    </w:p>
    <w:p w:rsidR="00000000" w:rsidDel="00000000" w:rsidP="00000000" w:rsidRDefault="00000000" w:rsidRPr="00000000" w14:paraId="0000001B">
      <w:pPr>
        <w:keepNext w:val="1"/>
        <w:keepLines w:val="1"/>
        <w:pBdr>
          <w:top w:space="0" w:sz="0" w:val="nil"/>
          <w:left w:space="0" w:sz="0" w:val="nil"/>
          <w:bottom w:space="0" w:sz="0" w:val="nil"/>
          <w:right w:space="0" w:sz="0" w:val="nil"/>
          <w:between w:space="0" w:sz="0" w:val="nil"/>
        </w:pBdr>
        <w:spacing w:after="0" w:before="240" w:line="259" w:lineRule="auto"/>
        <w:rPr>
          <w:rFonts w:ascii="Calibri" w:cs="Calibri" w:eastAsia="Calibri" w:hAnsi="Calibri"/>
          <w:color w:val="366091"/>
          <w:sz w:val="28"/>
          <w:szCs w:val="28"/>
        </w:rPr>
      </w:pPr>
      <w:r w:rsidDel="00000000" w:rsidR="00000000" w:rsidRPr="00000000">
        <w:rPr>
          <w:rFonts w:ascii="Calibri" w:cs="Calibri" w:eastAsia="Calibri" w:hAnsi="Calibri"/>
          <w:color w:val="366091"/>
          <w:sz w:val="28"/>
          <w:szCs w:val="28"/>
          <w:rtl w:val="0"/>
        </w:rPr>
        <w:t xml:space="preserve">Contenido</w:t>
      </w:r>
    </w:p>
    <w:sdt>
      <w:sdtPr>
        <w:id w:val="1417143341"/>
        <w:docPartObj>
          <w:docPartGallery w:val="Table of Contents"/>
          <w:docPartUnique w:val="1"/>
        </w:docPartObj>
      </w:sdtPr>
      <w:sdtContent>
        <w:p w:rsidR="00000000" w:rsidDel="00000000" w:rsidP="00000000" w:rsidRDefault="00000000" w:rsidRPr="00000000" w14:paraId="0000001C">
          <w:pPr>
            <w:widowControl w:val="0"/>
            <w:tabs>
              <w:tab w:val="right" w:leader="none" w:pos="12000"/>
            </w:tabs>
            <w:spacing w:after="0"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yrvsv8nd3pzq">
            <w:r w:rsidDel="00000000" w:rsidR="00000000" w:rsidRPr="00000000">
              <w:rPr>
                <w:rFonts w:ascii="Cambria" w:cs="Cambria" w:eastAsia="Cambria" w:hAnsi="Cambria"/>
                <w:b w:val="0"/>
                <w:bCs w:val="0"/>
                <w:i w:val="0"/>
                <w:iCs w:val="0"/>
                <w:smallCaps w:val="0"/>
                <w:strike w:val="0"/>
                <w:color w:val="000000"/>
                <w:sz w:val="18"/>
                <w:szCs w:val="18"/>
                <w:u w:val="none"/>
                <w:shd w:fill="auto" w:val="clear"/>
                <w:vertAlign w:val="baseline"/>
                <w:rtl w:val="0"/>
              </w:rPr>
              <w:t xml:space="preserve">Informe Ejecutivo — StreamView Analytics</w:t>
              <w:tab/>
              <w:t xml:space="preserve">1</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sti2gyc8qim">
            <w:r w:rsidDel="00000000" w:rsidR="00000000" w:rsidRPr="00000000">
              <w:rPr>
                <w:rFonts w:ascii="Cambria" w:cs="Cambria" w:eastAsia="Cambria" w:hAnsi="Cambria"/>
                <w:b w:val="0"/>
                <w:bCs w:val="0"/>
                <w:i w:val="0"/>
                <w:iCs w:val="0"/>
                <w:smallCaps w:val="0"/>
                <w:strike w:val="0"/>
                <w:color w:val="000000"/>
                <w:sz w:val="18"/>
                <w:szCs w:val="18"/>
                <w:u w:val="none"/>
                <w:shd w:fill="auto" w:val="clear"/>
                <w:vertAlign w:val="baseline"/>
                <w:rtl w:val="0"/>
              </w:rPr>
              <w:t xml:space="preserve">Análisis del Catálogo de Contenido</w:t>
              <w:tab/>
              <w:t xml:space="preserve">1</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after="0"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taq7lllbjlim">
            <w:r w:rsidDel="00000000" w:rsidR="00000000" w:rsidRPr="00000000">
              <w:rPr>
                <w:rFonts w:ascii="Cambria" w:cs="Cambria" w:eastAsia="Cambria" w:hAnsi="Cambria"/>
                <w:b w:val="0"/>
                <w:bCs w:val="0"/>
                <w:i w:val="0"/>
                <w:iCs w:val="0"/>
                <w:smallCaps w:val="0"/>
                <w:strike w:val="0"/>
                <w:color w:val="000000"/>
                <w:sz w:val="18"/>
                <w:szCs w:val="18"/>
                <w:u w:val="none"/>
                <w:shd w:fill="auto" w:val="clear"/>
                <w:vertAlign w:val="baseline"/>
                <w:rtl w:val="0"/>
              </w:rPr>
              <w:t xml:space="preserve">1. Contexto y Problema de Negocio</w:t>
              <w:tab/>
              <w:t xml:space="preserve">3</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after="0"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6v4g5sz17kot">
            <w:r w:rsidDel="00000000" w:rsidR="00000000" w:rsidRPr="00000000">
              <w:rPr>
                <w:rFonts w:ascii="Cambria" w:cs="Cambria" w:eastAsia="Cambria" w:hAnsi="Cambria"/>
                <w:b w:val="0"/>
                <w:bCs w:val="0"/>
                <w:i w:val="0"/>
                <w:iCs w:val="0"/>
                <w:smallCaps w:val="0"/>
                <w:strike w:val="0"/>
                <w:color w:val="000000"/>
                <w:sz w:val="18"/>
                <w:szCs w:val="18"/>
                <w:u w:val="none"/>
                <w:shd w:fill="auto" w:val="clear"/>
                <w:vertAlign w:val="baseline"/>
                <w:rtl w:val="0"/>
              </w:rPr>
              <w:t xml:space="preserve">2. Objetivos del Proyecto</w:t>
              <w:tab/>
              <w:t xml:space="preserve">3</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after="0"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kinrz2670qt9">
            <w:r w:rsidDel="00000000" w:rsidR="00000000" w:rsidRPr="00000000">
              <w:rPr>
                <w:rFonts w:ascii="Cambria" w:cs="Cambria" w:eastAsia="Cambria" w:hAnsi="Cambria"/>
                <w:b w:val="0"/>
                <w:bCs w:val="0"/>
                <w:i w:val="0"/>
                <w:iCs w:val="0"/>
                <w:smallCaps w:val="0"/>
                <w:strike w:val="0"/>
                <w:color w:val="000000"/>
                <w:sz w:val="18"/>
                <w:szCs w:val="18"/>
                <w:u w:val="none"/>
                <w:shd w:fill="auto" w:val="clear"/>
                <w:vertAlign w:val="baseline"/>
                <w:rtl w:val="0"/>
              </w:rPr>
              <w:t xml:space="preserve">3. Audiencia Objetivo y Propósito Comunicacional</w:t>
              <w:tab/>
              <w:t xml:space="preserve">3</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g89puzm6obxv">
            <w:r w:rsidDel="00000000" w:rsidR="00000000" w:rsidRPr="00000000">
              <w:rPr>
                <w:rFonts w:ascii="Cambria" w:cs="Cambria" w:eastAsia="Cambria" w:hAnsi="Cambria"/>
                <w:b w:val="0"/>
                <w:bCs w:val="0"/>
                <w:i w:val="0"/>
                <w:iCs w:val="0"/>
                <w:smallCaps w:val="0"/>
                <w:strike w:val="0"/>
                <w:color w:val="000000"/>
                <w:sz w:val="18"/>
                <w:szCs w:val="18"/>
                <w:u w:val="none"/>
                <w:shd w:fill="auto" w:val="clear"/>
                <w:vertAlign w:val="baseline"/>
                <w:rtl w:val="0"/>
              </w:rPr>
              <w:t xml:space="preserve">4. Fuentes de Datos Utilizadas</w:t>
              <w:tab/>
              <w:t xml:space="preserve">4</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fndjwqcb967d">
            <w:r w:rsidDel="00000000" w:rsidR="00000000" w:rsidRPr="00000000">
              <w:rPr>
                <w:rFonts w:ascii="Cambria" w:cs="Cambria" w:eastAsia="Cambria" w:hAnsi="Cambria"/>
                <w:b w:val="0"/>
                <w:bCs w:val="0"/>
                <w:i w:val="0"/>
                <w:iCs w:val="0"/>
                <w:smallCaps w:val="0"/>
                <w:strike w:val="0"/>
                <w:color w:val="000000"/>
                <w:sz w:val="18"/>
                <w:szCs w:val="18"/>
                <w:u w:val="none"/>
                <w:shd w:fill="auto" w:val="clear"/>
                <w:vertAlign w:val="baseline"/>
                <w:rtl w:val="0"/>
              </w:rPr>
              <w:t xml:space="preserve">5. Análisis Exploratorio mediante Visualizaciones</w:t>
              <w:tab/>
              <w:t xml:space="preserve">5</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grx5g5nxjw69">
            <w:r w:rsidDel="00000000" w:rsidR="00000000" w:rsidRPr="00000000">
              <w:rPr>
                <w:rFonts w:ascii="Cambria" w:cs="Cambria" w:eastAsia="Cambria" w:hAnsi="Cambria"/>
                <w:b w:val="0"/>
                <w:bCs w:val="0"/>
                <w:i w:val="0"/>
                <w:iCs w:val="0"/>
                <w:smallCaps w:val="0"/>
                <w:strike w:val="0"/>
                <w:color w:val="000000"/>
                <w:sz w:val="18"/>
                <w:szCs w:val="18"/>
                <w:u w:val="none"/>
                <w:shd w:fill="auto" w:val="clear"/>
                <w:vertAlign w:val="baseline"/>
                <w:rtl w:val="0"/>
              </w:rPr>
              <w:t xml:space="preserve">6. Justificación de las Representaciones Gráficas</w:t>
              <w:tab/>
              <w:t xml:space="preserve">6</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e22xaeuipo80">
            <w:r w:rsidDel="00000000" w:rsidR="00000000" w:rsidRPr="00000000">
              <w:rPr>
                <w:rFonts w:ascii="Cambria" w:cs="Cambria" w:eastAsia="Cambria" w:hAnsi="Cambria"/>
                <w:b w:val="0"/>
                <w:bCs w:val="0"/>
                <w:i w:val="0"/>
                <w:iCs w:val="0"/>
                <w:smallCaps w:val="0"/>
                <w:strike w:val="0"/>
                <w:color w:val="000000"/>
                <w:sz w:val="18"/>
                <w:szCs w:val="18"/>
                <w:u w:val="none"/>
                <w:shd w:fill="auto" w:val="clear"/>
                <w:vertAlign w:val="baseline"/>
                <w:rtl w:val="0"/>
              </w:rPr>
              <w:t xml:space="preserve">7. Narrativa Visual — Data Storytelling</w:t>
              <w:tab/>
              <w:t xml:space="preserve">7</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8rioihp49r7">
            <w:r w:rsidDel="00000000" w:rsidR="00000000" w:rsidRPr="00000000">
              <w:rPr>
                <w:rFonts w:ascii="Cambria" w:cs="Cambria" w:eastAsia="Cambria" w:hAnsi="Cambria"/>
                <w:b w:val="0"/>
                <w:bCs w:val="0"/>
                <w:i w:val="0"/>
                <w:iCs w:val="0"/>
                <w:smallCaps w:val="0"/>
                <w:strike w:val="0"/>
                <w:color w:val="000000"/>
                <w:sz w:val="18"/>
                <w:szCs w:val="18"/>
                <w:u w:val="none"/>
                <w:shd w:fill="auto" w:val="clear"/>
                <w:vertAlign w:val="baseline"/>
                <w:rtl w:val="0"/>
              </w:rPr>
              <w:t xml:space="preserve">7.0 KPIs Generales del Catálogo</w:t>
              <w:tab/>
              <w:t xml:space="preserve">7</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u9l3i89rgg2z">
            <w:r w:rsidDel="00000000" w:rsidR="00000000" w:rsidRPr="00000000">
              <w:rPr>
                <w:rFonts w:ascii="Cambria" w:cs="Cambria" w:eastAsia="Cambria" w:hAnsi="Cambria"/>
                <w:b w:val="0"/>
                <w:bCs w:val="0"/>
                <w:i w:val="0"/>
                <w:iCs w:val="0"/>
                <w:smallCaps w:val="0"/>
                <w:strike w:val="0"/>
                <w:color w:val="000000"/>
                <w:sz w:val="18"/>
                <w:szCs w:val="18"/>
                <w:u w:val="none"/>
                <w:shd w:fill="auto" w:val="clear"/>
                <w:vertAlign w:val="baseline"/>
                <w:rtl w:val="0"/>
              </w:rPr>
              <w:t xml:space="preserve">7.1 La popularidad no ha crecido de forma lineal: hay un quiebre en 2021</w:t>
              <w:tab/>
              <w:t xml:space="preserve">7</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u8v6kqcanvk">
            <w:r w:rsidDel="00000000" w:rsidR="00000000" w:rsidRPr="00000000">
              <w:rPr>
                <w:rFonts w:ascii="Cambria" w:cs="Cambria" w:eastAsia="Cambria" w:hAnsi="Cambria"/>
                <w:b w:val="0"/>
                <w:bCs w:val="0"/>
                <w:i w:val="0"/>
                <w:iCs w:val="0"/>
                <w:smallCaps w:val="0"/>
                <w:strike w:val="0"/>
                <w:color w:val="000000"/>
                <w:sz w:val="18"/>
                <w:szCs w:val="18"/>
                <w:u w:val="none"/>
                <w:shd w:fill="auto" w:val="clear"/>
                <w:vertAlign w:val="baseline"/>
                <w:rtl w:val="0"/>
              </w:rPr>
              <w:t xml:space="preserve">7.2 Drama domina el catálogo, pero hay tres perfiles de género distintos</w:t>
              <w:tab/>
              <w:t xml:space="preserve">7</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mrr985ijeey">
            <w:r w:rsidDel="00000000" w:rsidR="00000000" w:rsidRPr="00000000">
              <w:rPr>
                <w:rFonts w:ascii="Cambria" w:cs="Cambria" w:eastAsia="Cambria" w:hAnsi="Cambria"/>
                <w:b w:val="0"/>
                <w:bCs w:val="0"/>
                <w:i w:val="0"/>
                <w:iCs w:val="0"/>
                <w:smallCaps w:val="0"/>
                <w:strike w:val="0"/>
                <w:color w:val="000000"/>
                <w:sz w:val="18"/>
                <w:szCs w:val="18"/>
                <w:u w:val="none"/>
                <w:shd w:fill="auto" w:val="clear"/>
                <w:vertAlign w:val="baseline"/>
                <w:rtl w:val="0"/>
              </w:rPr>
              <w:t xml:space="preserve">7.3 Popularidad y calificación son señales independientes — no confundirlas</w:t>
              <w:tab/>
              <w:t xml:space="preserve">8</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4qywjvl6yv7">
            <w:r w:rsidDel="00000000" w:rsidR="00000000" w:rsidRPr="00000000">
              <w:rPr>
                <w:rFonts w:ascii="Cambria" w:cs="Cambria" w:eastAsia="Cambria" w:hAnsi="Cambria"/>
                <w:b w:val="0"/>
                <w:bCs w:val="0"/>
                <w:i w:val="0"/>
                <w:iCs w:val="0"/>
                <w:smallCaps w:val="0"/>
                <w:strike w:val="0"/>
                <w:color w:val="000000"/>
                <w:sz w:val="18"/>
                <w:szCs w:val="18"/>
                <w:u w:val="none"/>
                <w:shd w:fill="auto" w:val="clear"/>
                <w:vertAlign w:val="baseline"/>
                <w:rtl w:val="0"/>
              </w:rPr>
              <w:t xml:space="preserve">7.4 Los directores con mayor retorno de ingresos para StreamView</w:t>
              <w:tab/>
              <w:t xml:space="preserve">8</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96n878ik2fn">
            <w:r w:rsidDel="00000000" w:rsidR="00000000" w:rsidRPr="00000000">
              <w:rPr>
                <w:rFonts w:ascii="Cambria" w:cs="Cambria" w:eastAsia="Cambria" w:hAnsi="Cambria"/>
                <w:b w:val="0"/>
                <w:bCs w:val="0"/>
                <w:i w:val="0"/>
                <w:iCs w:val="0"/>
                <w:smallCaps w:val="0"/>
                <w:strike w:val="0"/>
                <w:color w:val="000000"/>
                <w:sz w:val="18"/>
                <w:szCs w:val="18"/>
                <w:u w:val="none"/>
                <w:shd w:fill="auto" w:val="clear"/>
                <w:vertAlign w:val="baseline"/>
                <w:rtl w:val="0"/>
              </w:rPr>
              <w:t xml:space="preserve">7.5 La calidad varía más entre géneros de lo que el promedio sugiere</w:t>
              <w:tab/>
              <w:t xml:space="preserve">9</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kxjpxjh7l51c">
            <w:r w:rsidDel="00000000" w:rsidR="00000000" w:rsidRPr="00000000">
              <w:rPr>
                <w:rFonts w:ascii="Cambria" w:cs="Cambria" w:eastAsia="Cambria" w:hAnsi="Cambria"/>
                <w:b w:val="0"/>
                <w:bCs w:val="0"/>
                <w:i w:val="0"/>
                <w:iCs w:val="0"/>
                <w:smallCaps w:val="0"/>
                <w:strike w:val="0"/>
                <w:color w:val="000000"/>
                <w:sz w:val="18"/>
                <w:szCs w:val="18"/>
                <w:u w:val="none"/>
                <w:shd w:fill="auto" w:val="clear"/>
                <w:vertAlign w:val="baseline"/>
                <w:rtl w:val="0"/>
              </w:rPr>
              <w:t xml:space="preserve">7.6 EE.UU. domina la producción, pero Japón lidera en calidad</w:t>
              <w:tab/>
              <w:t xml:space="preserve">9</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o3cxwk4nvmn">
            <w:r w:rsidDel="00000000" w:rsidR="00000000" w:rsidRPr="00000000">
              <w:rPr>
                <w:rFonts w:ascii="Cambria" w:cs="Cambria" w:eastAsia="Cambria" w:hAnsi="Cambria"/>
                <w:b w:val="0"/>
                <w:bCs w:val="0"/>
                <w:i w:val="0"/>
                <w:iCs w:val="0"/>
                <w:smallCaps w:val="0"/>
                <w:strike w:val="0"/>
                <w:color w:val="000000"/>
                <w:sz w:val="18"/>
                <w:szCs w:val="18"/>
                <w:u w:val="none"/>
                <w:shd w:fill="auto" w:val="clear"/>
                <w:vertAlign w:val="baseline"/>
                <w:rtl w:val="0"/>
              </w:rPr>
              <w:t xml:space="preserve">7.7 Los datos financieros son escasos y el ROI promedio engaña</w:t>
              <w:tab/>
              <w:t xml:space="preserve">9</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mlk9raeh4du">
            <w:r w:rsidDel="00000000" w:rsidR="00000000" w:rsidRPr="00000000">
              <w:rPr>
                <w:rFonts w:ascii="Cambria" w:cs="Cambria" w:eastAsia="Cambria" w:hAnsi="Cambria"/>
                <w:b w:val="0"/>
                <w:bCs w:val="0"/>
                <w:i w:val="0"/>
                <w:iCs w:val="0"/>
                <w:smallCaps w:val="0"/>
                <w:strike w:val="0"/>
                <w:color w:val="000000"/>
                <w:sz w:val="18"/>
                <w:szCs w:val="18"/>
                <w:u w:val="none"/>
                <w:shd w:fill="auto" w:val="clear"/>
                <w:vertAlign w:val="baseline"/>
                <w:rtl w:val="0"/>
              </w:rPr>
              <w:t xml:space="preserve">8. Diseño e Implementación del Dashboard Interactivo</w:t>
              <w:tab/>
              <w:t xml:space="preserve">10</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rp1icm6tt971">
            <w:r w:rsidDel="00000000" w:rsidR="00000000" w:rsidRPr="00000000">
              <w:rPr>
                <w:rFonts w:ascii="Cambria" w:cs="Cambria" w:eastAsia="Cambria" w:hAnsi="Cambria"/>
                <w:b w:val="0"/>
                <w:bCs w:val="0"/>
                <w:i w:val="0"/>
                <w:iCs w:val="0"/>
                <w:smallCaps w:val="0"/>
                <w:strike w:val="0"/>
                <w:color w:val="000000"/>
                <w:sz w:val="18"/>
                <w:szCs w:val="18"/>
                <w:u w:val="none"/>
                <w:shd w:fill="auto" w:val="clear"/>
                <w:vertAlign w:val="baseline"/>
                <w:rtl w:val="0"/>
              </w:rPr>
              <w:t xml:space="preserve">9. Evaluación Crítica de la Solución</w:t>
              <w:tab/>
              <w:t xml:space="preserve">13</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l532psxppsy">
            <w:r w:rsidDel="00000000" w:rsidR="00000000" w:rsidRPr="00000000">
              <w:rPr>
                <w:rFonts w:ascii="Cambria" w:cs="Cambria" w:eastAsia="Cambria" w:hAnsi="Cambria"/>
                <w:b w:val="0"/>
                <w:bCs w:val="0"/>
                <w:i w:val="0"/>
                <w:iCs w:val="0"/>
                <w:smallCaps w:val="0"/>
                <w:strike w:val="0"/>
                <w:color w:val="000000"/>
                <w:sz w:val="18"/>
                <w:szCs w:val="18"/>
                <w:u w:val="none"/>
                <w:shd w:fill="auto" w:val="clear"/>
                <w:vertAlign w:val="baseline"/>
                <w:rtl w:val="0"/>
              </w:rPr>
              <w:t xml:space="preserve">9.1 Fortalezas</w:t>
              <w:tab/>
              <w:t xml:space="preserve">13</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bmwbe0zbq15r">
            <w:r w:rsidDel="00000000" w:rsidR="00000000" w:rsidRPr="00000000">
              <w:rPr>
                <w:rFonts w:ascii="Cambria" w:cs="Cambria" w:eastAsia="Cambria" w:hAnsi="Cambria"/>
                <w:b w:val="0"/>
                <w:bCs w:val="0"/>
                <w:i w:val="0"/>
                <w:iCs w:val="0"/>
                <w:smallCaps w:val="0"/>
                <w:strike w:val="0"/>
                <w:color w:val="000000"/>
                <w:sz w:val="18"/>
                <w:szCs w:val="18"/>
                <w:u w:val="none"/>
                <w:shd w:fill="auto" w:val="clear"/>
                <w:vertAlign w:val="baseline"/>
                <w:rtl w:val="0"/>
              </w:rPr>
              <w:t xml:space="preserve">9.2 Limitaciones</w:t>
              <w:tab/>
              <w:t xml:space="preserve">13</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257j5r5le0g">
            <w:r w:rsidDel="00000000" w:rsidR="00000000" w:rsidRPr="00000000">
              <w:rPr>
                <w:rFonts w:ascii="Cambria" w:cs="Cambria" w:eastAsia="Cambria" w:hAnsi="Cambria"/>
                <w:b w:val="0"/>
                <w:bCs w:val="0"/>
                <w:i w:val="0"/>
                <w:iCs w:val="0"/>
                <w:smallCaps w:val="0"/>
                <w:strike w:val="0"/>
                <w:color w:val="000000"/>
                <w:sz w:val="18"/>
                <w:szCs w:val="18"/>
                <w:u w:val="none"/>
                <w:shd w:fill="auto" w:val="clear"/>
                <w:vertAlign w:val="baseline"/>
                <w:rtl w:val="0"/>
              </w:rPr>
              <w:t xml:space="preserve">9.3 Mejoras Propuestas</w:t>
              <w:tab/>
              <w:t xml:space="preserve">13</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4llnultare3">
            <w:r w:rsidDel="00000000" w:rsidR="00000000" w:rsidRPr="00000000">
              <w:rPr>
                <w:rFonts w:ascii="Cambria" w:cs="Cambria" w:eastAsia="Cambria" w:hAnsi="Cambria"/>
                <w:b w:val="0"/>
                <w:bCs w:val="0"/>
                <w:i w:val="0"/>
                <w:iCs w:val="0"/>
                <w:smallCaps w:val="0"/>
                <w:strike w:val="0"/>
                <w:color w:val="000000"/>
                <w:sz w:val="18"/>
                <w:szCs w:val="18"/>
                <w:u w:val="none"/>
                <w:shd w:fill="auto" w:val="clear"/>
                <w:vertAlign w:val="baseline"/>
                <w:rtl w:val="0"/>
              </w:rPr>
              <w:t xml:space="preserve">10. Conclusiones y Recomendaciones de Negocio</w:t>
              <w:tab/>
              <w:t xml:space="preserve">14</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mxkyrw9amnet">
            <w:r w:rsidDel="00000000" w:rsidR="00000000" w:rsidRPr="00000000">
              <w:rPr>
                <w:rFonts w:ascii="Cambria" w:cs="Cambria" w:eastAsia="Cambria" w:hAnsi="Cambria"/>
                <w:b w:val="0"/>
                <w:bCs w:val="0"/>
                <w:i w:val="0"/>
                <w:iCs w:val="0"/>
                <w:smallCaps w:val="0"/>
                <w:strike w:val="0"/>
                <w:color w:val="000000"/>
                <w:sz w:val="18"/>
                <w:szCs w:val="18"/>
                <w:u w:val="none"/>
                <w:shd w:fill="auto" w:val="clear"/>
                <w:vertAlign w:val="baseline"/>
                <w:rtl w:val="0"/>
              </w:rPr>
              <w:t xml:space="preserve">Conclusiones</w:t>
              <w:tab/>
              <w:t xml:space="preserve">14</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eu5c2i0vvrw">
            <w:r w:rsidDel="00000000" w:rsidR="00000000" w:rsidRPr="00000000">
              <w:rPr>
                <w:rFonts w:ascii="Cambria" w:cs="Cambria" w:eastAsia="Cambria" w:hAnsi="Cambria"/>
                <w:b w:val="0"/>
                <w:bCs w:val="0"/>
                <w:i w:val="0"/>
                <w:iCs w:val="0"/>
                <w:smallCaps w:val="0"/>
                <w:strike w:val="0"/>
                <w:color w:val="000000"/>
                <w:sz w:val="18"/>
                <w:szCs w:val="18"/>
                <w:u w:val="none"/>
                <w:shd w:fill="auto" w:val="clear"/>
                <w:vertAlign w:val="baseline"/>
                <w:rtl w:val="0"/>
              </w:rPr>
              <w:t xml:space="preserve">Recomendaciones Priorizadas</w:t>
              <w:tab/>
              <w:t xml:space="preserve">14</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2yiv9ysg9a0j">
            <w:r w:rsidDel="00000000" w:rsidR="00000000" w:rsidRPr="00000000">
              <w:rPr>
                <w:rFonts w:ascii="Cambria" w:cs="Cambria" w:eastAsia="Cambria" w:hAnsi="Cambria"/>
                <w:b w:val="0"/>
                <w:bCs w:val="0"/>
                <w:i w:val="0"/>
                <w:iCs w:val="0"/>
                <w:smallCaps w:val="0"/>
                <w:strike w:val="0"/>
                <w:color w:val="000000"/>
                <w:sz w:val="18"/>
                <w:szCs w:val="18"/>
                <w:u w:val="none"/>
                <w:shd w:fill="auto" w:val="clear"/>
                <w:vertAlign w:val="baseline"/>
                <w:rtl w:val="0"/>
              </w:rPr>
              <w:t xml:space="preserve">Capítulo 2: Diseño de Dashboards Interactivo</w:t>
              <w:tab/>
              <w:t xml:space="preserve">15</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0o6sbrdfcrr">
            <w:r w:rsidDel="00000000" w:rsidR="00000000" w:rsidRPr="00000000">
              <w:rPr>
                <w:rFonts w:ascii="Cambria" w:cs="Cambria" w:eastAsia="Cambria" w:hAnsi="Cambria"/>
                <w:b w:val="0"/>
                <w:bCs w:val="0"/>
                <w:i w:val="0"/>
                <w:iCs w:val="0"/>
                <w:smallCaps w:val="0"/>
                <w:strike w:val="0"/>
                <w:color w:val="000000"/>
                <w:sz w:val="18"/>
                <w:szCs w:val="18"/>
                <w:u w:val="none"/>
                <w:shd w:fill="auto" w:val="clear"/>
                <w:vertAlign w:val="baseline"/>
                <w:rtl w:val="0"/>
              </w:rPr>
              <w:t xml:space="preserve">2.1 Descripción del problema de negocio</w:t>
              <w:tab/>
              <w:t xml:space="preserve">15</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n9d0vb5e80u">
            <w:r w:rsidDel="00000000" w:rsidR="00000000" w:rsidRPr="00000000">
              <w:rPr>
                <w:rFonts w:ascii="Cambria" w:cs="Cambria" w:eastAsia="Cambria" w:hAnsi="Cambria"/>
                <w:b w:val="0"/>
                <w:bCs w:val="0"/>
                <w:i w:val="0"/>
                <w:iCs w:val="0"/>
                <w:smallCaps w:val="0"/>
                <w:strike w:val="0"/>
                <w:color w:val="000000"/>
                <w:sz w:val="18"/>
                <w:szCs w:val="18"/>
                <w:u w:val="none"/>
                <w:shd w:fill="auto" w:val="clear"/>
                <w:vertAlign w:val="baseline"/>
                <w:rtl w:val="0"/>
              </w:rPr>
              <w:t xml:space="preserve">2.2 Fuentes de datos e Integración</w:t>
              <w:tab/>
              <w:t xml:space="preserve">15</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7v7zuvqjskl2">
            <w:r w:rsidDel="00000000" w:rsidR="00000000" w:rsidRPr="00000000">
              <w:rPr>
                <w:rFonts w:ascii="Cambria" w:cs="Cambria" w:eastAsia="Cambria" w:hAnsi="Cambria"/>
                <w:b w:val="0"/>
                <w:bCs w:val="0"/>
                <w:i w:val="0"/>
                <w:iCs w:val="0"/>
                <w:smallCaps w:val="0"/>
                <w:strike w:val="0"/>
                <w:color w:val="000000"/>
                <w:sz w:val="18"/>
                <w:szCs w:val="18"/>
                <w:u w:val="none"/>
                <w:shd w:fill="auto" w:val="clear"/>
                <w:vertAlign w:val="baseline"/>
                <w:rtl w:val="0"/>
              </w:rPr>
              <w:t xml:space="preserve">2.3 Análisis exploratorio mediante visualizaciones</w:t>
              <w:tab/>
              <w:t xml:space="preserve">16</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s9vn73sm3oho">
            <w:r w:rsidDel="00000000" w:rsidR="00000000" w:rsidRPr="00000000">
              <w:rPr>
                <w:rFonts w:ascii="Cambria" w:cs="Cambria" w:eastAsia="Cambria" w:hAnsi="Cambria"/>
                <w:b w:val="0"/>
                <w:bCs w:val="0"/>
                <w:i w:val="0"/>
                <w:iCs w:val="0"/>
                <w:smallCaps w:val="0"/>
                <w:strike w:val="0"/>
                <w:color w:val="000000"/>
                <w:sz w:val="18"/>
                <w:szCs w:val="18"/>
                <w:u w:val="none"/>
                <w:shd w:fill="auto" w:val="clear"/>
                <w:vertAlign w:val="baseline"/>
                <w:rtl w:val="0"/>
              </w:rPr>
              <w:t xml:space="preserve">2.4 Diseño e implementación de visualizaciones</w:t>
              <w:tab/>
              <w:t xml:space="preserve">20</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do9hn104y6d">
            <w:r w:rsidDel="00000000" w:rsidR="00000000" w:rsidRPr="00000000">
              <w:rPr>
                <w:rFonts w:ascii="Cambria" w:cs="Cambria" w:eastAsia="Cambria" w:hAnsi="Cambria"/>
                <w:b w:val="0"/>
                <w:bCs w:val="0"/>
                <w:i w:val="0"/>
                <w:iCs w:val="0"/>
                <w:smallCaps w:val="0"/>
                <w:strike w:val="0"/>
                <w:color w:val="000000"/>
                <w:sz w:val="18"/>
                <w:szCs w:val="18"/>
                <w:u w:val="none"/>
                <w:shd w:fill="auto" w:val="clear"/>
                <w:vertAlign w:val="baseline"/>
                <w:rtl w:val="0"/>
              </w:rPr>
              <w:t xml:space="preserve">2.5 Construcción del dashboard interactivo</w:t>
              <w:tab/>
              <w:t xml:space="preserve">21</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de3vj183ffwp">
            <w:r w:rsidDel="00000000" w:rsidR="00000000" w:rsidRPr="00000000">
              <w:rPr>
                <w:rFonts w:ascii="Cambria" w:cs="Cambria" w:eastAsia="Cambria" w:hAnsi="Cambria"/>
                <w:b w:val="0"/>
                <w:bCs w:val="0"/>
                <w:i w:val="0"/>
                <w:iCs w:val="0"/>
                <w:smallCaps w:val="0"/>
                <w:strike w:val="0"/>
                <w:color w:val="000000"/>
                <w:sz w:val="18"/>
                <w:szCs w:val="18"/>
                <w:u w:val="none"/>
                <w:shd w:fill="auto" w:val="clear"/>
                <w:vertAlign w:val="baseline"/>
                <w:rtl w:val="0"/>
              </w:rPr>
              <w:t xml:space="preserve">2.6 Narrativa Visual (Data Storytelling)</w:t>
              <w:tab/>
              <w:t xml:space="preserve">26</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dtbuzlzul65">
            <w:r w:rsidDel="00000000" w:rsidR="00000000" w:rsidRPr="00000000">
              <w:rPr>
                <w:rFonts w:ascii="Cambria" w:cs="Cambria" w:eastAsia="Cambria" w:hAnsi="Cambria"/>
                <w:b w:val="0"/>
                <w:bCs w:val="0"/>
                <w:i w:val="0"/>
                <w:iCs w:val="0"/>
                <w:smallCaps w:val="0"/>
                <w:strike w:val="0"/>
                <w:color w:val="000000"/>
                <w:sz w:val="18"/>
                <w:szCs w:val="18"/>
                <w:u w:val="none"/>
                <w:shd w:fill="auto" w:val="clear"/>
                <w:vertAlign w:val="baseline"/>
                <w:rtl w:val="0"/>
              </w:rPr>
              <w:t xml:space="preserve">2.7 Evaluación crítica de la solución</w:t>
              <w:tab/>
              <w:t xml:space="preserve">28</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54ta7f1774ct">
            <w:r w:rsidDel="00000000" w:rsidR="00000000" w:rsidRPr="00000000">
              <w:rPr>
                <w:rFonts w:ascii="Arial" w:cs="Arial" w:eastAsia="Arial" w:hAnsi="Arial"/>
                <w:b w:val="0"/>
                <w:bCs w:val="0"/>
                <w:i w:val="0"/>
                <w:iCs w:val="0"/>
                <w:smallCaps w:val="0"/>
                <w:strike w:val="0"/>
                <w:color w:val="000000"/>
                <w:sz w:val="18"/>
                <w:szCs w:val="18"/>
                <w:u w:val="none"/>
                <w:shd w:fill="auto" w:val="clear"/>
                <w:vertAlign w:val="baseline"/>
                <w:rtl w:val="0"/>
              </w:rPr>
              <w:t xml:space="preserve">2.8 Conclusiones y recomendaciones</w:t>
              <w:tab/>
              <w:t xml:space="preserve">30</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after="0"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yqpjao3oe1i">
            <w:r w:rsidDel="00000000" w:rsidR="00000000" w:rsidRPr="00000000">
              <w:rPr>
                <w:rFonts w:ascii="Cambria" w:cs="Cambria" w:eastAsia="Cambria" w:hAnsi="Cambria"/>
                <w:b w:val="0"/>
                <w:bCs w:val="0"/>
                <w:i w:val="0"/>
                <w:iCs w:val="0"/>
                <w:smallCaps w:val="0"/>
                <w:strike w:val="0"/>
                <w:color w:val="000000"/>
                <w:sz w:val="18"/>
                <w:szCs w:val="18"/>
                <w:u w:val="none"/>
                <w:shd w:fill="auto" w:val="clear"/>
                <w:vertAlign w:val="baseline"/>
                <w:rtl w:val="0"/>
              </w:rPr>
              <w:t xml:space="preserve">Anexos</w:t>
              <w:tab/>
              <w:t xml:space="preserve">31</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vvl9w17vqv8d">
            <w:r w:rsidDel="00000000" w:rsidR="00000000" w:rsidRPr="00000000">
              <w:rPr>
                <w:rFonts w:ascii="Cambria" w:cs="Cambria" w:eastAsia="Cambria" w:hAnsi="Cambria"/>
                <w:b w:val="0"/>
                <w:bCs w:val="0"/>
                <w:i w:val="0"/>
                <w:iCs w:val="0"/>
                <w:smallCaps w:val="0"/>
                <w:strike w:val="0"/>
                <w:color w:val="000000"/>
                <w:sz w:val="18"/>
                <w:szCs w:val="18"/>
                <w:u w:val="none"/>
                <w:shd w:fill="auto" w:val="clear"/>
                <w:vertAlign w:val="baseline"/>
                <w:rtl w:val="0"/>
              </w:rPr>
              <w:t xml:space="preserve">Anexo A — Estructura del repositorio (capítulo 1)</w:t>
              <w:tab/>
              <w:t xml:space="preserve">31</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y65zn5c862mq">
            <w:r w:rsidDel="00000000" w:rsidR="00000000" w:rsidRPr="00000000">
              <w:rPr>
                <w:rFonts w:ascii="Cambria" w:cs="Cambria" w:eastAsia="Cambria" w:hAnsi="Cambria"/>
                <w:b w:val="0"/>
                <w:bCs w:val="0"/>
                <w:i w:val="0"/>
                <w:iCs w:val="0"/>
                <w:smallCaps w:val="0"/>
                <w:strike w:val="0"/>
                <w:color w:val="000000"/>
                <w:sz w:val="18"/>
                <w:szCs w:val="18"/>
                <w:u w:val="none"/>
                <w:shd w:fill="auto" w:val="clear"/>
                <w:vertAlign w:val="baseline"/>
                <w:rtl w:val="0"/>
              </w:rPr>
              <w:t xml:space="preserve">Anexo B — Glosario de Métricas (capítulo 1)</w:t>
              <w:tab/>
              <w:t xml:space="preserve">31</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1vujn24uffrv">
            <w:r w:rsidDel="00000000" w:rsidR="00000000" w:rsidRPr="00000000">
              <w:rPr>
                <w:rFonts w:ascii="Cambria" w:cs="Cambria" w:eastAsia="Cambria" w:hAnsi="Cambria"/>
                <w:b w:val="0"/>
                <w:bCs w:val="0"/>
                <w:i w:val="0"/>
                <w:iCs w:val="0"/>
                <w:smallCaps w:val="0"/>
                <w:strike w:val="0"/>
                <w:color w:val="000000"/>
                <w:sz w:val="18"/>
                <w:szCs w:val="18"/>
                <w:u w:val="none"/>
                <w:shd w:fill="auto" w:val="clear"/>
                <w:vertAlign w:val="baseline"/>
                <w:rtl w:val="0"/>
              </w:rPr>
              <w:t xml:space="preserve">Anexo C — Estructura del repositorio (capítulo 2)</w:t>
              <w:tab/>
              <w:t xml:space="preserve">32</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after="0"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a8quxovkukjx">
            <w:r w:rsidDel="00000000" w:rsidR="00000000" w:rsidRPr="00000000">
              <w:rPr>
                <w:rFonts w:ascii="Cambria" w:cs="Cambria" w:eastAsia="Cambria" w:hAnsi="Cambria"/>
                <w:b w:val="0"/>
                <w:bCs w:val="0"/>
                <w:i w:val="0"/>
                <w:iCs w:val="0"/>
                <w:smallCaps w:val="0"/>
                <w:strike w:val="0"/>
                <w:color w:val="000000"/>
                <w:sz w:val="18"/>
                <w:szCs w:val="18"/>
                <w:u w:val="none"/>
                <w:shd w:fill="auto" w:val="clear"/>
                <w:vertAlign w:val="baseline"/>
                <w:rtl w:val="0"/>
              </w:rPr>
              <w:t xml:space="preserve">Anexo D — Glosario de variables y métricas (capítulo 2)</w:t>
              <w:tab/>
              <w:t xml:space="preserve">34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3">
      <w:pPr>
        <w:rPr>
          <w:sz w:val="40"/>
          <w:szCs w:val="40"/>
        </w:rPr>
      </w:pPr>
      <w:r w:rsidDel="00000000" w:rsidR="00000000" w:rsidRPr="00000000">
        <w:br w:type="page"/>
      </w:r>
      <w:r w:rsidDel="00000000" w:rsidR="00000000" w:rsidRPr="00000000">
        <w:rPr>
          <w:sz w:val="40"/>
          <w:szCs w:val="40"/>
          <w:rtl w:val="0"/>
        </w:rPr>
        <w:t xml:space="preserve">Capítulo 1: Comprensión del Negocio y Exploración Visual</w:t>
      </w:r>
    </w:p>
    <w:bookmarkStart w:colFirst="0" w:colLast="0" w:name="fm67q5kj0orp" w:id="4"/>
    <w:bookmarkEnd w:id="4"/>
    <w:p w:rsidR="00000000" w:rsidDel="00000000" w:rsidP="00000000" w:rsidRDefault="00000000" w:rsidRPr="00000000" w14:paraId="00000044">
      <w:pPr>
        <w:pStyle w:val="Heading1"/>
        <w:rPr/>
      </w:pPr>
      <w:bookmarkStart w:colFirst="0" w:colLast="0" w:name="_taq7lllbjlim" w:id="5"/>
      <w:bookmarkEnd w:id="5"/>
      <w:r w:rsidDel="00000000" w:rsidR="00000000" w:rsidRPr="00000000">
        <w:rPr>
          <w:rtl w:val="0"/>
        </w:rPr>
        <w:t xml:space="preserve">1. Contexto y Problema de Negocio</w:t>
      </w:r>
    </w:p>
    <w:p w:rsidR="00000000" w:rsidDel="00000000" w:rsidP="00000000" w:rsidRDefault="00000000" w:rsidRPr="00000000" w14:paraId="00000045">
      <w:pPr>
        <w:pBdr>
          <w:top w:space="0" w:sz="0" w:val="nil"/>
          <w:left w:space="0" w:sz="0" w:val="nil"/>
          <w:bottom w:space="0" w:sz="0" w:val="nil"/>
          <w:right w:space="0" w:sz="0" w:val="nil"/>
          <w:between w:space="0" w:sz="0" w:val="nil"/>
        </w:pBdr>
        <w:spacing w:after="180" w:before="180" w:lineRule="auto"/>
        <w:rPr>
          <w:color w:val="000000"/>
        </w:rPr>
      </w:pPr>
      <w:r w:rsidDel="00000000" w:rsidR="00000000" w:rsidRPr="00000000">
        <w:rPr>
          <w:color w:val="000000"/>
          <w:rtl w:val="0"/>
        </w:rPr>
        <w:t xml:space="preserve">StreamView Analytics necesita entender qué tipo de contenido de su catálogo genera más interés (popularidad) y mejor recepción (calificación de audiencia), para priorizar decisiones de adquisición y curación de contenido.</w:t>
      </w:r>
    </w:p>
    <w:p w:rsidR="00000000" w:rsidDel="00000000" w:rsidP="00000000" w:rsidRDefault="00000000" w:rsidRPr="00000000" w14:paraId="00000046">
      <w:pPr>
        <w:pBdr>
          <w:top w:space="0" w:sz="0" w:val="nil"/>
          <w:left w:space="0" w:sz="0" w:val="nil"/>
          <w:bottom w:space="0" w:sz="0" w:val="nil"/>
          <w:right w:space="0" w:sz="0" w:val="nil"/>
          <w:between w:space="0" w:sz="0" w:val="nil"/>
        </w:pBdr>
        <w:spacing w:after="180" w:before="180" w:lineRule="auto"/>
        <w:rPr>
          <w:color w:val="000000"/>
        </w:rPr>
      </w:pPr>
      <w:r w:rsidDel="00000000" w:rsidR="00000000" w:rsidRPr="00000000">
        <w:rPr>
          <w:b w:val="1"/>
          <w:bCs w:val="1"/>
          <w:color w:val="000000"/>
          <w:rtl w:val="0"/>
        </w:rPr>
        <w:t xml:space="preserve">Dataset:</w:t>
      </w:r>
      <w:r w:rsidDel="00000000" w:rsidR="00000000" w:rsidRPr="00000000">
        <w:rPr>
          <w:color w:val="000000"/>
          <w:rtl w:val="0"/>
        </w:rPr>
        <w:t xml:space="preserve"> 16.000 títulos de películas (2010–2025), con variables de popularidad, calificación de audiencia, géneros, países de producción y datos financieros (presupuesto e ingresos).</w:t>
      </w:r>
    </w:p>
    <w:p w:rsidR="00000000" w:rsidDel="00000000" w:rsidP="00000000" w:rsidRDefault="00000000" w:rsidRPr="00000000" w14:paraId="00000047">
      <w:pPr>
        <w:pBdr>
          <w:top w:space="0" w:sz="0" w:val="nil"/>
          <w:left w:space="0" w:sz="0" w:val="nil"/>
          <w:bottom w:space="0" w:sz="0" w:val="nil"/>
          <w:right w:space="0" w:sz="0" w:val="nil"/>
          <w:between w:space="0" w:sz="0" w:val="nil"/>
        </w:pBdr>
        <w:spacing w:after="180" w:before="180" w:lineRule="auto"/>
        <w:rPr>
          <w:color w:val="000000"/>
        </w:rPr>
      </w:pPr>
      <w:r w:rsidDel="00000000" w:rsidR="00000000" w:rsidRPr="00000000">
        <w:rPr>
          <w:b w:val="1"/>
          <w:bCs w:val="1"/>
          <w:color w:val="000000"/>
          <w:rtl w:val="0"/>
        </w:rPr>
        <w:t xml:space="preserve">Aclaración de alcance:</w:t>
      </w:r>
      <w:r w:rsidDel="00000000" w:rsidR="00000000" w:rsidRPr="00000000">
        <w:rPr>
          <w:color w:val="000000"/>
          <w:rtl w:val="0"/>
        </w:rPr>
        <w:t xml:space="preserve"> el dataset corresponde al catálogo de contenido, no a datos de sesiones o usuarios. Por eso se utilizan dos proxies:</w:t>
      </w:r>
    </w:p>
    <w:tbl>
      <w:tblPr>
        <w:tblStyle w:val="Table1"/>
        <w:tblW w:w="9054.0" w:type="dxa"/>
        <w:jc w:val="left"/>
        <w:tblInd w:w="-108.0" w:type="dxa"/>
        <w:tblLayout w:type="fixed"/>
        <w:tblLook w:val="0020"/>
      </w:tblPr>
      <w:tblGrid>
        <w:gridCol w:w="3007"/>
        <w:gridCol w:w="1747"/>
        <w:gridCol w:w="4300"/>
        <w:tblGridChange w:id="0">
          <w:tblGrid>
            <w:gridCol w:w="3007"/>
            <w:gridCol w:w="1747"/>
            <w:gridCol w:w="4300"/>
          </w:tblGrid>
        </w:tblGridChange>
      </w:tblGrid>
      <w:tr>
        <w:trPr>
          <w:cantSplit w:val="0"/>
          <w:tblHeader w:val="1"/>
        </w:trPr>
        <w:tc>
          <w:tcPr/>
          <w:p w:rsidR="00000000" w:rsidDel="00000000" w:rsidP="00000000" w:rsidRDefault="00000000" w:rsidRPr="00000000" w14:paraId="00000048">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Proxy</w:t>
            </w:r>
          </w:p>
        </w:tc>
        <w:tc>
          <w:tcPr/>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Variable</w:t>
            </w:r>
          </w:p>
        </w:tc>
        <w:tc>
          <w:tcPr/>
          <w:p w:rsidR="00000000" w:rsidDel="00000000" w:rsidP="00000000" w:rsidRDefault="00000000" w:rsidRPr="00000000" w14:paraId="0000004A">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Qué mide</w:t>
            </w:r>
          </w:p>
        </w:tc>
      </w:tr>
      <w:tr>
        <w:trPr>
          <w:cantSplit w:val="0"/>
          <w:tblHeader w:val="0"/>
        </w:trPr>
        <w:tc>
          <w:tcPr/>
          <w:p w:rsidR="00000000" w:rsidDel="00000000" w:rsidP="00000000" w:rsidRDefault="00000000" w:rsidRPr="00000000" w14:paraId="0000004B">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Engagement / interacción</w:t>
            </w:r>
          </w:p>
        </w:tc>
        <w:tc>
          <w:tcPr/>
          <w:p w:rsidR="00000000" w:rsidDel="00000000" w:rsidP="00000000" w:rsidRDefault="00000000" w:rsidRPr="00000000" w14:paraId="0000004C">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rFonts w:ascii="Consolas" w:cs="Consolas" w:eastAsia="Consolas" w:hAnsi="Consolas"/>
                <w:color w:val="000000"/>
                <w:sz w:val="22"/>
                <w:szCs w:val="22"/>
                <w:rtl w:val="0"/>
              </w:rPr>
              <w:t xml:space="preserve">popularity</w:t>
            </w:r>
            <w:r w:rsidDel="00000000" w:rsidR="00000000" w:rsidRPr="00000000">
              <w:rPr>
                <w:rtl w:val="0"/>
              </w:rPr>
            </w:r>
          </w:p>
        </w:tc>
        <w:tc>
          <w:tcPr/>
          <w:p w:rsidR="00000000" w:rsidDel="00000000" w:rsidP="00000000" w:rsidRDefault="00000000" w:rsidRPr="00000000" w14:paraId="0000004D">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Qué tan activo es el interés en el título</w:t>
            </w:r>
          </w:p>
        </w:tc>
      </w:tr>
      <w:tr>
        <w:trPr>
          <w:cantSplit w:val="0"/>
          <w:tblHeader w:val="0"/>
        </w:trPr>
        <w:tc>
          <w:tcPr/>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Calidad percibida</w:t>
            </w:r>
          </w:p>
        </w:tc>
        <w:tc>
          <w:tcPr/>
          <w:p w:rsidR="00000000" w:rsidDel="00000000" w:rsidP="00000000" w:rsidRDefault="00000000" w:rsidRPr="00000000" w14:paraId="0000004F">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rFonts w:ascii="Consolas" w:cs="Consolas" w:eastAsia="Consolas" w:hAnsi="Consolas"/>
                <w:color w:val="000000"/>
                <w:sz w:val="22"/>
                <w:szCs w:val="22"/>
                <w:rtl w:val="0"/>
              </w:rPr>
              <w:t xml:space="preserve">vote_average</w:t>
            </w:r>
            <w:r w:rsidDel="00000000" w:rsidR="00000000" w:rsidRPr="00000000">
              <w:rPr>
                <w:rtl w:val="0"/>
              </w:rPr>
            </w:r>
          </w:p>
        </w:tc>
        <w:tc>
          <w:tcPr/>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Calificación promedio de la audiencia</w:t>
            </w:r>
          </w:p>
        </w:tc>
      </w:tr>
    </w:tbl>
    <w:bookmarkStart w:colFirst="0" w:colLast="0" w:name="x711jrpbov1q" w:id="6"/>
    <w:bookmarkEnd w:id="6"/>
    <w:p w:rsidR="00000000" w:rsidDel="00000000" w:rsidP="00000000" w:rsidRDefault="00000000" w:rsidRPr="00000000" w14:paraId="00000051">
      <w:pPr>
        <w:pStyle w:val="Heading1"/>
        <w:rPr/>
      </w:pPr>
      <w:bookmarkStart w:colFirst="0" w:colLast="0" w:name="_6v4g5sz17kot" w:id="7"/>
      <w:bookmarkEnd w:id="7"/>
      <w:r w:rsidDel="00000000" w:rsidR="00000000" w:rsidRPr="00000000">
        <w:rPr>
          <w:rtl w:val="0"/>
        </w:rPr>
        <w:t xml:space="preserve">2. Objetivos del Proyecto</w:t>
      </w:r>
    </w:p>
    <w:p w:rsidR="00000000" w:rsidDel="00000000" w:rsidP="00000000" w:rsidRDefault="00000000" w:rsidRPr="00000000" w14:paraId="00000052">
      <w:pPr>
        <w:pBdr>
          <w:top w:space="0" w:sz="0" w:val="nil"/>
          <w:left w:space="0" w:sz="0" w:val="nil"/>
          <w:bottom w:space="0" w:sz="0" w:val="nil"/>
          <w:right w:space="0" w:sz="0" w:val="nil"/>
          <w:between w:space="0" w:sz="0" w:val="nil"/>
        </w:pBdr>
        <w:spacing w:after="180" w:before="180" w:lineRule="auto"/>
        <w:rPr>
          <w:color w:val="000000"/>
        </w:rPr>
      </w:pPr>
      <w:r w:rsidDel="00000000" w:rsidR="00000000" w:rsidRPr="00000000">
        <w:rPr>
          <w:color w:val="000000"/>
          <w:rtl w:val="0"/>
        </w:rPr>
        <w:t xml:space="preserve">Este proyecto tiene los siguientes objetivos analíticos y comunicacionales:</w:t>
      </w:r>
    </w:p>
    <w:tbl>
      <w:tblPr>
        <w:tblStyle w:val="Table2"/>
        <w:tblW w:w="9054.0" w:type="dxa"/>
        <w:jc w:val="left"/>
        <w:tblInd w:w="-108.0" w:type="dxa"/>
        <w:tblLayout w:type="fixed"/>
        <w:tblLook w:val="0020"/>
      </w:tblPr>
      <w:tblGrid>
        <w:gridCol w:w="365"/>
        <w:gridCol w:w="8689"/>
        <w:tblGridChange w:id="0">
          <w:tblGrid>
            <w:gridCol w:w="365"/>
            <w:gridCol w:w="8689"/>
          </w:tblGrid>
        </w:tblGridChange>
      </w:tblGrid>
      <w:tr>
        <w:trPr>
          <w:cantSplit w:val="0"/>
          <w:tblHeader w:val="1"/>
        </w:trPr>
        <w:tc>
          <w:tcPr/>
          <w:p w:rsidR="00000000" w:rsidDel="00000000" w:rsidP="00000000" w:rsidRDefault="00000000" w:rsidRPr="00000000" w14:paraId="00000053">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w:t>
            </w:r>
          </w:p>
        </w:tc>
        <w:tc>
          <w:tcPr/>
          <w:p w:rsidR="00000000" w:rsidDel="00000000" w:rsidP="00000000" w:rsidRDefault="00000000" w:rsidRPr="00000000" w14:paraId="00000054">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Objetivo</w:t>
            </w:r>
          </w:p>
        </w:tc>
      </w:tr>
      <w:tr>
        <w:trPr>
          <w:cantSplit w:val="0"/>
          <w:tblHeader w:val="0"/>
        </w:trPr>
        <w:tc>
          <w:tcPr/>
          <w:p w:rsidR="00000000" w:rsidDel="00000000" w:rsidP="00000000" w:rsidRDefault="00000000" w:rsidRPr="00000000" w14:paraId="00000055">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1</w:t>
            </w:r>
          </w:p>
        </w:tc>
        <w:tc>
          <w:tcPr/>
          <w:p w:rsidR="00000000" w:rsidDel="00000000" w:rsidP="00000000" w:rsidRDefault="00000000" w:rsidRPr="00000000" w14:paraId="00000056">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Describir la composición actual del catálogo de StreamView Analytics por género, país y año de lanzamiento</w:t>
            </w:r>
          </w:p>
        </w:tc>
      </w:tr>
      <w:tr>
        <w:trPr>
          <w:cantSplit w:val="0"/>
          <w:tblHeader w:val="0"/>
        </w:trPr>
        <w:tc>
          <w:tcPr/>
          <w:p w:rsidR="00000000" w:rsidDel="00000000" w:rsidP="00000000" w:rsidRDefault="00000000" w:rsidRPr="00000000" w14:paraId="00000057">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2</w:t>
            </w:r>
          </w:p>
        </w:tc>
        <w:tc>
          <w:tcPr/>
          <w:p w:rsidR="00000000" w:rsidDel="00000000" w:rsidP="00000000" w:rsidRDefault="00000000" w:rsidRPr="00000000" w14:paraId="00000058">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Identificar qué dimensiones del catálogo (género, país, período) se asocian con mayor engagement (popularidad)</w:t>
            </w:r>
          </w:p>
        </w:tc>
      </w:tr>
      <w:tr>
        <w:trPr>
          <w:cantSplit w:val="0"/>
          <w:tblHeader w:val="0"/>
        </w:trPr>
        <w:tc>
          <w:tcPr/>
          <w:p w:rsidR="00000000" w:rsidDel="00000000" w:rsidP="00000000" w:rsidRDefault="00000000" w:rsidRPr="00000000" w14:paraId="00000059">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3</w:t>
            </w:r>
          </w:p>
        </w:tc>
        <w:tc>
          <w:tcPr/>
          <w:p w:rsidR="00000000" w:rsidDel="00000000" w:rsidP="00000000" w:rsidRDefault="00000000" w:rsidRPr="00000000" w14:paraId="0000005A">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Determinar si la popularidad y la calificación de audiencia son señales correlacionadas o independientes</w:t>
            </w:r>
          </w:p>
        </w:tc>
      </w:tr>
      <w:tr>
        <w:trPr>
          <w:cantSplit w:val="0"/>
          <w:tblHeader w:val="0"/>
        </w:trPr>
        <w:tc>
          <w:tcPr/>
          <w:p w:rsidR="00000000" w:rsidDel="00000000" w:rsidP="00000000" w:rsidRDefault="00000000" w:rsidRPr="00000000" w14:paraId="0000005B">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4</w:t>
            </w:r>
          </w:p>
        </w:tc>
        <w:tc>
          <w:tcPr/>
          <w:p w:rsidR="00000000" w:rsidDel="00000000" w:rsidP="00000000" w:rsidRDefault="00000000" w:rsidRPr="00000000" w14:paraId="0000005C">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Evaluar la disponibilidad y utilidad de los datos financieros (presupuesto e ingresos) para estimar ROI</w:t>
            </w:r>
          </w:p>
        </w:tc>
      </w:tr>
      <w:tr>
        <w:trPr>
          <w:cantSplit w:val="0"/>
          <w:tblHeader w:val="0"/>
        </w:trPr>
        <w:tc>
          <w:tcPr/>
          <w:p w:rsidR="00000000" w:rsidDel="00000000" w:rsidP="00000000" w:rsidRDefault="00000000" w:rsidRPr="00000000" w14:paraId="0000005D">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5</w:t>
            </w:r>
          </w:p>
        </w:tc>
        <w:tc>
          <w:tcPr/>
          <w:p w:rsidR="00000000" w:rsidDel="00000000" w:rsidP="00000000" w:rsidRDefault="00000000" w:rsidRPr="00000000" w14:paraId="0000005E">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Producir tablas agregadas listas para un dashboard ejecutivo en Looker Studio</w:t>
            </w:r>
          </w:p>
        </w:tc>
      </w:tr>
      <w:tr>
        <w:trPr>
          <w:cantSplit w:val="0"/>
          <w:tblHeader w:val="0"/>
        </w:trPr>
        <w:tc>
          <w:tcPr/>
          <w:p w:rsidR="00000000" w:rsidDel="00000000" w:rsidP="00000000" w:rsidRDefault="00000000" w:rsidRPr="00000000" w14:paraId="0000005F">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6</w:t>
            </w:r>
          </w:p>
        </w:tc>
        <w:tc>
          <w:tcPr/>
          <w:p w:rsidR="00000000" w:rsidDel="00000000" w:rsidP="00000000" w:rsidRDefault="00000000" w:rsidRPr="00000000" w14:paraId="00000060">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Formular recomendaciones de negocio accionables para el equipo directivo de contenido</w:t>
            </w:r>
          </w:p>
        </w:tc>
      </w:tr>
    </w:tbl>
    <w:bookmarkStart w:colFirst="0" w:colLast="0" w:name="lyxebryzsnvz" w:id="8"/>
    <w:bookmarkEnd w:id="8"/>
    <w:p w:rsidR="00000000" w:rsidDel="00000000" w:rsidP="00000000" w:rsidRDefault="00000000" w:rsidRPr="00000000" w14:paraId="00000061">
      <w:pPr>
        <w:pStyle w:val="Heading1"/>
        <w:rPr/>
      </w:pPr>
      <w:bookmarkStart w:colFirst="0" w:colLast="0" w:name="_kinrz2670qt9" w:id="9"/>
      <w:bookmarkEnd w:id="9"/>
      <w:r w:rsidDel="00000000" w:rsidR="00000000" w:rsidRPr="00000000">
        <w:rPr>
          <w:rtl w:val="0"/>
        </w:rPr>
        <w:t xml:space="preserve">3. Audiencia Objetivo y Propósito Comunicacional</w:t>
      </w:r>
    </w:p>
    <w:p w:rsidR="00000000" w:rsidDel="00000000" w:rsidP="00000000" w:rsidRDefault="00000000" w:rsidRPr="00000000" w14:paraId="00000062">
      <w:pPr>
        <w:pBdr>
          <w:top w:space="0" w:sz="0" w:val="nil"/>
          <w:left w:space="0" w:sz="0" w:val="nil"/>
          <w:bottom w:space="0" w:sz="0" w:val="nil"/>
          <w:right w:space="0" w:sz="0" w:val="nil"/>
          <w:between w:space="0" w:sz="0" w:val="nil"/>
        </w:pBdr>
        <w:spacing w:after="180" w:before="180" w:lineRule="auto"/>
        <w:rPr>
          <w:color w:val="000000"/>
        </w:rPr>
      </w:pPr>
      <w:r w:rsidDel="00000000" w:rsidR="00000000" w:rsidRPr="00000000">
        <w:rPr>
          <w:color w:val="000000"/>
          <w:rtl w:val="0"/>
        </w:rPr>
        <w:t xml:space="preserve">Este informe está dirigido a dos audiencias principales dentro de StreamView Analytics:</w:t>
      </w:r>
    </w:p>
    <w:tbl>
      <w:tblPr>
        <w:tblStyle w:val="Table3"/>
        <w:tblW w:w="9053.0" w:type="dxa"/>
        <w:jc w:val="left"/>
        <w:tblInd w:w="-108.0" w:type="dxa"/>
        <w:tblLayout w:type="fixed"/>
        <w:tblLook w:val="0020"/>
      </w:tblPr>
      <w:tblGrid>
        <w:gridCol w:w="1570"/>
        <w:gridCol w:w="2092"/>
        <w:gridCol w:w="3248"/>
        <w:gridCol w:w="2143"/>
        <w:tblGridChange w:id="0">
          <w:tblGrid>
            <w:gridCol w:w="1570"/>
            <w:gridCol w:w="2092"/>
            <w:gridCol w:w="3248"/>
            <w:gridCol w:w="2143"/>
          </w:tblGrid>
        </w:tblGridChange>
      </w:tblGrid>
      <w:tr>
        <w:trPr>
          <w:cantSplit w:val="0"/>
          <w:tblHeader w:val="1"/>
        </w:trPr>
        <w:tc>
          <w:tcPr/>
          <w:p w:rsidR="00000000" w:rsidDel="00000000" w:rsidP="00000000" w:rsidRDefault="00000000" w:rsidRPr="00000000" w14:paraId="00000063">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Audiencia</w:t>
            </w:r>
          </w:p>
        </w:tc>
        <w:tc>
          <w:tcPr/>
          <w:p w:rsidR="00000000" w:rsidDel="00000000" w:rsidP="00000000" w:rsidRDefault="00000000" w:rsidRPr="00000000" w14:paraId="00000064">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Rol</w:t>
            </w:r>
          </w:p>
        </w:tc>
        <w:tc>
          <w:tcPr/>
          <w:p w:rsidR="00000000" w:rsidDel="00000000" w:rsidP="00000000" w:rsidRDefault="00000000" w:rsidRPr="00000000" w14:paraId="00000065">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Qué necesita de este informe</w:t>
            </w:r>
          </w:p>
        </w:tc>
        <w:tc>
          <w:tcPr/>
          <w:p w:rsidR="00000000" w:rsidDel="00000000" w:rsidP="00000000" w:rsidRDefault="00000000" w:rsidRPr="00000000" w14:paraId="00000066">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Acción esperada</w:t>
            </w:r>
          </w:p>
        </w:tc>
      </w:tr>
      <w:tr>
        <w:trPr>
          <w:cantSplit w:val="0"/>
          <w:tblHeader w:val="0"/>
        </w:trPr>
        <w:tc>
          <w:tcPr/>
          <w:p w:rsidR="00000000" w:rsidDel="00000000" w:rsidP="00000000" w:rsidRDefault="00000000" w:rsidRPr="00000000" w14:paraId="00000067">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Gerencia de Contenido</w:t>
            </w:r>
          </w:p>
        </w:tc>
        <w:tc>
          <w:tcPr/>
          <w:p w:rsidR="00000000" w:rsidDel="00000000" w:rsidP="00000000" w:rsidRDefault="00000000" w:rsidRPr="00000000" w14:paraId="00000068">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Decide qué títulos adquirir o renovar</w:t>
            </w:r>
          </w:p>
        </w:tc>
        <w:tc>
          <w:tcPr/>
          <w:p w:rsidR="00000000" w:rsidDel="00000000" w:rsidP="00000000" w:rsidRDefault="00000000" w:rsidRPr="00000000" w14:paraId="00000069">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Entender qué géneros/países generan más engagement y mejor calificación</w:t>
            </w:r>
          </w:p>
        </w:tc>
        <w:tc>
          <w:tcPr/>
          <w:p w:rsidR="00000000" w:rsidDel="00000000" w:rsidP="00000000" w:rsidRDefault="00000000" w:rsidRPr="00000000" w14:paraId="0000006A">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Ajustar criterios de selección de contenido</w:t>
            </w:r>
          </w:p>
        </w:tc>
      </w:tr>
      <w:tr>
        <w:trPr>
          <w:cantSplit w:val="0"/>
          <w:tblHeader w:val="0"/>
        </w:trPr>
        <w:tc>
          <w:tcPr/>
          <w:p w:rsidR="00000000" w:rsidDel="00000000" w:rsidP="00000000" w:rsidRDefault="00000000" w:rsidRPr="00000000" w14:paraId="0000006B">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Dirección Ejecutiva</w:t>
            </w:r>
          </w:p>
        </w:tc>
        <w:tc>
          <w:tcPr/>
          <w:p w:rsidR="00000000" w:rsidDel="00000000" w:rsidP="00000000" w:rsidRDefault="00000000" w:rsidRPr="00000000" w14:paraId="0000006C">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Aprueba presupuesto de adquisición</w:t>
            </w:r>
          </w:p>
        </w:tc>
        <w:tc>
          <w:tcPr/>
          <w:p w:rsidR="00000000" w:rsidDel="00000000" w:rsidP="00000000" w:rsidRDefault="00000000" w:rsidRPr="00000000" w14:paraId="0000006D">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Validar el ROI del catálogo y los KPIs generales</w:t>
            </w:r>
          </w:p>
        </w:tc>
        <w:tc>
          <w:tcPr/>
          <w:p w:rsidR="00000000" w:rsidDel="00000000" w:rsidP="00000000" w:rsidRDefault="00000000" w:rsidRPr="00000000" w14:paraId="0000006E">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Tomar decisiones de inversión informadas</w:t>
            </w:r>
          </w:p>
        </w:tc>
      </w:tr>
    </w:tbl>
    <w:p w:rsidR="00000000" w:rsidDel="00000000" w:rsidP="00000000" w:rsidRDefault="00000000" w:rsidRPr="00000000" w14:paraId="0000006F">
      <w:pPr>
        <w:pBdr>
          <w:top w:space="0" w:sz="0" w:val="nil"/>
          <w:left w:space="0" w:sz="0" w:val="nil"/>
          <w:bottom w:space="0" w:sz="0" w:val="nil"/>
          <w:right w:space="0" w:sz="0" w:val="nil"/>
          <w:between w:space="0" w:sz="0" w:val="nil"/>
        </w:pBdr>
        <w:spacing w:after="180" w:before="180" w:lineRule="auto"/>
        <w:rPr>
          <w:color w:val="000000"/>
        </w:rPr>
      </w:pPr>
      <w:r w:rsidDel="00000000" w:rsidR="00000000" w:rsidRPr="00000000">
        <w:rPr>
          <w:b w:val="1"/>
          <w:bCs w:val="1"/>
          <w:color w:val="000000"/>
          <w:rtl w:val="0"/>
        </w:rPr>
        <w:t xml:space="preserve">Propósito comunicacional principal:</w:t>
      </w:r>
      <w:r w:rsidDel="00000000" w:rsidR="00000000" w:rsidRPr="00000000">
        <w:rPr>
          <w:color w:val="000000"/>
          <w:rtl w:val="0"/>
        </w:rPr>
        <w:t xml:space="preserve"> persuadir al equipo directivo de que popularidad y calificación son señales distintas que requieren estrategias de adquisición separadas, y de que la falta de datos financieros en el 78% del catálogo es un riesgo analítico que debe resolverse con urgencia.</w:t>
      </w:r>
    </w:p>
    <w:p w:rsidR="00000000" w:rsidDel="00000000" w:rsidP="00000000" w:rsidRDefault="00000000" w:rsidRPr="00000000" w14:paraId="00000070">
      <w:pPr>
        <w:pBdr>
          <w:top w:space="0" w:sz="0" w:val="nil"/>
          <w:left w:space="0" w:sz="0" w:val="nil"/>
          <w:bottom w:space="0" w:sz="0" w:val="nil"/>
          <w:right w:space="0" w:sz="0" w:val="nil"/>
          <w:between w:space="0" w:sz="0" w:val="nil"/>
        </w:pBdr>
        <w:spacing w:after="180" w:before="180" w:lineRule="auto"/>
        <w:rPr>
          <w:color w:val="000000"/>
        </w:rPr>
      </w:pPr>
      <w:r w:rsidDel="00000000" w:rsidR="00000000" w:rsidRPr="00000000">
        <w:rPr>
          <w:b w:val="1"/>
          <w:bCs w:val="1"/>
          <w:color w:val="000000"/>
          <w:rtl w:val="0"/>
        </w:rPr>
        <w:t xml:space="preserve">Nivel de tecnicidad del informe:</w:t>
      </w:r>
      <w:r w:rsidDel="00000000" w:rsidR="00000000" w:rsidRPr="00000000">
        <w:rPr>
          <w:color w:val="000000"/>
          <w:rtl w:val="0"/>
        </w:rPr>
        <w:t xml:space="preserve"> bajo-medio. Se prioriza la interpretación de negocio sobre el detalle estadístico. Los valores técnicos (correlación, distribuciones) se presentan con contexto y consecuencias prácticas, no como fines en sí mismos.</w:t>
      </w:r>
    </w:p>
    <w:bookmarkStart w:colFirst="0" w:colLast="0" w:name="ttiqym6c9qp9" w:id="10"/>
    <w:bookmarkEnd w:id="10"/>
    <w:p w:rsidR="00000000" w:rsidDel="00000000" w:rsidP="00000000" w:rsidRDefault="00000000" w:rsidRPr="00000000" w14:paraId="00000071">
      <w:pPr>
        <w:pStyle w:val="Heading1"/>
        <w:rPr/>
      </w:pPr>
      <w:bookmarkStart w:colFirst="0" w:colLast="0" w:name="_g89puzm6obxv" w:id="11"/>
      <w:bookmarkEnd w:id="11"/>
      <w:r w:rsidDel="00000000" w:rsidR="00000000" w:rsidRPr="00000000">
        <w:rPr>
          <w:rtl w:val="0"/>
        </w:rPr>
        <w:t xml:space="preserve">4. Fuentes de Datos Utilizadas</w:t>
      </w:r>
    </w:p>
    <w:p w:rsidR="00000000" w:rsidDel="00000000" w:rsidP="00000000" w:rsidRDefault="00000000" w:rsidRPr="00000000" w14:paraId="00000072">
      <w:pPr>
        <w:pBdr>
          <w:top w:space="0" w:sz="0" w:val="nil"/>
          <w:left w:space="0" w:sz="0" w:val="nil"/>
          <w:bottom w:space="0" w:sz="0" w:val="nil"/>
          <w:right w:space="0" w:sz="0" w:val="nil"/>
          <w:between w:space="0" w:sz="0" w:val="nil"/>
        </w:pBdr>
        <w:spacing w:after="180" w:before="180" w:lineRule="auto"/>
        <w:rPr>
          <w:color w:val="000000"/>
        </w:rPr>
      </w:pPr>
      <w:r w:rsidDel="00000000" w:rsidR="00000000" w:rsidRPr="00000000">
        <w:rPr>
          <w:b w:val="1"/>
          <w:bCs w:val="1"/>
          <w:color w:val="000000"/>
          <w:rtl w:val="0"/>
        </w:rPr>
        <w:t xml:space="preserve">Fuente original:</w:t>
      </w:r>
      <w:r w:rsidDel="00000000" w:rsidR="00000000" w:rsidRPr="00000000">
        <w:rPr>
          <w:color w:val="000000"/>
          <w:rtl w:val="0"/>
        </w:rPr>
        <w:t xml:space="preserve"> </w:t>
      </w:r>
      <w:r w:rsidDel="00000000" w:rsidR="00000000" w:rsidRPr="00000000">
        <w:rPr>
          <w:rFonts w:ascii="Consolas" w:cs="Consolas" w:eastAsia="Consolas" w:hAnsi="Consolas"/>
          <w:color w:val="000000"/>
          <w:sz w:val="22"/>
          <w:szCs w:val="22"/>
          <w:rtl w:val="0"/>
        </w:rPr>
        <w:t xml:space="preserve">netflix_movies_detailed_up_to_2025.csv</w:t>
      </w:r>
      <w:r w:rsidDel="00000000" w:rsidR="00000000" w:rsidRPr="00000000">
        <w:rPr>
          <w:color w:val="000000"/>
          <w:rtl w:val="0"/>
        </w:rPr>
        <w:t xml:space="preserve"> — dataset crudo de 16.000 títulos con variables de catálogo (título, género, país, director, reparto, fecha de agregado), audiencia (</w:t>
      </w:r>
      <w:r w:rsidDel="00000000" w:rsidR="00000000" w:rsidRPr="00000000">
        <w:rPr>
          <w:rFonts w:ascii="Consolas" w:cs="Consolas" w:eastAsia="Consolas" w:hAnsi="Consolas"/>
          <w:color w:val="000000"/>
          <w:sz w:val="22"/>
          <w:szCs w:val="22"/>
          <w:rtl w:val="0"/>
        </w:rPr>
        <w:t xml:space="preserve">popularity</w:t>
      </w:r>
      <w:r w:rsidDel="00000000" w:rsidR="00000000" w:rsidRPr="00000000">
        <w:rPr>
          <w:color w:val="000000"/>
          <w:rtl w:val="0"/>
        </w:rPr>
        <w:t xml:space="preserve">, </w:t>
      </w:r>
      <w:r w:rsidDel="00000000" w:rsidR="00000000" w:rsidRPr="00000000">
        <w:rPr>
          <w:rFonts w:ascii="Consolas" w:cs="Consolas" w:eastAsia="Consolas" w:hAnsi="Consolas"/>
          <w:color w:val="000000"/>
          <w:sz w:val="22"/>
          <w:szCs w:val="22"/>
          <w:rtl w:val="0"/>
        </w:rPr>
        <w:t xml:space="preserve">vote_average</w:t>
      </w:r>
      <w:r w:rsidDel="00000000" w:rsidR="00000000" w:rsidRPr="00000000">
        <w:rPr>
          <w:color w:val="000000"/>
          <w:rtl w:val="0"/>
        </w:rPr>
        <w:t xml:space="preserve">, </w:t>
      </w:r>
      <w:r w:rsidDel="00000000" w:rsidR="00000000" w:rsidRPr="00000000">
        <w:rPr>
          <w:rFonts w:ascii="Consolas" w:cs="Consolas" w:eastAsia="Consolas" w:hAnsi="Consolas"/>
          <w:color w:val="000000"/>
          <w:sz w:val="22"/>
          <w:szCs w:val="22"/>
          <w:rtl w:val="0"/>
        </w:rPr>
        <w:t xml:space="preserve">vote_count</w:t>
      </w:r>
      <w:r w:rsidDel="00000000" w:rsidR="00000000" w:rsidRPr="00000000">
        <w:rPr>
          <w:color w:val="000000"/>
          <w:rtl w:val="0"/>
        </w:rPr>
        <w:t xml:space="preserve">) y financieras (</w:t>
      </w:r>
      <w:r w:rsidDel="00000000" w:rsidR="00000000" w:rsidRPr="00000000">
        <w:rPr>
          <w:rFonts w:ascii="Consolas" w:cs="Consolas" w:eastAsia="Consolas" w:hAnsi="Consolas"/>
          <w:color w:val="000000"/>
          <w:sz w:val="22"/>
          <w:szCs w:val="22"/>
          <w:rtl w:val="0"/>
        </w:rPr>
        <w:t xml:space="preserve">budget</w:t>
      </w:r>
      <w:r w:rsidDel="00000000" w:rsidR="00000000" w:rsidRPr="00000000">
        <w:rPr>
          <w:color w:val="000000"/>
          <w:rtl w:val="0"/>
        </w:rPr>
        <w:t xml:space="preserve">, </w:t>
      </w:r>
      <w:r w:rsidDel="00000000" w:rsidR="00000000" w:rsidRPr="00000000">
        <w:rPr>
          <w:rFonts w:ascii="Consolas" w:cs="Consolas" w:eastAsia="Consolas" w:hAnsi="Consolas"/>
          <w:color w:val="000000"/>
          <w:sz w:val="22"/>
          <w:szCs w:val="22"/>
          <w:rtl w:val="0"/>
        </w:rPr>
        <w:t xml:space="preserve">revenue</w:t>
      </w:r>
      <w:r w:rsidDel="00000000" w:rsidR="00000000" w:rsidRPr="00000000">
        <w:rPr>
          <w:color w:val="000000"/>
          <w:rtl w:val="0"/>
        </w:rPr>
        <w:t xml:space="preserve">).</w:t>
      </w:r>
    </w:p>
    <w:p w:rsidR="00000000" w:rsidDel="00000000" w:rsidP="00000000" w:rsidRDefault="00000000" w:rsidRPr="00000000" w14:paraId="00000073">
      <w:pPr>
        <w:pBdr>
          <w:top w:space="0" w:sz="0" w:val="nil"/>
          <w:left w:space="0" w:sz="0" w:val="nil"/>
          <w:bottom w:space="0" w:sz="0" w:val="nil"/>
          <w:right w:space="0" w:sz="0" w:val="nil"/>
          <w:between w:space="0" w:sz="0" w:val="nil"/>
        </w:pBdr>
        <w:spacing w:after="180" w:before="180" w:lineRule="auto"/>
        <w:rPr>
          <w:color w:val="000000"/>
        </w:rPr>
      </w:pPr>
      <w:r w:rsidDel="00000000" w:rsidR="00000000" w:rsidRPr="00000000">
        <w:rPr>
          <w:b w:val="1"/>
          <w:bCs w:val="1"/>
          <w:color w:val="000000"/>
          <w:rtl w:val="0"/>
        </w:rPr>
        <w:t xml:space="preserve">Proceso de limpieza aplicado</w:t>
      </w:r>
      <w:r w:rsidDel="00000000" w:rsidR="00000000" w:rsidRPr="00000000">
        <w:rPr>
          <w:color w:val="000000"/>
          <w:rtl w:val="0"/>
        </w:rPr>
        <w:t xml:space="preserve"> (documentado en el notebook </w:t>
      </w:r>
      <w:r w:rsidDel="00000000" w:rsidR="00000000" w:rsidRPr="00000000">
        <w:rPr>
          <w:rFonts w:ascii="Consolas" w:cs="Consolas" w:eastAsia="Consolas" w:hAnsi="Consolas"/>
          <w:color w:val="000000"/>
          <w:sz w:val="22"/>
          <w:szCs w:val="22"/>
          <w:rtl w:val="0"/>
        </w:rPr>
        <w:t xml:space="preserve">01_limpieza_y_eda_streamview.ipynb</w:t>
      </w:r>
      <w:r w:rsidDel="00000000" w:rsidR="00000000" w:rsidRPr="00000000">
        <w:rPr>
          <w:color w:val="000000"/>
          <w:rtl w:val="0"/>
        </w:rPr>
        <w:t xml:space="preserve">):</w:t>
      </w:r>
    </w:p>
    <w:tbl>
      <w:tblPr>
        <w:tblStyle w:val="Table4"/>
        <w:tblW w:w="9054.0" w:type="dxa"/>
        <w:jc w:val="left"/>
        <w:tblInd w:w="-108.0" w:type="dxa"/>
        <w:tblLayout w:type="fixed"/>
        <w:tblLook w:val="0020"/>
      </w:tblPr>
      <w:tblGrid>
        <w:gridCol w:w="1510"/>
        <w:gridCol w:w="3775"/>
        <w:gridCol w:w="3769"/>
        <w:tblGridChange w:id="0">
          <w:tblGrid>
            <w:gridCol w:w="1510"/>
            <w:gridCol w:w="3775"/>
            <w:gridCol w:w="3769"/>
          </w:tblGrid>
        </w:tblGridChange>
      </w:tblGrid>
      <w:tr>
        <w:trPr>
          <w:cantSplit w:val="0"/>
          <w:tblHeader w:val="1"/>
        </w:trPr>
        <w:tc>
          <w:tcPr/>
          <w:p w:rsidR="00000000" w:rsidDel="00000000" w:rsidP="00000000" w:rsidRDefault="00000000" w:rsidRPr="00000000" w14:paraId="00000074">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Paso</w:t>
            </w:r>
          </w:p>
        </w:tc>
        <w:tc>
          <w:tcPr/>
          <w:p w:rsidR="00000000" w:rsidDel="00000000" w:rsidP="00000000" w:rsidRDefault="00000000" w:rsidRPr="00000000" w14:paraId="00000075">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Acción</w:t>
            </w:r>
          </w:p>
        </w:tc>
        <w:tc>
          <w:tcPr/>
          <w:p w:rsidR="00000000" w:rsidDel="00000000" w:rsidP="00000000" w:rsidRDefault="00000000" w:rsidRPr="00000000" w14:paraId="00000076">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Motivo</w:t>
            </w:r>
          </w:p>
        </w:tc>
      </w:tr>
      <w:tr>
        <w:trPr>
          <w:cantSplit w:val="0"/>
          <w:tblHeader w:val="0"/>
        </w:trPr>
        <w:tc>
          <w:tcPr/>
          <w:p w:rsidR="00000000" w:rsidDel="00000000" w:rsidP="00000000" w:rsidRDefault="00000000" w:rsidRPr="00000000" w14:paraId="00000077">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Descarte de columnas</w:t>
            </w:r>
          </w:p>
        </w:tc>
        <w:tc>
          <w:tcPr/>
          <w:p w:rsidR="00000000" w:rsidDel="00000000" w:rsidP="00000000" w:rsidRDefault="00000000" w:rsidRPr="00000000" w14:paraId="00000078">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Se eliminan </w:t>
            </w:r>
            <w:r w:rsidDel="00000000" w:rsidR="00000000" w:rsidRPr="00000000">
              <w:rPr>
                <w:rFonts w:ascii="Consolas" w:cs="Consolas" w:eastAsia="Consolas" w:hAnsi="Consolas"/>
                <w:color w:val="000000"/>
                <w:sz w:val="22"/>
                <w:szCs w:val="22"/>
                <w:rtl w:val="0"/>
              </w:rPr>
              <w:t xml:space="preserve">duration</w:t>
            </w:r>
            <w:r w:rsidDel="00000000" w:rsidR="00000000" w:rsidRPr="00000000">
              <w:rPr>
                <w:color w:val="000000"/>
                <w:rtl w:val="0"/>
              </w:rPr>
              <w:t xml:space="preserve">, </w:t>
            </w:r>
            <w:r w:rsidDel="00000000" w:rsidR="00000000" w:rsidRPr="00000000">
              <w:rPr>
                <w:rFonts w:ascii="Consolas" w:cs="Consolas" w:eastAsia="Consolas" w:hAnsi="Consolas"/>
                <w:color w:val="000000"/>
                <w:sz w:val="22"/>
                <w:szCs w:val="22"/>
                <w:rtl w:val="0"/>
              </w:rPr>
              <w:t xml:space="preserve">rating</w:t>
            </w:r>
            <w:r w:rsidDel="00000000" w:rsidR="00000000" w:rsidRPr="00000000">
              <w:rPr>
                <w:color w:val="000000"/>
                <w:rtl w:val="0"/>
              </w:rPr>
              <w:t xml:space="preserve">, </w:t>
            </w:r>
            <w:r w:rsidDel="00000000" w:rsidR="00000000" w:rsidRPr="00000000">
              <w:rPr>
                <w:rFonts w:ascii="Consolas" w:cs="Consolas" w:eastAsia="Consolas" w:hAnsi="Consolas"/>
                <w:color w:val="000000"/>
                <w:sz w:val="22"/>
                <w:szCs w:val="22"/>
                <w:rtl w:val="0"/>
              </w:rPr>
              <w:t xml:space="preserve">type</w:t>
            </w:r>
            <w:r w:rsidDel="00000000" w:rsidR="00000000" w:rsidRPr="00000000">
              <w:rPr>
                <w:rtl w:val="0"/>
              </w:rPr>
            </w:r>
          </w:p>
        </w:tc>
        <w:tc>
          <w:tcPr/>
          <w:p w:rsidR="00000000" w:rsidDel="00000000" w:rsidP="00000000" w:rsidRDefault="00000000" w:rsidRPr="00000000" w14:paraId="00000079">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Sin valor analítico para los objetivos del proyecto</w:t>
            </w:r>
          </w:p>
        </w:tc>
      </w:tr>
      <w:tr>
        <w:trPr>
          <w:cantSplit w:val="0"/>
          <w:tblHeader w:val="0"/>
        </w:trPr>
        <w:tc>
          <w:tcPr/>
          <w:p w:rsidR="00000000" w:rsidDel="00000000" w:rsidP="00000000" w:rsidRDefault="00000000" w:rsidRPr="00000000" w14:paraId="0000007A">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Nulos categóricos</w:t>
            </w:r>
          </w:p>
        </w:tc>
        <w:tc>
          <w:tcPr/>
          <w:p w:rsidR="00000000" w:rsidDel="00000000" w:rsidP="00000000" w:rsidRDefault="00000000" w:rsidRPr="00000000" w14:paraId="0000007B">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rFonts w:ascii="Consolas" w:cs="Consolas" w:eastAsia="Consolas" w:hAnsi="Consolas"/>
                <w:color w:val="000000"/>
                <w:sz w:val="22"/>
                <w:szCs w:val="22"/>
                <w:rtl w:val="0"/>
              </w:rPr>
              <w:t xml:space="preserve">director</w:t>
            </w:r>
            <w:r w:rsidDel="00000000" w:rsidR="00000000" w:rsidRPr="00000000">
              <w:rPr>
                <w:color w:val="000000"/>
                <w:rtl w:val="0"/>
              </w:rPr>
              <w:t xml:space="preserve">, </w:t>
            </w:r>
            <w:r w:rsidDel="00000000" w:rsidR="00000000" w:rsidRPr="00000000">
              <w:rPr>
                <w:rFonts w:ascii="Consolas" w:cs="Consolas" w:eastAsia="Consolas" w:hAnsi="Consolas"/>
                <w:color w:val="000000"/>
                <w:sz w:val="22"/>
                <w:szCs w:val="22"/>
                <w:rtl w:val="0"/>
              </w:rPr>
              <w:t xml:space="preserve">cast</w:t>
            </w:r>
            <w:r w:rsidDel="00000000" w:rsidR="00000000" w:rsidRPr="00000000">
              <w:rPr>
                <w:color w:val="000000"/>
                <w:rtl w:val="0"/>
              </w:rPr>
              <w:t xml:space="preserve">, </w:t>
            </w:r>
            <w:r w:rsidDel="00000000" w:rsidR="00000000" w:rsidRPr="00000000">
              <w:rPr>
                <w:rFonts w:ascii="Consolas" w:cs="Consolas" w:eastAsia="Consolas" w:hAnsi="Consolas"/>
                <w:color w:val="000000"/>
                <w:sz w:val="22"/>
                <w:szCs w:val="22"/>
                <w:rtl w:val="0"/>
              </w:rPr>
              <w:t xml:space="preserve">country</w:t>
            </w:r>
            <w:r w:rsidDel="00000000" w:rsidR="00000000" w:rsidRPr="00000000">
              <w:rPr>
                <w:color w:val="000000"/>
                <w:rtl w:val="0"/>
              </w:rPr>
              <w:t xml:space="preserve">, </w:t>
            </w:r>
            <w:r w:rsidDel="00000000" w:rsidR="00000000" w:rsidRPr="00000000">
              <w:rPr>
                <w:rFonts w:ascii="Consolas" w:cs="Consolas" w:eastAsia="Consolas" w:hAnsi="Consolas"/>
                <w:color w:val="000000"/>
                <w:sz w:val="22"/>
                <w:szCs w:val="22"/>
                <w:rtl w:val="0"/>
              </w:rPr>
              <w:t xml:space="preserve">genres</w:t>
            </w:r>
            <w:r w:rsidDel="00000000" w:rsidR="00000000" w:rsidRPr="00000000">
              <w:rPr>
                <w:color w:val="000000"/>
                <w:rtl w:val="0"/>
              </w:rPr>
              <w:t xml:space="preserve">, </w:t>
            </w:r>
            <w:r w:rsidDel="00000000" w:rsidR="00000000" w:rsidRPr="00000000">
              <w:rPr>
                <w:rFonts w:ascii="Consolas" w:cs="Consolas" w:eastAsia="Consolas" w:hAnsi="Consolas"/>
                <w:color w:val="000000"/>
                <w:sz w:val="22"/>
                <w:szCs w:val="22"/>
                <w:rtl w:val="0"/>
              </w:rPr>
              <w:t xml:space="preserve">description</w:t>
            </w:r>
            <w:r w:rsidDel="00000000" w:rsidR="00000000" w:rsidRPr="00000000">
              <w:rPr>
                <w:color w:val="000000"/>
                <w:rtl w:val="0"/>
              </w:rPr>
              <w:t xml:space="preserve"> → se rellenan con “No especificado”</w:t>
            </w:r>
          </w:p>
        </w:tc>
        <w:tc>
          <w:tcPr/>
          <w:p w:rsidR="00000000" w:rsidDel="00000000" w:rsidP="00000000" w:rsidRDefault="00000000" w:rsidRPr="00000000" w14:paraId="0000007C">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Evita perder filas por nulos en campos de texto</w:t>
            </w:r>
          </w:p>
        </w:tc>
      </w:tr>
      <w:tr>
        <w:trPr>
          <w:cantSplit w:val="0"/>
          <w:tblHeader w:val="0"/>
        </w:trPr>
        <w:tc>
          <w:tcPr/>
          <w:p w:rsidR="00000000" w:rsidDel="00000000" w:rsidP="00000000" w:rsidRDefault="00000000" w:rsidRPr="00000000" w14:paraId="0000007D">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Datos financieros</w:t>
            </w:r>
          </w:p>
        </w:tc>
        <w:tc>
          <w:tcPr/>
          <w:p w:rsidR="00000000" w:rsidDel="00000000" w:rsidP="00000000" w:rsidRDefault="00000000" w:rsidRPr="00000000" w14:paraId="0000007E">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rFonts w:ascii="Consolas" w:cs="Consolas" w:eastAsia="Consolas" w:hAnsi="Consolas"/>
                <w:color w:val="000000"/>
                <w:sz w:val="22"/>
                <w:szCs w:val="22"/>
                <w:rtl w:val="0"/>
              </w:rPr>
              <w:t xml:space="preserve">budget</w:t>
            </w:r>
            <w:r w:rsidDel="00000000" w:rsidR="00000000" w:rsidRPr="00000000">
              <w:rPr>
                <w:color w:val="000000"/>
                <w:rtl w:val="0"/>
              </w:rPr>
              <w:t xml:space="preserve"> y </w:t>
            </w:r>
            <w:r w:rsidDel="00000000" w:rsidR="00000000" w:rsidRPr="00000000">
              <w:rPr>
                <w:rFonts w:ascii="Consolas" w:cs="Consolas" w:eastAsia="Consolas" w:hAnsi="Consolas"/>
                <w:color w:val="000000"/>
                <w:sz w:val="22"/>
                <w:szCs w:val="22"/>
                <w:rtl w:val="0"/>
              </w:rPr>
              <w:t xml:space="preserve">revenue</w:t>
            </w:r>
            <w:r w:rsidDel="00000000" w:rsidR="00000000" w:rsidRPr="00000000">
              <w:rPr>
                <w:color w:val="000000"/>
                <w:rtl w:val="0"/>
              </w:rPr>
              <w:t xml:space="preserve"> en 0 se reemplazan por </w:t>
            </w:r>
            <w:r w:rsidDel="00000000" w:rsidR="00000000" w:rsidRPr="00000000">
              <w:rPr>
                <w:rFonts w:ascii="Consolas" w:cs="Consolas" w:eastAsia="Consolas" w:hAnsi="Consolas"/>
                <w:color w:val="000000"/>
                <w:sz w:val="22"/>
                <w:szCs w:val="22"/>
                <w:rtl w:val="0"/>
              </w:rPr>
              <w:t xml:space="preserve">NaN</w:t>
            </w:r>
            <w:r w:rsidDel="00000000" w:rsidR="00000000" w:rsidRPr="00000000">
              <w:rPr>
                <w:color w:val="000000"/>
                <w:rtl w:val="0"/>
              </w:rPr>
              <w:t xml:space="preserve">; se crea la bandera </w:t>
            </w:r>
            <w:r w:rsidDel="00000000" w:rsidR="00000000" w:rsidRPr="00000000">
              <w:rPr>
                <w:rFonts w:ascii="Consolas" w:cs="Consolas" w:eastAsia="Consolas" w:hAnsi="Consolas"/>
                <w:color w:val="000000"/>
                <w:sz w:val="22"/>
                <w:szCs w:val="22"/>
                <w:rtl w:val="0"/>
              </w:rPr>
              <w:t xml:space="preserve">tiene_datos_financieros</w:t>
            </w:r>
            <w:r w:rsidDel="00000000" w:rsidR="00000000" w:rsidRPr="00000000">
              <w:rPr>
                <w:rtl w:val="0"/>
              </w:rPr>
            </w:r>
          </w:p>
        </w:tc>
        <w:tc>
          <w:tcPr/>
          <w:p w:rsidR="00000000" w:rsidDel="00000000" w:rsidP="00000000" w:rsidRDefault="00000000" w:rsidRPr="00000000" w14:paraId="0000007F">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Un presupuesto/ingreso de 0 no es un valor real, es dato no informado — tratarlo como cero real distorsionaría cualquier promedio o ROI</w:t>
            </w:r>
          </w:p>
        </w:tc>
      </w:tr>
      <w:tr>
        <w:trPr>
          <w:cantSplit w:val="0"/>
          <w:tblHeader w:val="0"/>
        </w:trPr>
        <w:tc>
          <w:tcPr/>
          <w:p w:rsidR="00000000" w:rsidDel="00000000" w:rsidP="00000000" w:rsidRDefault="00000000" w:rsidRPr="00000000" w14:paraId="00000080">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Cálculo de ROI</w:t>
            </w:r>
          </w:p>
        </w:tc>
        <w:tc>
          <w:tcPr/>
          <w:p w:rsidR="00000000" w:rsidDel="00000000" w:rsidP="00000000" w:rsidRDefault="00000000" w:rsidRPr="00000000" w14:paraId="00000081">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rFonts w:ascii="Consolas" w:cs="Consolas" w:eastAsia="Consolas" w:hAnsi="Consolas"/>
                <w:color w:val="000000"/>
                <w:sz w:val="22"/>
                <w:szCs w:val="22"/>
                <w:rtl w:val="0"/>
              </w:rPr>
              <w:t xml:space="preserve">roi = revenue_clean / budget_clean</w:t>
            </w:r>
            <w:r w:rsidDel="00000000" w:rsidR="00000000" w:rsidRPr="00000000">
              <w:rPr>
                <w:color w:val="000000"/>
                <w:rtl w:val="0"/>
              </w:rPr>
              <w:t xml:space="preserve">, solo cuando ambos valores existen</w:t>
            </w:r>
          </w:p>
        </w:tc>
        <w:tc>
          <w:tcPr/>
          <w:p w:rsidR="00000000" w:rsidDel="00000000" w:rsidP="00000000" w:rsidRDefault="00000000" w:rsidRPr="00000000" w14:paraId="00000082">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Evita divisiones por NaN o por cero</w:t>
            </w:r>
          </w:p>
        </w:tc>
      </w:tr>
    </w:tbl>
    <w:p w:rsidR="00000000" w:rsidDel="00000000" w:rsidP="00000000" w:rsidRDefault="00000000" w:rsidRPr="00000000" w14:paraId="00000083">
      <w:pPr>
        <w:pBdr>
          <w:top w:space="0" w:sz="0" w:val="nil"/>
          <w:left w:space="0" w:sz="0" w:val="nil"/>
          <w:bottom w:space="0" w:sz="0" w:val="nil"/>
          <w:right w:space="0" w:sz="0" w:val="nil"/>
          <w:between w:space="0" w:sz="0" w:val="nil"/>
        </w:pBdr>
        <w:spacing w:after="180" w:before="180" w:lineRule="auto"/>
        <w:rPr>
          <w:color w:val="000000"/>
        </w:rPr>
      </w:pPr>
      <w:r w:rsidDel="00000000" w:rsidR="00000000" w:rsidRPr="00000000">
        <w:rPr>
          <w:b w:val="1"/>
          <w:bCs w:val="1"/>
          <w:color w:val="000000"/>
          <w:rtl w:val="0"/>
        </w:rPr>
        <w:t xml:space="preserve">Tablas agregadas exportadas para el dashboard</w:t>
      </w:r>
      <w:r w:rsidDel="00000000" w:rsidR="00000000" w:rsidRPr="00000000">
        <w:rPr>
          <w:color w:val="000000"/>
          <w:rtl w:val="0"/>
        </w:rPr>
        <w:t xml:space="preserve"> (una fuente de datos por archivo en Looker Studio, subidas directamente como archivo CSV para evitar errores de interpretación regional de decimales):</w:t>
      </w:r>
    </w:p>
    <w:tbl>
      <w:tblPr>
        <w:tblStyle w:val="Table5"/>
        <w:tblW w:w="9054.0" w:type="dxa"/>
        <w:jc w:val="left"/>
        <w:tblInd w:w="-108.0" w:type="dxa"/>
        <w:tblLayout w:type="fixed"/>
        <w:tblLook w:val="0020"/>
      </w:tblPr>
      <w:tblGrid>
        <w:gridCol w:w="2636"/>
        <w:gridCol w:w="3901"/>
        <w:gridCol w:w="2517"/>
        <w:tblGridChange w:id="0">
          <w:tblGrid>
            <w:gridCol w:w="2636"/>
            <w:gridCol w:w="3901"/>
            <w:gridCol w:w="2517"/>
          </w:tblGrid>
        </w:tblGridChange>
      </w:tblGrid>
      <w:tr>
        <w:trPr>
          <w:cantSplit w:val="0"/>
          <w:tblHeader w:val="1"/>
        </w:trPr>
        <w:tc>
          <w:tcPr/>
          <w:p w:rsidR="00000000" w:rsidDel="00000000" w:rsidP="00000000" w:rsidRDefault="00000000" w:rsidRPr="00000000" w14:paraId="00000084">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Archivo</w:t>
            </w:r>
          </w:p>
        </w:tc>
        <w:tc>
          <w:tcPr/>
          <w:p w:rsidR="00000000" w:rsidDel="00000000" w:rsidP="00000000" w:rsidRDefault="00000000" w:rsidRPr="00000000" w14:paraId="00000085">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Contenido</w:t>
            </w:r>
          </w:p>
        </w:tc>
        <w:tc>
          <w:tcPr/>
          <w:p w:rsidR="00000000" w:rsidDel="00000000" w:rsidP="00000000" w:rsidRDefault="00000000" w:rsidRPr="00000000" w14:paraId="00000086">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Grano</w:t>
            </w:r>
          </w:p>
        </w:tc>
      </w:tr>
      <w:tr>
        <w:trPr>
          <w:cantSplit w:val="0"/>
          <w:tblHeader w:val="0"/>
        </w:trPr>
        <w:tc>
          <w:tcPr/>
          <w:p w:rsidR="00000000" w:rsidDel="00000000" w:rsidP="00000000" w:rsidRDefault="00000000" w:rsidRPr="00000000" w14:paraId="00000087">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rFonts w:ascii="Consolas" w:cs="Consolas" w:eastAsia="Consolas" w:hAnsi="Consolas"/>
                <w:color w:val="000000"/>
                <w:sz w:val="22"/>
                <w:szCs w:val="22"/>
                <w:rtl w:val="0"/>
              </w:rPr>
              <w:t xml:space="preserve">kpis_generales.csv</w:t>
            </w:r>
            <w:r w:rsidDel="00000000" w:rsidR="00000000" w:rsidRPr="00000000">
              <w:rPr>
                <w:rtl w:val="0"/>
              </w:rPr>
            </w:r>
          </w:p>
        </w:tc>
        <w:tc>
          <w:tcPr/>
          <w:p w:rsidR="00000000" w:rsidDel="00000000" w:rsidP="00000000" w:rsidRDefault="00000000" w:rsidRPr="00000000" w14:paraId="00000088">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KPIs globales del catálogo</w:t>
            </w:r>
          </w:p>
        </w:tc>
        <w:tc>
          <w:tcPr/>
          <w:p w:rsidR="00000000" w:rsidDel="00000000" w:rsidP="00000000" w:rsidRDefault="00000000" w:rsidRPr="00000000" w14:paraId="00000089">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1 fila</w:t>
            </w:r>
          </w:p>
        </w:tc>
      </w:tr>
      <w:tr>
        <w:trPr>
          <w:cantSplit w:val="0"/>
          <w:tblHeader w:val="0"/>
        </w:trPr>
        <w:tc>
          <w:tcPr/>
          <w:p w:rsidR="00000000" w:rsidDel="00000000" w:rsidP="00000000" w:rsidRDefault="00000000" w:rsidRPr="00000000" w14:paraId="0000008A">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rFonts w:ascii="Consolas" w:cs="Consolas" w:eastAsia="Consolas" w:hAnsi="Consolas"/>
                <w:color w:val="000000"/>
                <w:sz w:val="22"/>
                <w:szCs w:val="22"/>
                <w:rtl w:val="0"/>
              </w:rPr>
              <w:t xml:space="preserve">agg_por_anio.csv</w:t>
            </w:r>
            <w:r w:rsidDel="00000000" w:rsidR="00000000" w:rsidRPr="00000000">
              <w:rPr>
                <w:rtl w:val="0"/>
              </w:rPr>
            </w:r>
          </w:p>
        </w:tc>
        <w:tc>
          <w:tcPr/>
          <w:p w:rsidR="00000000" w:rsidDel="00000000" w:rsidP="00000000" w:rsidRDefault="00000000" w:rsidRPr="00000000" w14:paraId="0000008B">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Popularidad y calificación promedio por año</w:t>
            </w:r>
          </w:p>
        </w:tc>
        <w:tc>
          <w:tcPr/>
          <w:p w:rsidR="00000000" w:rsidDel="00000000" w:rsidP="00000000" w:rsidRDefault="00000000" w:rsidRPr="00000000" w14:paraId="0000008C">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1 fila por año (2010–2025)</w:t>
            </w:r>
          </w:p>
        </w:tc>
      </w:tr>
      <w:tr>
        <w:trPr>
          <w:cantSplit w:val="0"/>
          <w:tblHeader w:val="0"/>
        </w:trPr>
        <w:tc>
          <w:tcPr/>
          <w:p w:rsidR="00000000" w:rsidDel="00000000" w:rsidP="00000000" w:rsidRDefault="00000000" w:rsidRPr="00000000" w14:paraId="0000008D">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rFonts w:ascii="Consolas" w:cs="Consolas" w:eastAsia="Consolas" w:hAnsi="Consolas"/>
                <w:color w:val="000000"/>
                <w:sz w:val="22"/>
                <w:szCs w:val="22"/>
                <w:rtl w:val="0"/>
              </w:rPr>
              <w:t xml:space="preserve">agg_por_genero.csv</w:t>
            </w:r>
            <w:r w:rsidDel="00000000" w:rsidR="00000000" w:rsidRPr="00000000">
              <w:rPr>
                <w:rtl w:val="0"/>
              </w:rPr>
            </w:r>
          </w:p>
        </w:tc>
        <w:tc>
          <w:tcPr/>
          <w:p w:rsidR="00000000" w:rsidDel="00000000" w:rsidP="00000000" w:rsidRDefault="00000000" w:rsidRPr="00000000" w14:paraId="0000008E">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Títulos, popularidad y calificación por género</w:t>
            </w:r>
          </w:p>
        </w:tc>
        <w:tc>
          <w:tcPr/>
          <w:p w:rsidR="00000000" w:rsidDel="00000000" w:rsidP="00000000" w:rsidRDefault="00000000" w:rsidRPr="00000000" w14:paraId="0000008F">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1 fila por género</w:t>
            </w:r>
          </w:p>
        </w:tc>
      </w:tr>
      <w:tr>
        <w:trPr>
          <w:cantSplit w:val="0"/>
          <w:tblHeader w:val="0"/>
        </w:trPr>
        <w:tc>
          <w:tcPr/>
          <w:p w:rsidR="00000000" w:rsidDel="00000000" w:rsidP="00000000" w:rsidRDefault="00000000" w:rsidRPr="00000000" w14:paraId="00000090">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rFonts w:ascii="Consolas" w:cs="Consolas" w:eastAsia="Consolas" w:hAnsi="Consolas"/>
                <w:color w:val="000000"/>
                <w:sz w:val="22"/>
                <w:szCs w:val="22"/>
                <w:rtl w:val="0"/>
              </w:rPr>
              <w:t xml:space="preserve">agg_por_pais.csv</w:t>
            </w:r>
            <w:r w:rsidDel="00000000" w:rsidR="00000000" w:rsidRPr="00000000">
              <w:rPr>
                <w:rtl w:val="0"/>
              </w:rPr>
            </w:r>
          </w:p>
        </w:tc>
        <w:tc>
          <w:tcPr/>
          <w:p w:rsidR="00000000" w:rsidDel="00000000" w:rsidP="00000000" w:rsidRDefault="00000000" w:rsidRPr="00000000" w14:paraId="00000091">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Títulos y calificación por país de producción</w:t>
            </w:r>
          </w:p>
        </w:tc>
        <w:tc>
          <w:tcPr/>
          <w:p w:rsidR="00000000" w:rsidDel="00000000" w:rsidP="00000000" w:rsidRDefault="00000000" w:rsidRPr="00000000" w14:paraId="00000092">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1 fila por país</w:t>
            </w:r>
          </w:p>
        </w:tc>
      </w:tr>
      <w:tr>
        <w:trPr>
          <w:cantSplit w:val="0"/>
          <w:tblHeader w:val="0"/>
        </w:trPr>
        <w:tc>
          <w:tcPr/>
          <w:p w:rsidR="00000000" w:rsidDel="00000000" w:rsidP="00000000" w:rsidRDefault="00000000" w:rsidRPr="00000000" w14:paraId="00000093">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rFonts w:ascii="Consolas" w:cs="Consolas" w:eastAsia="Consolas" w:hAnsi="Consolas"/>
                <w:color w:val="000000"/>
                <w:sz w:val="22"/>
                <w:szCs w:val="22"/>
                <w:rtl w:val="0"/>
              </w:rPr>
              <w:t xml:space="preserve">agg_financiero.csv</w:t>
            </w:r>
            <w:r w:rsidDel="00000000" w:rsidR="00000000" w:rsidRPr="00000000">
              <w:rPr>
                <w:rtl w:val="0"/>
              </w:rPr>
            </w:r>
          </w:p>
        </w:tc>
        <w:tc>
          <w:tcPr/>
          <w:p w:rsidR="00000000" w:rsidDel="00000000" w:rsidP="00000000" w:rsidRDefault="00000000" w:rsidRPr="00000000" w14:paraId="00000094">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Presupuesto e ingresos limpios (solo títulos con datos completos)</w:t>
            </w:r>
          </w:p>
        </w:tc>
        <w:tc>
          <w:tcPr/>
          <w:p w:rsidR="00000000" w:rsidDel="00000000" w:rsidP="00000000" w:rsidRDefault="00000000" w:rsidRPr="00000000" w14:paraId="00000095">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1 fila por título con datos financieros</w:t>
            </w:r>
          </w:p>
        </w:tc>
      </w:tr>
      <w:tr>
        <w:trPr>
          <w:cantSplit w:val="0"/>
          <w:tblHeader w:val="0"/>
        </w:trPr>
        <w:tc>
          <w:tcPr/>
          <w:p w:rsidR="00000000" w:rsidDel="00000000" w:rsidP="00000000" w:rsidRDefault="00000000" w:rsidRPr="00000000" w14:paraId="00000096">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rFonts w:ascii="Consolas" w:cs="Consolas" w:eastAsia="Consolas" w:hAnsi="Consolas"/>
                <w:color w:val="000000"/>
                <w:sz w:val="22"/>
                <w:szCs w:val="22"/>
                <w:rtl w:val="0"/>
              </w:rPr>
              <w:t xml:space="preserve">agg_por_director.csv</w:t>
            </w:r>
            <w:r w:rsidDel="00000000" w:rsidR="00000000" w:rsidRPr="00000000">
              <w:rPr>
                <w:rtl w:val="0"/>
              </w:rPr>
            </w:r>
          </w:p>
        </w:tc>
        <w:tc>
          <w:tcPr/>
          <w:p w:rsidR="00000000" w:rsidDel="00000000" w:rsidP="00000000" w:rsidRDefault="00000000" w:rsidRPr="00000000" w14:paraId="00000097">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Ingresos totales, % del repositorio y ROI por director</w:t>
            </w:r>
          </w:p>
        </w:tc>
        <w:tc>
          <w:tcPr/>
          <w:p w:rsidR="00000000" w:rsidDel="00000000" w:rsidP="00000000" w:rsidRDefault="00000000" w:rsidRPr="00000000" w14:paraId="00000098">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1 fila por director (mín. 2 títulos)</w:t>
            </w:r>
          </w:p>
        </w:tc>
      </w:tr>
    </w:tbl>
    <w:bookmarkStart w:colFirst="0" w:colLast="0" w:name="7iu841jg0xh2" w:id="12"/>
    <w:bookmarkEnd w:id="12"/>
    <w:p w:rsidR="00000000" w:rsidDel="00000000" w:rsidP="00000000" w:rsidRDefault="00000000" w:rsidRPr="00000000" w14:paraId="00000099">
      <w:pPr>
        <w:pStyle w:val="Heading1"/>
        <w:rPr/>
      </w:pPr>
      <w:bookmarkStart w:colFirst="0" w:colLast="0" w:name="_fndjwqcb967d" w:id="13"/>
      <w:bookmarkEnd w:id="13"/>
      <w:r w:rsidDel="00000000" w:rsidR="00000000" w:rsidRPr="00000000">
        <w:rPr>
          <w:rtl w:val="0"/>
        </w:rPr>
        <w:t xml:space="preserve">5. Análisis Exploratorio mediante Visualizaciones</w:t>
      </w:r>
    </w:p>
    <w:p w:rsidR="00000000" w:rsidDel="00000000" w:rsidP="00000000" w:rsidRDefault="00000000" w:rsidRPr="00000000" w14:paraId="0000009A">
      <w:pPr>
        <w:pBdr>
          <w:top w:space="0" w:sz="0" w:val="nil"/>
          <w:left w:space="0" w:sz="0" w:val="nil"/>
          <w:bottom w:space="0" w:sz="0" w:val="nil"/>
          <w:right w:space="0" w:sz="0" w:val="nil"/>
          <w:between w:space="0" w:sz="0" w:val="nil"/>
        </w:pBdr>
        <w:spacing w:after="180" w:before="180" w:lineRule="auto"/>
        <w:rPr>
          <w:color w:val="000000"/>
        </w:rPr>
      </w:pPr>
      <w:r w:rsidDel="00000000" w:rsidR="00000000" w:rsidRPr="00000000">
        <w:rPr>
          <w:color w:val="000000"/>
          <w:rtl w:val="0"/>
        </w:rPr>
        <w:t xml:space="preserve">Antes de construir la narrativa de negocio (sección 7), se realizó un análisis exploratorio para entender la calidad y forma de los datos:</w:t>
      </w:r>
    </w:p>
    <w:p w:rsidR="00000000" w:rsidDel="00000000" w:rsidP="00000000" w:rsidRDefault="00000000" w:rsidRPr="00000000" w14:paraId="0000009B">
      <w:pPr>
        <w:numPr>
          <w:ilvl w:val="0"/>
          <w:numId w:val="4"/>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b w:val="1"/>
          <w:bCs w:val="1"/>
          <w:color w:val="000000"/>
          <w:rtl w:val="0"/>
        </w:rPr>
        <w:t xml:space="preserve">Diagnóstico de nulos:</w:t>
      </w:r>
      <w:r w:rsidDel="00000000" w:rsidR="00000000" w:rsidRPr="00000000">
        <w:rPr>
          <w:color w:val="000000"/>
          <w:rtl w:val="0"/>
        </w:rPr>
        <w:t xml:space="preserve"> se calculó el % de nulos por columna del dataset crudo, lo que confirmó que </w:t>
      </w:r>
      <w:r w:rsidDel="00000000" w:rsidR="00000000" w:rsidRPr="00000000">
        <w:rPr>
          <w:rFonts w:ascii="Consolas" w:cs="Consolas" w:eastAsia="Consolas" w:hAnsi="Consolas"/>
          <w:color w:val="000000"/>
          <w:sz w:val="22"/>
          <w:szCs w:val="22"/>
          <w:rtl w:val="0"/>
        </w:rPr>
        <w:t xml:space="preserve">director</w:t>
      </w:r>
      <w:r w:rsidDel="00000000" w:rsidR="00000000" w:rsidRPr="00000000">
        <w:rPr>
          <w:color w:val="000000"/>
          <w:rtl w:val="0"/>
        </w:rPr>
        <w:t xml:space="preserve">, </w:t>
      </w:r>
      <w:r w:rsidDel="00000000" w:rsidR="00000000" w:rsidRPr="00000000">
        <w:rPr>
          <w:rFonts w:ascii="Consolas" w:cs="Consolas" w:eastAsia="Consolas" w:hAnsi="Consolas"/>
          <w:color w:val="000000"/>
          <w:sz w:val="22"/>
          <w:szCs w:val="22"/>
          <w:rtl w:val="0"/>
        </w:rPr>
        <w:t xml:space="preserve">cast</w:t>
      </w:r>
      <w:r w:rsidDel="00000000" w:rsidR="00000000" w:rsidRPr="00000000">
        <w:rPr>
          <w:color w:val="000000"/>
          <w:rtl w:val="0"/>
        </w:rPr>
        <w:t xml:space="preserve">, </w:t>
      </w:r>
      <w:r w:rsidDel="00000000" w:rsidR="00000000" w:rsidRPr="00000000">
        <w:rPr>
          <w:rFonts w:ascii="Consolas" w:cs="Consolas" w:eastAsia="Consolas" w:hAnsi="Consolas"/>
          <w:color w:val="000000"/>
          <w:sz w:val="22"/>
          <w:szCs w:val="22"/>
          <w:rtl w:val="0"/>
        </w:rPr>
        <w:t xml:space="preserve">country</w:t>
      </w:r>
      <w:r w:rsidDel="00000000" w:rsidR="00000000" w:rsidRPr="00000000">
        <w:rPr>
          <w:color w:val="000000"/>
          <w:rtl w:val="0"/>
        </w:rPr>
        <w:t xml:space="preserve"> y </w:t>
      </w:r>
      <w:r w:rsidDel="00000000" w:rsidR="00000000" w:rsidRPr="00000000">
        <w:rPr>
          <w:rFonts w:ascii="Consolas" w:cs="Consolas" w:eastAsia="Consolas" w:hAnsi="Consolas"/>
          <w:color w:val="000000"/>
          <w:sz w:val="22"/>
          <w:szCs w:val="22"/>
          <w:rtl w:val="0"/>
        </w:rPr>
        <w:t xml:space="preserve">genres</w:t>
      </w:r>
      <w:r w:rsidDel="00000000" w:rsidR="00000000" w:rsidRPr="00000000">
        <w:rPr>
          <w:color w:val="000000"/>
          <w:rtl w:val="0"/>
        </w:rPr>
        <w:t xml:space="preserve"> tenían nulos aislados (resueltos con “No especificado”), mientras que </w:t>
      </w:r>
      <w:r w:rsidDel="00000000" w:rsidR="00000000" w:rsidRPr="00000000">
        <w:rPr>
          <w:rFonts w:ascii="Consolas" w:cs="Consolas" w:eastAsia="Consolas" w:hAnsi="Consolas"/>
          <w:color w:val="000000"/>
          <w:sz w:val="22"/>
          <w:szCs w:val="22"/>
          <w:rtl w:val="0"/>
        </w:rPr>
        <w:t xml:space="preserve">budget</w:t>
      </w:r>
      <w:r w:rsidDel="00000000" w:rsidR="00000000" w:rsidRPr="00000000">
        <w:rPr>
          <w:color w:val="000000"/>
          <w:rtl w:val="0"/>
        </w:rPr>
        <w:t xml:space="preserve"> y </w:t>
      </w:r>
      <w:r w:rsidDel="00000000" w:rsidR="00000000" w:rsidRPr="00000000">
        <w:rPr>
          <w:rFonts w:ascii="Consolas" w:cs="Consolas" w:eastAsia="Consolas" w:hAnsi="Consolas"/>
          <w:color w:val="000000"/>
          <w:sz w:val="22"/>
          <w:szCs w:val="22"/>
          <w:rtl w:val="0"/>
        </w:rPr>
        <w:t xml:space="preserve">revenue</w:t>
      </w:r>
      <w:r w:rsidDel="00000000" w:rsidR="00000000" w:rsidRPr="00000000">
        <w:rPr>
          <w:color w:val="000000"/>
          <w:rtl w:val="0"/>
        </w:rPr>
        <w:t xml:space="preserve"> tenían un problema distinto: no eran nulos sino ceros — un patrón que solo se detecta explorando la distribución de valores, no solo el conteo de nulos.</w:t>
      </w:r>
    </w:p>
    <w:p w:rsidR="00000000" w:rsidDel="00000000" w:rsidP="00000000" w:rsidRDefault="00000000" w:rsidRPr="00000000" w14:paraId="0000009C">
      <w:pPr>
        <w:numPr>
          <w:ilvl w:val="0"/>
          <w:numId w:val="4"/>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b w:val="1"/>
          <w:bCs w:val="1"/>
          <w:color w:val="000000"/>
          <w:rtl w:val="0"/>
        </w:rPr>
        <w:t xml:space="preserve">Distribución de </w:t>
      </w:r>
      <w:r w:rsidDel="00000000" w:rsidR="00000000" w:rsidRPr="00000000">
        <w:rPr>
          <w:rFonts w:ascii="Consolas" w:cs="Consolas" w:eastAsia="Consolas" w:hAnsi="Consolas"/>
          <w:b w:val="1"/>
          <w:bCs w:val="1"/>
          <w:color w:val="000000"/>
          <w:sz w:val="22"/>
          <w:szCs w:val="22"/>
          <w:rtl w:val="0"/>
        </w:rPr>
        <w:t xml:space="preserve">popularity</w:t>
      </w:r>
      <w:r w:rsidDel="00000000" w:rsidR="00000000" w:rsidRPr="00000000">
        <w:rPr>
          <w:b w:val="1"/>
          <w:bCs w:val="1"/>
          <w:color w:val="000000"/>
          <w:rtl w:val="0"/>
        </w:rPr>
        <w:t xml:space="preserve"> y </w:t>
      </w:r>
      <w:r w:rsidDel="00000000" w:rsidR="00000000" w:rsidRPr="00000000">
        <w:rPr>
          <w:rFonts w:ascii="Consolas" w:cs="Consolas" w:eastAsia="Consolas" w:hAnsi="Consolas"/>
          <w:b w:val="1"/>
          <w:bCs w:val="1"/>
          <w:color w:val="000000"/>
          <w:sz w:val="22"/>
          <w:szCs w:val="22"/>
          <w:rtl w:val="0"/>
        </w:rPr>
        <w:t xml:space="preserve">vote_average</w:t>
      </w:r>
      <w:r w:rsidDel="00000000" w:rsidR="00000000" w:rsidRPr="00000000">
        <w:rPr>
          <w:b w:val="1"/>
          <w:bCs w:val="1"/>
          <w:color w:val="000000"/>
          <w:rtl w:val="0"/>
        </w:rPr>
        <w:t xml:space="preserve">:</w:t>
      </w:r>
      <w:r w:rsidDel="00000000" w:rsidR="00000000" w:rsidRPr="00000000">
        <w:rPr>
          <w:color w:val="000000"/>
          <w:rtl w:val="0"/>
        </w:rPr>
        <w:t xml:space="preserve"> se graficaron ambas variables de forma independiente antes de cruzarlas, confirmando que </w:t>
      </w:r>
      <w:r w:rsidDel="00000000" w:rsidR="00000000" w:rsidRPr="00000000">
        <w:rPr>
          <w:rFonts w:ascii="Consolas" w:cs="Consolas" w:eastAsia="Consolas" w:hAnsi="Consolas"/>
          <w:color w:val="000000"/>
          <w:sz w:val="22"/>
          <w:szCs w:val="22"/>
          <w:rtl w:val="0"/>
        </w:rPr>
        <w:t xml:space="preserve">vote_average</w:t>
      </w:r>
      <w:r w:rsidDel="00000000" w:rsidR="00000000" w:rsidRPr="00000000">
        <w:rPr>
          <w:color w:val="000000"/>
          <w:rtl w:val="0"/>
        </w:rPr>
        <w:t xml:space="preserve"> se concentra en el rango 5–7 (distribución razonablemente normal) mientras que </w:t>
      </w:r>
      <w:r w:rsidDel="00000000" w:rsidR="00000000" w:rsidRPr="00000000">
        <w:rPr>
          <w:rFonts w:ascii="Consolas" w:cs="Consolas" w:eastAsia="Consolas" w:hAnsi="Consolas"/>
          <w:color w:val="000000"/>
          <w:sz w:val="22"/>
          <w:szCs w:val="22"/>
          <w:rtl w:val="0"/>
        </w:rPr>
        <w:t xml:space="preserve">popularity</w:t>
      </w:r>
      <w:r w:rsidDel="00000000" w:rsidR="00000000" w:rsidRPr="00000000">
        <w:rPr>
          <w:color w:val="000000"/>
          <w:rtl w:val="0"/>
        </w:rPr>
        <w:t xml:space="preserve"> tiene una cola larga hacia la derecha (unos pocos títulos con valores extremos), lo que justificó usar escala logarítmica en los gráficos de dispersión de la sección 7.3.</w:t>
      </w:r>
    </w:p>
    <w:p w:rsidR="00000000" w:rsidDel="00000000" w:rsidP="00000000" w:rsidRDefault="00000000" w:rsidRPr="00000000" w14:paraId="0000009D">
      <w:pPr>
        <w:numPr>
          <w:ilvl w:val="0"/>
          <w:numId w:val="4"/>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b w:val="1"/>
          <w:bCs w:val="1"/>
          <w:color w:val="000000"/>
          <w:rtl w:val="0"/>
        </w:rPr>
        <w:t xml:space="preserve">Conteo por año:</w:t>
      </w:r>
      <w:r w:rsidDel="00000000" w:rsidR="00000000" w:rsidRPr="00000000">
        <w:rPr>
          <w:color w:val="000000"/>
          <w:rtl w:val="0"/>
        </w:rPr>
        <w:t xml:space="preserve"> se detectó que el dataset tiene exactamente 1.000 títulos por año (2010–2025) — un patrón artificial que se documenta como limitación (sección 9.2) porque impide analizar crecimiento real del catálogo.</w:t>
      </w:r>
    </w:p>
    <w:p w:rsidR="00000000" w:rsidDel="00000000" w:rsidP="00000000" w:rsidRDefault="00000000" w:rsidRPr="00000000" w14:paraId="0000009E">
      <w:pPr>
        <w:numPr>
          <w:ilvl w:val="0"/>
          <w:numId w:val="4"/>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b w:val="1"/>
          <w:bCs w:val="1"/>
          <w:color w:val="000000"/>
          <w:rtl w:val="0"/>
        </w:rPr>
        <w:t xml:space="preserve">Cobertura financiera:</w:t>
      </w:r>
      <w:r w:rsidDel="00000000" w:rsidR="00000000" w:rsidRPr="00000000">
        <w:rPr>
          <w:color w:val="000000"/>
          <w:rtl w:val="0"/>
        </w:rPr>
        <w:t xml:space="preserve"> el EDA reveló que solo el 22,1% de los títulos tiene </w:t>
      </w:r>
      <w:r w:rsidDel="00000000" w:rsidR="00000000" w:rsidRPr="00000000">
        <w:rPr>
          <w:rFonts w:ascii="Consolas" w:cs="Consolas" w:eastAsia="Consolas" w:hAnsi="Consolas"/>
          <w:color w:val="000000"/>
          <w:sz w:val="22"/>
          <w:szCs w:val="22"/>
          <w:rtl w:val="0"/>
        </w:rPr>
        <w:t xml:space="preserve">budget</w:t>
      </w:r>
      <w:r w:rsidDel="00000000" w:rsidR="00000000" w:rsidRPr="00000000">
        <w:rPr>
          <w:color w:val="000000"/>
          <w:rtl w:val="0"/>
        </w:rPr>
        <w:t xml:space="preserve"> y </w:t>
      </w:r>
      <w:r w:rsidDel="00000000" w:rsidR="00000000" w:rsidRPr="00000000">
        <w:rPr>
          <w:rFonts w:ascii="Consolas" w:cs="Consolas" w:eastAsia="Consolas" w:hAnsi="Consolas"/>
          <w:color w:val="000000"/>
          <w:sz w:val="22"/>
          <w:szCs w:val="22"/>
          <w:rtl w:val="0"/>
        </w:rPr>
        <w:t xml:space="preserve">revenue</w:t>
      </w:r>
      <w:r w:rsidDel="00000000" w:rsidR="00000000" w:rsidRPr="00000000">
        <w:rPr>
          <w:color w:val="000000"/>
          <w:rtl w:val="0"/>
        </w:rPr>
        <w:t xml:space="preserve"> distintos de cero, hallazgo que se convirtió en uno de los mensajes centrales del informe (sección 7.7).</w:t>
      </w:r>
    </w:p>
    <w:p w:rsidR="00000000" w:rsidDel="00000000" w:rsidP="00000000" w:rsidRDefault="00000000" w:rsidRPr="00000000" w14:paraId="0000009F">
      <w:pPr>
        <w:pBdr>
          <w:top w:space="0" w:sz="0" w:val="nil"/>
          <w:left w:space="0" w:sz="0" w:val="nil"/>
          <w:bottom w:space="0" w:sz="0" w:val="nil"/>
          <w:right w:space="0" w:sz="0" w:val="nil"/>
          <w:between w:space="0" w:sz="0" w:val="nil"/>
        </w:pBdr>
        <w:spacing w:after="180" w:before="180" w:lineRule="auto"/>
        <w:rPr>
          <w:color w:val="000000"/>
        </w:rPr>
      </w:pPr>
      <w:r w:rsidDel="00000000" w:rsidR="00000000" w:rsidRPr="00000000">
        <w:rPr>
          <w:color w:val="000000"/>
          <w:rtl w:val="0"/>
        </w:rPr>
        <w:t xml:space="preserve">Estos hallazgos exploratorios son la base sobre la que se construyeron las tablas agregadas y las visualizaciones de las secciones siguientes.</w:t>
      </w:r>
    </w:p>
    <w:bookmarkStart w:colFirst="0" w:colLast="0" w:name="wtsqek71484f" w:id="14"/>
    <w:bookmarkEnd w:id="14"/>
    <w:p w:rsidR="00000000" w:rsidDel="00000000" w:rsidP="00000000" w:rsidRDefault="00000000" w:rsidRPr="00000000" w14:paraId="000000A0">
      <w:pPr>
        <w:pStyle w:val="Heading1"/>
        <w:rPr/>
      </w:pPr>
      <w:bookmarkStart w:colFirst="0" w:colLast="0" w:name="_grx5g5nxjw69" w:id="15"/>
      <w:bookmarkEnd w:id="15"/>
      <w:r w:rsidDel="00000000" w:rsidR="00000000" w:rsidRPr="00000000">
        <w:rPr>
          <w:rtl w:val="0"/>
        </w:rPr>
        <w:t xml:space="preserve">6. Justificación de las Representaciones Gráficas</w:t>
      </w:r>
    </w:p>
    <w:p w:rsidR="00000000" w:rsidDel="00000000" w:rsidP="00000000" w:rsidRDefault="00000000" w:rsidRPr="00000000" w14:paraId="000000A1">
      <w:pPr>
        <w:pBdr>
          <w:top w:space="0" w:sz="0" w:val="nil"/>
          <w:left w:space="0" w:sz="0" w:val="nil"/>
          <w:bottom w:space="0" w:sz="0" w:val="nil"/>
          <w:right w:space="0" w:sz="0" w:val="nil"/>
          <w:between w:space="0" w:sz="0" w:val="nil"/>
        </w:pBdr>
        <w:spacing w:after="180" w:before="180" w:lineRule="auto"/>
        <w:rPr>
          <w:color w:val="000000"/>
        </w:rPr>
      </w:pPr>
      <w:r w:rsidDel="00000000" w:rsidR="00000000" w:rsidRPr="00000000">
        <w:rPr>
          <w:color w:val="000000"/>
          <w:rtl w:val="0"/>
        </w:rPr>
        <w:t xml:space="preserve">Cada visualización fue seleccionada por su idoneidad para el tipo de dato y el mensaje que se desea comunicar a una audiencia no técnica:</w:t>
      </w:r>
    </w:p>
    <w:tbl>
      <w:tblPr>
        <w:tblStyle w:val="Table6"/>
        <w:tblW w:w="9054.0" w:type="dxa"/>
        <w:jc w:val="left"/>
        <w:tblInd w:w="-108.0" w:type="dxa"/>
        <w:tblLayout w:type="fixed"/>
        <w:tblLook w:val="0020"/>
      </w:tblPr>
      <w:tblGrid>
        <w:gridCol w:w="1801"/>
        <w:gridCol w:w="1654"/>
        <w:gridCol w:w="3761"/>
        <w:gridCol w:w="1838"/>
        <w:tblGridChange w:id="0">
          <w:tblGrid>
            <w:gridCol w:w="1801"/>
            <w:gridCol w:w="1654"/>
            <w:gridCol w:w="3761"/>
            <w:gridCol w:w="1838"/>
          </w:tblGrid>
        </w:tblGridChange>
      </w:tblGrid>
      <w:tr>
        <w:trPr>
          <w:cantSplit w:val="0"/>
          <w:tblHeader w:val="1"/>
        </w:trPr>
        <w:tc>
          <w:tcPr/>
          <w:p w:rsidR="00000000" w:rsidDel="00000000" w:rsidP="00000000" w:rsidRDefault="00000000" w:rsidRPr="00000000" w14:paraId="000000A2">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Gráfico</w:t>
            </w:r>
          </w:p>
        </w:tc>
        <w:tc>
          <w:tcPr/>
          <w:p w:rsidR="00000000" w:rsidDel="00000000" w:rsidP="00000000" w:rsidRDefault="00000000" w:rsidRPr="00000000" w14:paraId="000000A3">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Tipo elegido</w:t>
            </w:r>
          </w:p>
        </w:tc>
        <w:tc>
          <w:tcPr/>
          <w:p w:rsidR="00000000" w:rsidDel="00000000" w:rsidP="00000000" w:rsidRDefault="00000000" w:rsidRPr="00000000" w14:paraId="000000A4">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Razón principal</w:t>
            </w:r>
          </w:p>
        </w:tc>
        <w:tc>
          <w:tcPr/>
          <w:p w:rsidR="00000000" w:rsidDel="00000000" w:rsidP="00000000" w:rsidRDefault="00000000" w:rsidRPr="00000000" w14:paraId="000000A5">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Alternativa descartada</w:t>
            </w:r>
          </w:p>
        </w:tc>
      </w:tr>
      <w:tr>
        <w:trPr>
          <w:cantSplit w:val="0"/>
          <w:tblHeader w:val="0"/>
        </w:trPr>
        <w:tc>
          <w:tcPr/>
          <w:p w:rsidR="00000000" w:rsidDel="00000000" w:rsidP="00000000" w:rsidRDefault="00000000" w:rsidRPr="00000000" w14:paraId="000000A6">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6.1 Popularidad por año</w:t>
            </w:r>
          </w:p>
        </w:tc>
        <w:tc>
          <w:tcPr/>
          <w:p w:rsidR="00000000" w:rsidDel="00000000" w:rsidP="00000000" w:rsidRDefault="00000000" w:rsidRPr="00000000" w14:paraId="000000A7">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Línea temporal</w:t>
            </w:r>
          </w:p>
        </w:tc>
        <w:tc>
          <w:tcPr/>
          <w:p w:rsidR="00000000" w:rsidDel="00000000" w:rsidP="00000000" w:rsidRDefault="00000000" w:rsidRPr="00000000" w14:paraId="000000A8">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Ideal para series continuas: muestra tendencia y quiebres de forma inmediata</w:t>
            </w:r>
          </w:p>
        </w:tc>
        <w:tc>
          <w:tcPr/>
          <w:p w:rsidR="00000000" w:rsidDel="00000000" w:rsidP="00000000" w:rsidRDefault="00000000" w:rsidRPr="00000000" w14:paraId="000000A9">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Barras por año: dificulta leer la tendencia general</w:t>
            </w:r>
          </w:p>
        </w:tc>
      </w:tr>
      <w:tr>
        <w:trPr>
          <w:cantSplit w:val="0"/>
          <w:tblHeader w:val="0"/>
        </w:trPr>
        <w:tc>
          <w:tcPr/>
          <w:p w:rsidR="00000000" w:rsidDel="00000000" w:rsidP="00000000" w:rsidRDefault="00000000" w:rsidRPr="00000000" w14:paraId="000000AA">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6.2 Top géneros (por densidad)</w:t>
            </w:r>
          </w:p>
        </w:tc>
        <w:tc>
          <w:tcPr/>
          <w:p w:rsidR="00000000" w:rsidDel="00000000" w:rsidP="00000000" w:rsidRDefault="00000000" w:rsidRPr="00000000" w14:paraId="000000AB">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Barras horizontales</w:t>
            </w:r>
          </w:p>
        </w:tc>
        <w:tc>
          <w:tcPr/>
          <w:p w:rsidR="00000000" w:rsidDel="00000000" w:rsidP="00000000" w:rsidRDefault="00000000" w:rsidRPr="00000000" w14:paraId="000000AC">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Comparación de categorías discretas; ordenadas por densidad (calificación/popularidad), no solo por volumen</w:t>
            </w:r>
          </w:p>
        </w:tc>
        <w:tc>
          <w:tcPr/>
          <w:p w:rsidR="00000000" w:rsidDel="00000000" w:rsidP="00000000" w:rsidRDefault="00000000" w:rsidRPr="00000000" w14:paraId="000000AD">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Barras verticales: etiquetas de género solapadas</w:t>
            </w:r>
          </w:p>
        </w:tc>
      </w:tr>
      <w:tr>
        <w:trPr>
          <w:cantSplit w:val="0"/>
          <w:tblHeader w:val="0"/>
        </w:trPr>
        <w:tc>
          <w:tcPr/>
          <w:p w:rsidR="00000000" w:rsidDel="00000000" w:rsidP="00000000" w:rsidRDefault="00000000" w:rsidRPr="00000000" w14:paraId="000000AE">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6.3 Popularidad vs. calificación</w:t>
            </w:r>
          </w:p>
        </w:tc>
        <w:tc>
          <w:tcPr/>
          <w:p w:rsidR="00000000" w:rsidDel="00000000" w:rsidP="00000000" w:rsidRDefault="00000000" w:rsidRPr="00000000" w14:paraId="000000AF">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Scatter + hexbin de densidad</w:t>
            </w:r>
          </w:p>
        </w:tc>
        <w:tc>
          <w:tcPr/>
          <w:p w:rsidR="00000000" w:rsidDel="00000000" w:rsidP="00000000" w:rsidRDefault="00000000" w:rsidRPr="00000000" w14:paraId="000000B0">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Panel izq: dispersión en escala log para ver outliers; panel der: hexbin revela concentración real de 16.000 títulos sin solapamiento</w:t>
            </w:r>
          </w:p>
        </w:tc>
        <w:tc>
          <w:tcPr/>
          <w:p w:rsidR="00000000" w:rsidDel="00000000" w:rsidP="00000000" w:rsidRDefault="00000000" w:rsidRPr="00000000" w14:paraId="000000B1">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Solo scatter: 16.000 puntos solapados ocultan la distribución real</w:t>
            </w:r>
          </w:p>
        </w:tc>
      </w:tr>
      <w:tr>
        <w:trPr>
          <w:cantSplit w:val="0"/>
          <w:tblHeader w:val="0"/>
        </w:trPr>
        <w:tc>
          <w:tcPr/>
          <w:p w:rsidR="00000000" w:rsidDel="00000000" w:rsidP="00000000" w:rsidRDefault="00000000" w:rsidRPr="00000000" w14:paraId="000000B2">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6.3b Directores por ingresos</w:t>
            </w:r>
          </w:p>
        </w:tc>
        <w:tc>
          <w:tcPr/>
          <w:p w:rsidR="00000000" w:rsidDel="00000000" w:rsidP="00000000" w:rsidRDefault="00000000" w:rsidRPr="00000000" w14:paraId="000000B3">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Barras horizontales</w:t>
            </w:r>
          </w:p>
        </w:tc>
        <w:tc>
          <w:tcPr/>
          <w:p w:rsidR="00000000" w:rsidDel="00000000" w:rsidP="00000000" w:rsidRDefault="00000000" w:rsidRPr="00000000" w14:paraId="000000B4">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Ranking por ingresos totales con % del repositorio; filtro mínimo 2 títulos evita destacar a alguien por un solo título atípico</w:t>
            </w:r>
          </w:p>
        </w:tc>
        <w:tc>
          <w:tcPr/>
          <w:p w:rsidR="00000000" w:rsidDel="00000000" w:rsidP="00000000" w:rsidRDefault="00000000" w:rsidRPr="00000000" w14:paraId="000000B5">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Promedio por director: favorece directores con un solo título atípico</w:t>
            </w:r>
          </w:p>
        </w:tc>
      </w:tr>
      <w:tr>
        <w:trPr>
          <w:cantSplit w:val="0"/>
          <w:tblHeader w:val="0"/>
        </w:trPr>
        <w:tc>
          <w:tcPr/>
          <w:p w:rsidR="00000000" w:rsidDel="00000000" w:rsidP="00000000" w:rsidRDefault="00000000" w:rsidRPr="00000000" w14:paraId="000000B6">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6.4 Calificación por género</w:t>
            </w:r>
          </w:p>
        </w:tc>
        <w:tc>
          <w:tcPr/>
          <w:p w:rsidR="00000000" w:rsidDel="00000000" w:rsidP="00000000" w:rsidRDefault="00000000" w:rsidRPr="00000000" w14:paraId="000000B7">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Boxplot</w:t>
            </w:r>
          </w:p>
        </w:tc>
        <w:tc>
          <w:tcPr/>
          <w:p w:rsidR="00000000" w:rsidDel="00000000" w:rsidP="00000000" w:rsidRDefault="00000000" w:rsidRPr="00000000" w14:paraId="000000B8">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Muestra distribución completa (mediana, rango, outliers sin IQR), no solo el promedio; relevante cuando la dispersión importa para decisiones de riesgo</w:t>
            </w:r>
          </w:p>
        </w:tc>
        <w:tc>
          <w:tcPr/>
          <w:p w:rsidR="00000000" w:rsidDel="00000000" w:rsidP="00000000" w:rsidRDefault="00000000" w:rsidRPr="00000000" w14:paraId="000000B9">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Barras de promedio: ocultan la variabilidad interna</w:t>
            </w:r>
          </w:p>
        </w:tc>
      </w:tr>
      <w:tr>
        <w:trPr>
          <w:cantSplit w:val="0"/>
          <w:tblHeader w:val="0"/>
        </w:trPr>
        <w:tc>
          <w:tcPr/>
          <w:p w:rsidR="00000000" w:rsidDel="00000000" w:rsidP="00000000" w:rsidRDefault="00000000" w:rsidRPr="00000000" w14:paraId="000000BA">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6.5 Top países</w:t>
            </w:r>
          </w:p>
        </w:tc>
        <w:tc>
          <w:tcPr/>
          <w:p w:rsidR="00000000" w:rsidDel="00000000" w:rsidP="00000000" w:rsidRDefault="00000000" w:rsidRPr="00000000" w14:paraId="000000BB">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Barras horizontales</w:t>
            </w:r>
          </w:p>
        </w:tc>
        <w:tc>
          <w:tcPr/>
          <w:p w:rsidR="00000000" w:rsidDel="00000000" w:rsidP="00000000" w:rsidRDefault="00000000" w:rsidRPr="00000000" w14:paraId="000000BC">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Misma lógica que 6.2: comparación de conteo entre categorías discretas con nombres largos</w:t>
            </w:r>
          </w:p>
        </w:tc>
        <w:tc>
          <w:tcPr/>
          <w:p w:rsidR="00000000" w:rsidDel="00000000" w:rsidP="00000000" w:rsidRDefault="00000000" w:rsidRPr="00000000" w14:paraId="000000BD">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Mapa geográfico: agrega complejidad visual sin información adicional</w:t>
            </w:r>
          </w:p>
        </w:tc>
      </w:tr>
      <w:tr>
        <w:trPr>
          <w:cantSplit w:val="0"/>
          <w:tblHeader w:val="0"/>
        </w:trPr>
        <w:tc>
          <w:tcPr/>
          <w:p w:rsidR="00000000" w:rsidDel="00000000" w:rsidP="00000000" w:rsidRDefault="00000000" w:rsidRPr="00000000" w14:paraId="000000BE">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6.6 Presupuesto vs. ingresos</w:t>
            </w:r>
          </w:p>
        </w:tc>
        <w:tc>
          <w:tcPr/>
          <w:p w:rsidR="00000000" w:rsidDel="00000000" w:rsidP="00000000" w:rsidRDefault="00000000" w:rsidRPr="00000000" w14:paraId="000000BF">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Scatter log-log con línea de referencia</w:t>
            </w:r>
          </w:p>
        </w:tc>
        <w:tc>
          <w:tcPr/>
          <w:p w:rsidR="00000000" w:rsidDel="00000000" w:rsidP="00000000" w:rsidRDefault="00000000" w:rsidRPr="00000000" w14:paraId="000000C0">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Escala logarítmica en ambos ejes permite ver todos los títulos sin que outliers extremos compriman el 95% de datos en una esquina</w:t>
            </w:r>
          </w:p>
        </w:tc>
        <w:tc>
          <w:tcPr/>
          <w:p w:rsidR="00000000" w:rsidDel="00000000" w:rsidP="00000000" w:rsidRDefault="00000000" w:rsidRPr="00000000" w14:paraId="000000C1">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Escala lineal: hace ilegible el gráfico por los outliers</w:t>
            </w:r>
          </w:p>
        </w:tc>
      </w:tr>
    </w:tbl>
    <w:bookmarkStart w:colFirst="0" w:colLast="0" w:name="os9hxagwq2r5" w:id="16"/>
    <w:bookmarkEnd w:id="16"/>
    <w:p w:rsidR="00000000" w:rsidDel="00000000" w:rsidP="00000000" w:rsidRDefault="00000000" w:rsidRPr="00000000" w14:paraId="000000C2">
      <w:pPr>
        <w:pStyle w:val="Heading1"/>
        <w:rPr/>
      </w:pPr>
      <w:bookmarkStart w:colFirst="0" w:colLast="0" w:name="_e22xaeuipo80" w:id="17"/>
      <w:bookmarkEnd w:id="17"/>
      <w:r w:rsidDel="00000000" w:rsidR="00000000" w:rsidRPr="00000000">
        <w:rPr>
          <w:rtl w:val="0"/>
        </w:rPr>
        <w:t xml:space="preserve">7. Narrativa Visual — Data Storytelling</w:t>
      </w:r>
    </w:p>
    <w:bookmarkStart w:colFirst="0" w:colLast="0" w:name="saig8qpzth14" w:id="18"/>
    <w:bookmarkEnd w:id="18"/>
    <w:p w:rsidR="00000000" w:rsidDel="00000000" w:rsidP="00000000" w:rsidRDefault="00000000" w:rsidRPr="00000000" w14:paraId="000000C3">
      <w:pPr>
        <w:pStyle w:val="Heading2"/>
        <w:rPr/>
      </w:pPr>
      <w:bookmarkStart w:colFirst="0" w:colLast="0" w:name="_b8rioihp49r7" w:id="19"/>
      <w:bookmarkEnd w:id="19"/>
      <w:r w:rsidDel="00000000" w:rsidR="00000000" w:rsidRPr="00000000">
        <w:rPr>
          <w:rtl w:val="0"/>
        </w:rPr>
        <w:t xml:space="preserve">7.0 KPIs Generales del Catálogo</w:t>
      </w:r>
    </w:p>
    <w:tbl>
      <w:tblPr>
        <w:tblStyle w:val="Table7"/>
        <w:tblW w:w="6738.0" w:type="dxa"/>
        <w:jc w:val="left"/>
        <w:tblInd w:w="-108.0" w:type="dxa"/>
        <w:tblLayout w:type="fixed"/>
        <w:tblLook w:val="0020"/>
      </w:tblPr>
      <w:tblGrid>
        <w:gridCol w:w="4280"/>
        <w:gridCol w:w="2458"/>
        <w:tblGridChange w:id="0">
          <w:tblGrid>
            <w:gridCol w:w="4280"/>
            <w:gridCol w:w="2458"/>
          </w:tblGrid>
        </w:tblGridChange>
      </w:tblGrid>
      <w:tr>
        <w:trPr>
          <w:cantSplit w:val="0"/>
          <w:tblHeader w:val="1"/>
        </w:trPr>
        <w:tc>
          <w:tcPr/>
          <w:p w:rsidR="00000000" w:rsidDel="00000000" w:rsidP="00000000" w:rsidRDefault="00000000" w:rsidRPr="00000000" w14:paraId="000000C4">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KPI</w:t>
            </w:r>
          </w:p>
        </w:tc>
        <w:tc>
          <w:tcPr/>
          <w:p w:rsidR="00000000" w:rsidDel="00000000" w:rsidP="00000000" w:rsidRDefault="00000000" w:rsidRPr="00000000" w14:paraId="000000C5">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Valor</w:t>
            </w:r>
          </w:p>
        </w:tc>
      </w:tr>
      <w:tr>
        <w:trPr>
          <w:cantSplit w:val="0"/>
          <w:tblHeader w:val="0"/>
        </w:trPr>
        <w:tc>
          <w:tcPr/>
          <w:p w:rsidR="00000000" w:rsidDel="00000000" w:rsidP="00000000" w:rsidRDefault="00000000" w:rsidRPr="00000000" w14:paraId="000000C6">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Total de títulos analizados</w:t>
            </w:r>
          </w:p>
        </w:tc>
        <w:tc>
          <w:tcPr/>
          <w:p w:rsidR="00000000" w:rsidDel="00000000" w:rsidP="00000000" w:rsidRDefault="00000000" w:rsidRPr="00000000" w14:paraId="000000C7">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16.000</w:t>
            </w:r>
          </w:p>
        </w:tc>
      </w:tr>
      <w:tr>
        <w:trPr>
          <w:cantSplit w:val="0"/>
          <w:tblHeader w:val="0"/>
        </w:trPr>
        <w:tc>
          <w:tcPr/>
          <w:p w:rsidR="00000000" w:rsidDel="00000000" w:rsidP="00000000" w:rsidRDefault="00000000" w:rsidRPr="00000000" w14:paraId="000000C8">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Popularidad promedio del catálogo</w:t>
            </w:r>
          </w:p>
        </w:tc>
        <w:tc>
          <w:tcPr/>
          <w:p w:rsidR="00000000" w:rsidDel="00000000" w:rsidP="00000000" w:rsidRDefault="00000000" w:rsidRPr="00000000" w14:paraId="000000C9">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20,38</w:t>
            </w:r>
          </w:p>
        </w:tc>
      </w:tr>
      <w:tr>
        <w:trPr>
          <w:cantSplit w:val="0"/>
          <w:tblHeader w:val="0"/>
        </w:trPr>
        <w:tc>
          <w:tcPr/>
          <w:p w:rsidR="00000000" w:rsidDel="00000000" w:rsidP="00000000" w:rsidRDefault="00000000" w:rsidRPr="00000000" w14:paraId="000000CA">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Calificación promedio del catálogo</w:t>
            </w:r>
          </w:p>
        </w:tc>
        <w:tc>
          <w:tcPr/>
          <w:p w:rsidR="00000000" w:rsidDel="00000000" w:rsidP="00000000" w:rsidRDefault="00000000" w:rsidRPr="00000000" w14:paraId="000000CB">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5,96 / 10</w:t>
            </w:r>
          </w:p>
        </w:tc>
      </w:tr>
      <w:tr>
        <w:trPr>
          <w:cantSplit w:val="0"/>
          <w:tblHeader w:val="0"/>
        </w:trPr>
        <w:tc>
          <w:tcPr/>
          <w:p w:rsidR="00000000" w:rsidDel="00000000" w:rsidP="00000000" w:rsidRDefault="00000000" w:rsidRPr="00000000" w14:paraId="000000CC">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Rango temporal cubierto</w:t>
            </w:r>
          </w:p>
        </w:tc>
        <w:tc>
          <w:tcPr/>
          <w:p w:rsidR="00000000" w:rsidDel="00000000" w:rsidP="00000000" w:rsidRDefault="00000000" w:rsidRPr="00000000" w14:paraId="000000CD">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2010 – 2025</w:t>
            </w:r>
          </w:p>
        </w:tc>
      </w:tr>
      <w:tr>
        <w:trPr>
          <w:cantSplit w:val="0"/>
          <w:tblHeader w:val="0"/>
        </w:trPr>
        <w:tc>
          <w:tcPr/>
          <w:p w:rsidR="00000000" w:rsidDel="00000000" w:rsidP="00000000" w:rsidRDefault="00000000" w:rsidRPr="00000000" w14:paraId="000000CE">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Títulos con datos financieros completos</w:t>
            </w:r>
          </w:p>
        </w:tc>
        <w:tc>
          <w:tcPr/>
          <w:p w:rsidR="00000000" w:rsidDel="00000000" w:rsidP="00000000" w:rsidRDefault="00000000" w:rsidRPr="00000000" w14:paraId="000000CF">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22,1 % (3.540 títulos)</w:t>
            </w:r>
          </w:p>
        </w:tc>
      </w:tr>
    </w:tbl>
    <w:bookmarkStart w:colFirst="0" w:colLast="0" w:name="j9etzl58it7l" w:id="20"/>
    <w:bookmarkEnd w:id="20"/>
    <w:p w:rsidR="00000000" w:rsidDel="00000000" w:rsidP="00000000" w:rsidRDefault="00000000" w:rsidRPr="00000000" w14:paraId="000000D0">
      <w:pPr>
        <w:pStyle w:val="Heading2"/>
        <w:rPr/>
      </w:pPr>
      <w:bookmarkStart w:colFirst="0" w:colLast="0" w:name="_u9l3i89rgg2z" w:id="21"/>
      <w:bookmarkEnd w:id="21"/>
      <w:r w:rsidDel="00000000" w:rsidR="00000000" w:rsidRPr="00000000">
        <w:rPr>
          <w:rtl w:val="0"/>
        </w:rPr>
        <w:t xml:space="preserve">7.1 La popularidad no ha crecido de forma lineal: hay un quiebre en 2021</w:t>
      </w:r>
    </w:p>
    <w:p w:rsidR="00000000" w:rsidDel="00000000" w:rsidP="00000000" w:rsidRDefault="00000000" w:rsidRPr="00000000" w14:paraId="000000D1">
      <w:pPr>
        <w:pBdr>
          <w:top w:space="0" w:sz="0" w:val="nil"/>
          <w:left w:space="0" w:sz="0" w:val="nil"/>
          <w:bottom w:space="0" w:sz="0" w:val="nil"/>
          <w:right w:space="0" w:sz="0" w:val="nil"/>
          <w:between w:space="0" w:sz="0" w:val="nil"/>
        </w:pBdr>
        <w:spacing w:after="180" w:before="180" w:lineRule="auto"/>
        <w:rPr>
          <w:color w:val="000000"/>
        </w:rPr>
      </w:pPr>
      <w:r w:rsidDel="00000000" w:rsidR="00000000" w:rsidRPr="00000000">
        <w:rPr>
          <w:color w:val="000000"/>
          <w:rtl w:val="0"/>
        </w:rPr>
        <w:t xml:space="preserve">El catálogo tiene exactamente 1.000 títulos por año en todos los períodos (dataset balanceado artificialmente), por lo que la cantidad de lanzamientos no aporta información de negocio. En cambio, la popularidad promedio sí varía significativamente:</w:t>
      </w:r>
    </w:p>
    <w:p w:rsidR="00000000" w:rsidDel="00000000" w:rsidP="00000000" w:rsidRDefault="00000000" w:rsidRPr="00000000" w14:paraId="000000D2">
      <w:pPr>
        <w:numPr>
          <w:ilvl w:val="0"/>
          <w:numId w:val="5"/>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color w:val="000000"/>
          <w:rtl w:val="0"/>
        </w:rPr>
        <w:t xml:space="preserve">Entre 2010 y 2020, la popularidad se mantiene estable entre 12 y 16 puntos.</w:t>
      </w:r>
    </w:p>
    <w:p w:rsidR="00000000" w:rsidDel="00000000" w:rsidP="00000000" w:rsidRDefault="00000000" w:rsidRPr="00000000" w14:paraId="000000D3">
      <w:pPr>
        <w:numPr>
          <w:ilvl w:val="0"/>
          <w:numId w:val="5"/>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color w:val="000000"/>
          <w:rtl w:val="0"/>
        </w:rPr>
        <w:t xml:space="preserve">A partir de 2021 comienza a crecer de forma acelerada.</w:t>
      </w:r>
    </w:p>
    <w:p w:rsidR="00000000" w:rsidDel="00000000" w:rsidP="00000000" w:rsidRDefault="00000000" w:rsidRPr="00000000" w14:paraId="000000D4">
      <w:pPr>
        <w:numPr>
          <w:ilvl w:val="0"/>
          <w:numId w:val="5"/>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color w:val="000000"/>
          <w:rtl w:val="0"/>
        </w:rPr>
        <w:t xml:space="preserve">Alcanza un pico de 74 puntos en 2024, más de 6 veces el promedio histórico.</w:t>
      </w:r>
    </w:p>
    <w:p w:rsidR="00000000" w:rsidDel="00000000" w:rsidP="00000000" w:rsidRDefault="00000000" w:rsidRPr="00000000" w14:paraId="000000D5">
      <w:pPr>
        <w:numPr>
          <w:ilvl w:val="0"/>
          <w:numId w:val="5"/>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color w:val="000000"/>
          <w:rtl w:val="0"/>
        </w:rPr>
        <w:t xml:space="preserve">En 2025 cae abruptamente a 33 puntos — efecto de truncamiento: los títulos más recientes todavía acumulan reproducciones e interacciones.</w:t>
      </w:r>
    </w:p>
    <w:p w:rsidR="00000000" w:rsidDel="00000000" w:rsidP="00000000" w:rsidRDefault="00000000" w:rsidRPr="00000000" w14:paraId="000000D6">
      <w:pPr>
        <w:pBdr>
          <w:top w:space="0" w:sz="0" w:val="nil"/>
          <w:left w:space="0" w:sz="0" w:val="nil"/>
          <w:bottom w:space="0" w:sz="0" w:val="nil"/>
          <w:right w:space="0" w:sz="0" w:val="nil"/>
          <w:between w:space="0" w:sz="0" w:val="nil"/>
        </w:pBdr>
        <w:spacing w:after="180" w:before="180" w:lineRule="auto"/>
        <w:rPr>
          <w:color w:val="000000"/>
        </w:rPr>
      </w:pPr>
      <w:r w:rsidDel="00000000" w:rsidR="00000000" w:rsidRPr="00000000">
        <w:rPr>
          <w:b w:val="1"/>
          <w:bCs w:val="1"/>
          <w:color w:val="000000"/>
          <w:rtl w:val="0"/>
        </w:rPr>
        <w:t xml:space="preserve">Lectura de negocio:</w:t>
      </w:r>
      <w:r w:rsidDel="00000000" w:rsidR="00000000" w:rsidRPr="00000000">
        <w:rPr>
          <w:color w:val="000000"/>
          <w:rtl w:val="0"/>
        </w:rPr>
        <w:t xml:space="preserve"> el contenido más reciente (2021–2024) concentra desproporcionadamente el engagement. StreamView debería priorizar la adquisición de contenido nuevo y monitorear si este efecto refleja hábitos reales de consumo o un sesgo en cómo se calcula la métrica </w:t>
      </w:r>
      <w:r w:rsidDel="00000000" w:rsidR="00000000" w:rsidRPr="00000000">
        <w:rPr>
          <w:rFonts w:ascii="Consolas" w:cs="Consolas" w:eastAsia="Consolas" w:hAnsi="Consolas"/>
          <w:color w:val="000000"/>
          <w:sz w:val="22"/>
          <w:szCs w:val="22"/>
          <w:rtl w:val="0"/>
        </w:rPr>
        <w:t xml:space="preserve">popularity</w:t>
      </w:r>
      <w:r w:rsidDel="00000000" w:rsidR="00000000" w:rsidRPr="00000000">
        <w:rPr>
          <w:color w:val="000000"/>
          <w:rtl w:val="0"/>
        </w:rPr>
        <w:t xml:space="preserve">.</w:t>
      </w:r>
    </w:p>
    <w:bookmarkStart w:colFirst="0" w:colLast="0" w:name="tzad6o4ny1qe" w:id="22"/>
    <w:bookmarkEnd w:id="22"/>
    <w:p w:rsidR="00000000" w:rsidDel="00000000" w:rsidP="00000000" w:rsidRDefault="00000000" w:rsidRPr="00000000" w14:paraId="000000D7">
      <w:pPr>
        <w:pStyle w:val="Heading2"/>
        <w:rPr/>
      </w:pPr>
      <w:bookmarkStart w:colFirst="0" w:colLast="0" w:name="_eu8v6kqcanvk" w:id="23"/>
      <w:bookmarkEnd w:id="23"/>
      <w:r w:rsidDel="00000000" w:rsidR="00000000" w:rsidRPr="00000000">
        <w:rPr>
          <w:rtl w:val="0"/>
        </w:rPr>
        <w:t xml:space="preserve">7.2 Drama domina el catálogo, pero hay tres perfiles de género distintos</w:t>
      </w:r>
    </w:p>
    <w:p w:rsidR="00000000" w:rsidDel="00000000" w:rsidP="00000000" w:rsidRDefault="00000000" w:rsidRPr="00000000" w14:paraId="000000D8">
      <w:pPr>
        <w:pBdr>
          <w:top w:space="0" w:sz="0" w:val="nil"/>
          <w:left w:space="0" w:sz="0" w:val="nil"/>
          <w:bottom w:space="0" w:sz="0" w:val="nil"/>
          <w:right w:space="0" w:sz="0" w:val="nil"/>
          <w:between w:space="0" w:sz="0" w:val="nil"/>
        </w:pBdr>
        <w:spacing w:after="180" w:before="180" w:lineRule="auto"/>
        <w:rPr>
          <w:color w:val="000000"/>
        </w:rPr>
      </w:pPr>
      <w:r w:rsidDel="00000000" w:rsidR="00000000" w:rsidRPr="00000000">
        <w:rPr>
          <w:color w:val="000000"/>
          <w:rtl w:val="0"/>
        </w:rPr>
        <w:t xml:space="preserve">El catálogo no tiene un solo género dominante en todas las dimensiones: Drama lidera en volumen, pero Adventure y Action lideran en popularidad, y Animation lidera en calificación. Se identifican tres perfiles:</w:t>
      </w:r>
    </w:p>
    <w:tbl>
      <w:tblPr>
        <w:tblStyle w:val="Table8"/>
        <w:tblW w:w="9054.0" w:type="dxa"/>
        <w:jc w:val="left"/>
        <w:tblInd w:w="-108.0" w:type="dxa"/>
        <w:tblLayout w:type="fixed"/>
        <w:tblLook w:val="0020"/>
      </w:tblPr>
      <w:tblGrid>
        <w:gridCol w:w="2126"/>
        <w:gridCol w:w="3827"/>
        <w:gridCol w:w="3101"/>
        <w:tblGridChange w:id="0">
          <w:tblGrid>
            <w:gridCol w:w="2126"/>
            <w:gridCol w:w="3827"/>
            <w:gridCol w:w="3101"/>
          </w:tblGrid>
        </w:tblGridChange>
      </w:tblGrid>
      <w:tr>
        <w:trPr>
          <w:cantSplit w:val="0"/>
          <w:tblHeader w:val="1"/>
        </w:trPr>
        <w:tc>
          <w:tcPr/>
          <w:p w:rsidR="00000000" w:rsidDel="00000000" w:rsidP="00000000" w:rsidRDefault="00000000" w:rsidRPr="00000000" w14:paraId="000000D9">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Perfil</w:t>
            </w:r>
          </w:p>
        </w:tc>
        <w:tc>
          <w:tcPr/>
          <w:p w:rsidR="00000000" w:rsidDel="00000000" w:rsidP="00000000" w:rsidRDefault="00000000" w:rsidRPr="00000000" w14:paraId="000000DA">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Géneros destacados</w:t>
            </w:r>
          </w:p>
        </w:tc>
        <w:tc>
          <w:tcPr/>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Fortaleza</w:t>
            </w:r>
          </w:p>
        </w:tc>
      </w:tr>
      <w:tr>
        <w:trPr>
          <w:cantSplit w:val="0"/>
          <w:tblHeader w:val="0"/>
        </w:trPr>
        <w:tc>
          <w:tcPr/>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Engagement alto</w:t>
            </w:r>
          </w:p>
        </w:tc>
        <w:tc>
          <w:tcPr/>
          <w:p w:rsidR="00000000" w:rsidDel="00000000" w:rsidP="00000000" w:rsidRDefault="00000000" w:rsidRPr="00000000" w14:paraId="000000DD">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Adventure (35,5), Sci-Fi (34,3), Action (32,2)</w:t>
            </w:r>
          </w:p>
        </w:tc>
        <w:tc>
          <w:tcPr/>
          <w:p w:rsidR="00000000" w:rsidDel="00000000" w:rsidP="00000000" w:rsidRDefault="00000000" w:rsidRPr="00000000" w14:paraId="000000DE">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Alta popularidad, calificación media</w:t>
            </w:r>
          </w:p>
        </w:tc>
      </w:tr>
      <w:tr>
        <w:trPr>
          <w:cantSplit w:val="0"/>
          <w:tblHeader w:val="0"/>
        </w:trPr>
        <w:tc>
          <w:tcPr/>
          <w:p w:rsidR="00000000" w:rsidDel="00000000" w:rsidP="00000000" w:rsidRDefault="00000000" w:rsidRPr="00000000" w14:paraId="000000DF">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Calidad percibida alta</w:t>
            </w:r>
          </w:p>
        </w:tc>
        <w:tc>
          <w:tcPr/>
          <w:p w:rsidR="00000000" w:rsidDel="00000000" w:rsidP="00000000" w:rsidRDefault="00000000" w:rsidRPr="00000000" w14:paraId="000000E0">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Animation (6,74), Family (6,47), Fantasy (6,30)</w:t>
            </w:r>
          </w:p>
        </w:tc>
        <w:tc>
          <w:tcPr/>
          <w:p w:rsidR="00000000" w:rsidDel="00000000" w:rsidP="00000000" w:rsidRDefault="00000000" w:rsidRPr="00000000" w14:paraId="000000E1">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Mejor calificación del catálogo</w:t>
            </w:r>
          </w:p>
        </w:tc>
      </w:tr>
      <w:tr>
        <w:trPr>
          <w:cantSplit w:val="0"/>
          <w:tblHeader w:val="0"/>
        </w:trPr>
        <w:tc>
          <w:tcPr/>
          <w:p w:rsidR="00000000" w:rsidDel="00000000" w:rsidP="00000000" w:rsidRDefault="00000000" w:rsidRPr="00000000" w14:paraId="000000E2">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Equilibrio</w:t>
            </w:r>
          </w:p>
        </w:tc>
        <w:tc>
          <w:tcPr/>
          <w:p w:rsidR="00000000" w:rsidDel="00000000" w:rsidP="00000000" w:rsidRDefault="00000000" w:rsidRPr="00000000" w14:paraId="000000E3">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Crime (6,18), Drama (6,16), Adventure (6,30)</w:t>
            </w:r>
          </w:p>
        </w:tc>
        <w:tc>
          <w:tcPr/>
          <w:p w:rsidR="00000000" w:rsidDel="00000000" w:rsidP="00000000" w:rsidRDefault="00000000" w:rsidRPr="00000000" w14:paraId="000000E4">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Aceptables en ambas dimensiones</w:t>
            </w:r>
          </w:p>
        </w:tc>
      </w:tr>
    </w:tbl>
    <w:p w:rsidR="00000000" w:rsidDel="00000000" w:rsidP="00000000" w:rsidRDefault="00000000" w:rsidRPr="00000000" w14:paraId="000000E5">
      <w:pPr>
        <w:pBdr>
          <w:top w:space="0" w:sz="0" w:val="nil"/>
          <w:left w:space="0" w:sz="0" w:val="nil"/>
          <w:bottom w:space="0" w:sz="0" w:val="nil"/>
          <w:right w:space="0" w:sz="0" w:val="nil"/>
          <w:between w:space="0" w:sz="0" w:val="nil"/>
        </w:pBdr>
        <w:spacing w:after="180" w:before="180" w:lineRule="auto"/>
        <w:rPr>
          <w:color w:val="000000"/>
        </w:rPr>
      </w:pPr>
      <w:r w:rsidDel="00000000" w:rsidR="00000000" w:rsidRPr="00000000">
        <w:rPr>
          <w:b w:val="1"/>
          <w:bCs w:val="1"/>
          <w:color w:val="000000"/>
          <w:rtl w:val="0"/>
        </w:rPr>
        <w:t xml:space="preserve">Lectura de negocio:</w:t>
      </w:r>
      <w:r w:rsidDel="00000000" w:rsidR="00000000" w:rsidRPr="00000000">
        <w:rPr>
          <w:color w:val="000000"/>
          <w:rtl w:val="0"/>
        </w:rPr>
        <w:t xml:space="preserve"> la decisión de adquisición depende del objetivo. Si la meta es maximizar engagement: priorizar Adventure y Action. Si la meta es mejorar la calificación promedio del catálogo: invertir en Animation, que combina la calificación más alta de todos los géneros (6,74) con popularidad razonable (28,6). Drama, a pesar de dominar en volumen, no lidera en ninguna de las dos dimensiones.</w:t>
      </w:r>
    </w:p>
    <w:bookmarkStart w:colFirst="0" w:colLast="0" w:name="xwz92bxkmru0" w:id="24"/>
    <w:bookmarkEnd w:id="24"/>
    <w:p w:rsidR="00000000" w:rsidDel="00000000" w:rsidP="00000000" w:rsidRDefault="00000000" w:rsidRPr="00000000" w14:paraId="000000E6">
      <w:pPr>
        <w:pStyle w:val="Heading2"/>
        <w:rPr/>
      </w:pPr>
      <w:bookmarkStart w:colFirst="0" w:colLast="0" w:name="_lmrr985ijeey" w:id="25"/>
      <w:bookmarkEnd w:id="25"/>
      <w:r w:rsidDel="00000000" w:rsidR="00000000" w:rsidRPr="00000000">
        <w:rPr>
          <w:rtl w:val="0"/>
        </w:rPr>
        <w:t xml:space="preserve">7.3 Popularidad y calificación son señales independientes — no confundirlas</w:t>
      </w:r>
    </w:p>
    <w:p w:rsidR="00000000" w:rsidDel="00000000" w:rsidP="00000000" w:rsidRDefault="00000000" w:rsidRPr="00000000" w14:paraId="000000E7">
      <w:pPr>
        <w:pBdr>
          <w:top w:space="0" w:sz="0" w:val="nil"/>
          <w:left w:space="0" w:sz="0" w:val="nil"/>
          <w:bottom w:space="0" w:sz="0" w:val="nil"/>
          <w:right w:space="0" w:sz="0" w:val="nil"/>
          <w:between w:space="0" w:sz="0" w:val="nil"/>
        </w:pBdr>
        <w:spacing w:after="180" w:before="180" w:lineRule="auto"/>
        <w:rPr>
          <w:color w:val="000000"/>
        </w:rPr>
      </w:pPr>
      <w:r w:rsidDel="00000000" w:rsidR="00000000" w:rsidRPr="00000000">
        <w:rPr>
          <w:color w:val="000000"/>
          <w:rtl w:val="0"/>
        </w:rPr>
        <w:t xml:space="preserve">La correlación entre </w:t>
      </w:r>
      <w:r w:rsidDel="00000000" w:rsidR="00000000" w:rsidRPr="00000000">
        <w:rPr>
          <w:rFonts w:ascii="Consolas" w:cs="Consolas" w:eastAsia="Consolas" w:hAnsi="Consolas"/>
          <w:color w:val="000000"/>
          <w:sz w:val="22"/>
          <w:szCs w:val="22"/>
          <w:rtl w:val="0"/>
        </w:rPr>
        <w:t xml:space="preserve">popularity</w:t>
      </w:r>
      <w:r w:rsidDel="00000000" w:rsidR="00000000" w:rsidRPr="00000000">
        <w:rPr>
          <w:color w:val="000000"/>
          <w:rtl w:val="0"/>
        </w:rPr>
        <w:t xml:space="preserve"> y </w:t>
      </w:r>
      <w:r w:rsidDel="00000000" w:rsidR="00000000" w:rsidRPr="00000000">
        <w:rPr>
          <w:rFonts w:ascii="Consolas" w:cs="Consolas" w:eastAsia="Consolas" w:hAnsi="Consolas"/>
          <w:color w:val="000000"/>
          <w:sz w:val="22"/>
          <w:szCs w:val="22"/>
          <w:rtl w:val="0"/>
        </w:rPr>
        <w:t xml:space="preserve">vote_average</w:t>
      </w:r>
      <w:r w:rsidDel="00000000" w:rsidR="00000000" w:rsidRPr="00000000">
        <w:rPr>
          <w:color w:val="000000"/>
          <w:rtl w:val="0"/>
        </w:rPr>
        <w:t xml:space="preserve"> es de apenas 0,071, prácticamente nula. El gráfico tiene dos paneles complementarios:</w:t>
      </w:r>
    </w:p>
    <w:p w:rsidR="00000000" w:rsidDel="00000000" w:rsidP="00000000" w:rsidRDefault="00000000" w:rsidRPr="00000000" w14:paraId="000000E8">
      <w:pPr>
        <w:numPr>
          <w:ilvl w:val="0"/>
          <w:numId w:val="6"/>
        </w:numPr>
        <w:pBdr>
          <w:top w:space="0" w:sz="0" w:val="nil"/>
          <w:left w:space="0" w:sz="0" w:val="nil"/>
          <w:bottom w:space="0" w:sz="0" w:val="nil"/>
          <w:right w:space="0" w:sz="0" w:val="nil"/>
          <w:between w:space="0" w:sz="0" w:val="nil"/>
        </w:pBdr>
        <w:spacing w:after="36" w:before="36" w:lineRule="auto"/>
        <w:ind w:left="720" w:hanging="480"/>
        <w:rPr/>
      </w:pPr>
      <w:r w:rsidDel="00000000" w:rsidR="00000000" w:rsidRPr="00000000">
        <w:rPr>
          <w:b w:val="1"/>
          <w:bCs w:val="1"/>
          <w:color w:val="000000"/>
          <w:rtl w:val="0"/>
        </w:rPr>
        <w:t xml:space="preserve">Panel izquierdo (scatter en escala log):</w:t>
      </w:r>
      <w:r w:rsidDel="00000000" w:rsidR="00000000" w:rsidRPr="00000000">
        <w:rPr>
          <w:color w:val="000000"/>
          <w:rtl w:val="0"/>
        </w:rPr>
        <w:t xml:space="preserve"> los 16.000 títulos individualmente. La nube no tiene forma diagonal: no hay tendencia.</w:t>
      </w:r>
      <w:r w:rsidDel="00000000" w:rsidR="00000000" w:rsidRPr="00000000">
        <w:rPr>
          <w:rtl w:val="0"/>
        </w:rPr>
      </w:r>
    </w:p>
    <w:p w:rsidR="00000000" w:rsidDel="00000000" w:rsidP="00000000" w:rsidRDefault="00000000" w:rsidRPr="00000000" w14:paraId="000000E9">
      <w:pPr>
        <w:numPr>
          <w:ilvl w:val="0"/>
          <w:numId w:val="6"/>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b w:val="1"/>
          <w:bCs w:val="1"/>
          <w:color w:val="000000"/>
          <w:rtl w:val="0"/>
        </w:rPr>
        <w:t xml:space="preserve">Panel derecho (hexbin de densidad):</w:t>
      </w:r>
      <w:r w:rsidDel="00000000" w:rsidR="00000000" w:rsidRPr="00000000">
        <w:rPr>
          <w:color w:val="000000"/>
          <w:rtl w:val="0"/>
        </w:rPr>
        <w:t xml:space="preserve"> agrupa los puntos en hexágonos para revelar dónde se concentra realmente el catálogo. El núcleo de mayor densidad está en calificación 5–8 y popularidad 5–15 — no en los extremos.</w:t>
      </w:r>
    </w:p>
    <w:p w:rsidR="00000000" w:rsidDel="00000000" w:rsidP="00000000" w:rsidRDefault="00000000" w:rsidRPr="00000000" w14:paraId="000000EA">
      <w:pPr>
        <w:pBdr>
          <w:top w:space="0" w:sz="0" w:val="nil"/>
          <w:left w:space="0" w:sz="0" w:val="nil"/>
          <w:bottom w:space="0" w:sz="0" w:val="nil"/>
          <w:right w:space="0" w:sz="0" w:val="nil"/>
          <w:between w:space="0" w:sz="0" w:val="nil"/>
        </w:pBdr>
        <w:spacing w:after="180" w:before="180" w:lineRule="auto"/>
        <w:rPr>
          <w:color w:val="000000"/>
        </w:rPr>
      </w:pPr>
      <w:r w:rsidDel="00000000" w:rsidR="00000000" w:rsidRPr="00000000">
        <w:rPr>
          <w:b w:val="1"/>
          <w:bCs w:val="1"/>
          <w:color w:val="000000"/>
          <w:rtl w:val="0"/>
        </w:rPr>
        <w:t xml:space="preserve">Lectura de negocio:</w:t>
      </w:r>
      <w:r w:rsidDel="00000000" w:rsidR="00000000" w:rsidRPr="00000000">
        <w:rPr>
          <w:color w:val="000000"/>
          <w:rtl w:val="0"/>
        </w:rPr>
        <w:t xml:space="preserve"> StreamView no debe usar una sola métrica como indicador de “buen contenido”. Las decisiones de adquisición deben evaluar ambas dimensiones por separado según el objetivo: ¿se busca engagement (popularidad) o retención por satisfacción (calificación)?</w:t>
      </w:r>
    </w:p>
    <w:bookmarkStart w:colFirst="0" w:colLast="0" w:name="25egs5b750j" w:id="26"/>
    <w:bookmarkEnd w:id="26"/>
    <w:p w:rsidR="00000000" w:rsidDel="00000000" w:rsidP="00000000" w:rsidRDefault="00000000" w:rsidRPr="00000000" w14:paraId="000000EB">
      <w:pPr>
        <w:pStyle w:val="Heading2"/>
        <w:rPr/>
      </w:pPr>
      <w:bookmarkStart w:colFirst="0" w:colLast="0" w:name="_m4qywjvl6yv7" w:id="27"/>
      <w:bookmarkEnd w:id="27"/>
      <w:r w:rsidDel="00000000" w:rsidR="00000000" w:rsidRPr="00000000">
        <w:rPr>
          <w:rtl w:val="0"/>
        </w:rPr>
        <w:t xml:space="preserve">7.4 Los directores con mayor retorno de ingresos para StreamView</w:t>
      </w:r>
    </w:p>
    <w:p w:rsidR="00000000" w:rsidDel="00000000" w:rsidP="00000000" w:rsidRDefault="00000000" w:rsidRPr="00000000" w14:paraId="000000EC">
      <w:pPr>
        <w:pBdr>
          <w:top w:space="0" w:sz="0" w:val="nil"/>
          <w:left w:space="0" w:sz="0" w:val="nil"/>
          <w:bottom w:space="0" w:sz="0" w:val="nil"/>
          <w:right w:space="0" w:sz="0" w:val="nil"/>
          <w:between w:space="0" w:sz="0" w:val="nil"/>
        </w:pBdr>
        <w:spacing w:after="180" w:before="180" w:lineRule="auto"/>
        <w:rPr>
          <w:color w:val="000000"/>
        </w:rPr>
      </w:pPr>
      <w:r w:rsidDel="00000000" w:rsidR="00000000" w:rsidRPr="00000000">
        <w:rPr>
          <w:color w:val="000000"/>
          <w:rtl w:val="0"/>
        </w:rPr>
        <w:t xml:space="preserve">Sobre los 3.540 títulos con datos financieros completos, se identifican los directores con mayor ingreso total acumulado (mínimo 2 títulos con datos financieros para evitar destacar un solo título atípico):</w:t>
      </w:r>
    </w:p>
    <w:tbl>
      <w:tblPr>
        <w:tblStyle w:val="Table9"/>
        <w:tblW w:w="9054.0" w:type="dxa"/>
        <w:jc w:val="left"/>
        <w:tblInd w:w="-108.0" w:type="dxa"/>
        <w:tblLayout w:type="fixed"/>
        <w:tblLook w:val="0020"/>
      </w:tblPr>
      <w:tblGrid>
        <w:gridCol w:w="2861"/>
        <w:gridCol w:w="935"/>
        <w:gridCol w:w="1788"/>
        <w:gridCol w:w="1954"/>
        <w:gridCol w:w="1516"/>
        <w:tblGridChange w:id="0">
          <w:tblGrid>
            <w:gridCol w:w="2861"/>
            <w:gridCol w:w="935"/>
            <w:gridCol w:w="1788"/>
            <w:gridCol w:w="1954"/>
            <w:gridCol w:w="1516"/>
          </w:tblGrid>
        </w:tblGridChange>
      </w:tblGrid>
      <w:tr>
        <w:trPr>
          <w:cantSplit w:val="0"/>
          <w:tblHeader w:val="1"/>
        </w:trPr>
        <w:tc>
          <w:tcPr/>
          <w:p w:rsidR="00000000" w:rsidDel="00000000" w:rsidP="00000000" w:rsidRDefault="00000000" w:rsidRPr="00000000" w14:paraId="000000ED">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Director</w:t>
            </w:r>
          </w:p>
        </w:tc>
        <w:tc>
          <w:tcPr/>
          <w:p w:rsidR="00000000" w:rsidDel="00000000" w:rsidP="00000000" w:rsidRDefault="00000000" w:rsidRPr="00000000" w14:paraId="000000EE">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Títulos</w:t>
            </w:r>
          </w:p>
        </w:tc>
        <w:tc>
          <w:tcPr/>
          <w:p w:rsidR="00000000" w:rsidDel="00000000" w:rsidP="00000000" w:rsidRDefault="00000000" w:rsidRPr="00000000" w14:paraId="000000EF">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Ingresos totales</w:t>
            </w:r>
          </w:p>
        </w:tc>
        <w:tc>
          <w:tcPr/>
          <w:p w:rsidR="00000000" w:rsidDel="00000000" w:rsidP="00000000" w:rsidRDefault="00000000" w:rsidRPr="00000000" w14:paraId="000000F0">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 del repositorio</w:t>
            </w:r>
          </w:p>
        </w:tc>
        <w:tc>
          <w:tcPr/>
          <w:p w:rsidR="00000000" w:rsidDel="00000000" w:rsidP="00000000" w:rsidRDefault="00000000" w:rsidRPr="00000000" w14:paraId="000000F1">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ROI mediano</w:t>
            </w:r>
          </w:p>
        </w:tc>
      </w:tr>
      <w:tr>
        <w:trPr>
          <w:cantSplit w:val="0"/>
          <w:tblHeader w:val="0"/>
        </w:trPr>
        <w:tc>
          <w:tcPr/>
          <w:p w:rsidR="00000000" w:rsidDel="00000000" w:rsidP="00000000" w:rsidRDefault="00000000" w:rsidRPr="00000000" w14:paraId="000000F2">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Anthony Russo / Joe Russo</w:t>
            </w:r>
          </w:p>
        </w:tc>
        <w:tc>
          <w:tcPr/>
          <w:p w:rsidR="00000000" w:rsidDel="00000000" w:rsidP="00000000" w:rsidRDefault="00000000" w:rsidRPr="00000000" w14:paraId="000000F3">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5</w:t>
            </w:r>
          </w:p>
        </w:tc>
        <w:tc>
          <w:tcPr/>
          <w:p w:rsidR="00000000" w:rsidDel="00000000" w:rsidP="00000000" w:rsidRDefault="00000000" w:rsidRPr="00000000" w14:paraId="000000F4">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$6,72B</w:t>
            </w:r>
          </w:p>
        </w:tc>
        <w:tc>
          <w:tcPr/>
          <w:p w:rsidR="00000000" w:rsidDel="00000000" w:rsidP="00000000" w:rsidRDefault="00000000" w:rsidRPr="00000000" w14:paraId="000000F5">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1,83%</w:t>
            </w:r>
          </w:p>
        </w:tc>
        <w:tc>
          <w:tcPr/>
          <w:p w:rsidR="00000000" w:rsidDel="00000000" w:rsidP="00000000" w:rsidRDefault="00000000" w:rsidRPr="00000000" w14:paraId="000000F6">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4,62×</w:t>
            </w:r>
          </w:p>
        </w:tc>
      </w:tr>
      <w:tr>
        <w:trPr>
          <w:cantSplit w:val="0"/>
          <w:tblHeader w:val="0"/>
        </w:trPr>
        <w:tc>
          <w:tcPr/>
          <w:p w:rsidR="00000000" w:rsidDel="00000000" w:rsidP="00000000" w:rsidRDefault="00000000" w:rsidRPr="00000000" w14:paraId="000000F7">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David Yates</w:t>
            </w:r>
          </w:p>
        </w:tc>
        <w:tc>
          <w:tcPr/>
          <w:p w:rsidR="00000000" w:rsidDel="00000000" w:rsidP="00000000" w:rsidRDefault="00000000" w:rsidRPr="00000000" w14:paraId="000000F8">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6</w:t>
            </w:r>
          </w:p>
        </w:tc>
        <w:tc>
          <w:tcPr/>
          <w:p w:rsidR="00000000" w:rsidDel="00000000" w:rsidP="00000000" w:rsidRDefault="00000000" w:rsidRPr="00000000" w14:paraId="000000F9">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$4,52B</w:t>
            </w:r>
          </w:p>
        </w:tc>
        <w:tc>
          <w:tcPr/>
          <w:p w:rsidR="00000000" w:rsidDel="00000000" w:rsidP="00000000" w:rsidRDefault="00000000" w:rsidRPr="00000000" w14:paraId="000000FA">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1,23%</w:t>
            </w:r>
          </w:p>
        </w:tc>
        <w:tc>
          <w:tcPr/>
          <w:p w:rsidR="00000000" w:rsidDel="00000000" w:rsidP="00000000" w:rsidRDefault="00000000" w:rsidRPr="00000000" w14:paraId="000000FB">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3,55×</w:t>
            </w:r>
          </w:p>
        </w:tc>
      </w:tr>
      <w:tr>
        <w:trPr>
          <w:cantSplit w:val="0"/>
          <w:tblHeader w:val="0"/>
        </w:trPr>
        <w:tc>
          <w:tcPr/>
          <w:p w:rsidR="00000000" w:rsidDel="00000000" w:rsidP="00000000" w:rsidRDefault="00000000" w:rsidRPr="00000000" w14:paraId="000000FC">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Christopher Nolan</w:t>
            </w:r>
          </w:p>
        </w:tc>
        <w:tc>
          <w:tcPr/>
          <w:p w:rsidR="00000000" w:rsidDel="00000000" w:rsidP="00000000" w:rsidRDefault="00000000" w:rsidRPr="00000000" w14:paraId="000000FD">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6</w:t>
            </w:r>
          </w:p>
        </w:tc>
        <w:tc>
          <w:tcPr/>
          <w:p w:rsidR="00000000" w:rsidDel="00000000" w:rsidP="00000000" w:rsidRDefault="00000000" w:rsidRPr="00000000" w14:paraId="000000FE">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$4,51B</w:t>
            </w:r>
          </w:p>
        </w:tc>
        <w:tc>
          <w:tcPr/>
          <w:p w:rsidR="00000000" w:rsidDel="00000000" w:rsidP="00000000" w:rsidRDefault="00000000" w:rsidRPr="00000000" w14:paraId="000000FF">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1,23%</w:t>
            </w:r>
          </w:p>
        </w:tc>
        <w:tc>
          <w:tcPr/>
          <w:p w:rsidR="00000000" w:rsidDel="00000000" w:rsidP="00000000" w:rsidRDefault="00000000" w:rsidRPr="00000000" w14:paraId="00000100">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4,42×</w:t>
            </w:r>
          </w:p>
        </w:tc>
      </w:tr>
      <w:tr>
        <w:trPr>
          <w:cantSplit w:val="0"/>
          <w:tblHeader w:val="0"/>
        </w:trPr>
        <w:tc>
          <w:tcPr/>
          <w:p w:rsidR="00000000" w:rsidDel="00000000" w:rsidP="00000000" w:rsidRDefault="00000000" w:rsidRPr="00000000" w14:paraId="00000101">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Chris Renaud</w:t>
            </w:r>
          </w:p>
        </w:tc>
        <w:tc>
          <w:tcPr/>
          <w:p w:rsidR="00000000" w:rsidDel="00000000" w:rsidP="00000000" w:rsidRDefault="00000000" w:rsidRPr="00000000" w14:paraId="00000102">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6</w:t>
            </w:r>
          </w:p>
        </w:tc>
        <w:tc>
          <w:tcPr/>
          <w:p w:rsidR="00000000" w:rsidDel="00000000" w:rsidP="00000000" w:rsidRDefault="00000000" w:rsidRPr="00000000" w14:paraId="00000103">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$4,14B</w:t>
            </w:r>
          </w:p>
        </w:tc>
        <w:tc>
          <w:tcPr/>
          <w:p w:rsidR="00000000" w:rsidDel="00000000" w:rsidP="00000000" w:rsidRDefault="00000000" w:rsidRPr="00000000" w14:paraId="00000104">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1,13%</w:t>
            </w:r>
          </w:p>
        </w:tc>
        <w:tc>
          <w:tcPr/>
          <w:p w:rsidR="00000000" w:rsidDel="00000000" w:rsidP="00000000" w:rsidRDefault="00000000" w:rsidRPr="00000000" w14:paraId="00000105">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8,78×</w:t>
            </w:r>
          </w:p>
        </w:tc>
      </w:tr>
      <w:tr>
        <w:trPr>
          <w:cantSplit w:val="0"/>
          <w:tblHeader w:val="0"/>
        </w:trPr>
        <w:tc>
          <w:tcPr/>
          <w:p w:rsidR="00000000" w:rsidDel="00000000" w:rsidP="00000000" w:rsidRDefault="00000000" w:rsidRPr="00000000" w14:paraId="00000106">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James Wan</w:t>
            </w:r>
          </w:p>
        </w:tc>
        <w:tc>
          <w:tcPr/>
          <w:p w:rsidR="00000000" w:rsidDel="00000000" w:rsidP="00000000" w:rsidRDefault="00000000" w:rsidRPr="00000000" w14:paraId="00000107">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8</w:t>
            </w:r>
          </w:p>
        </w:tc>
        <w:tc>
          <w:tcPr/>
          <w:p w:rsidR="00000000" w:rsidDel="00000000" w:rsidP="00000000" w:rsidRDefault="00000000" w:rsidRPr="00000000" w14:paraId="00000108">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$4,05B</w:t>
            </w:r>
          </w:p>
        </w:tc>
        <w:tc>
          <w:tcPr/>
          <w:p w:rsidR="00000000" w:rsidDel="00000000" w:rsidP="00000000" w:rsidRDefault="00000000" w:rsidRPr="00000000" w14:paraId="00000109">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1,10%</w:t>
            </w:r>
          </w:p>
        </w:tc>
        <w:tc>
          <w:tcPr/>
          <w:p w:rsidR="00000000" w:rsidDel="00000000" w:rsidP="00000000" w:rsidRDefault="00000000" w:rsidRPr="00000000" w14:paraId="0000010A">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8,02×</w:t>
            </w:r>
          </w:p>
        </w:tc>
      </w:tr>
    </w:tbl>
    <w:p w:rsidR="00000000" w:rsidDel="00000000" w:rsidP="00000000" w:rsidRDefault="00000000" w:rsidRPr="00000000" w14:paraId="0000010B">
      <w:pPr>
        <w:pBdr>
          <w:top w:space="0" w:sz="0" w:val="nil"/>
          <w:left w:space="0" w:sz="0" w:val="nil"/>
          <w:bottom w:space="0" w:sz="0" w:val="nil"/>
          <w:right w:space="0" w:sz="0" w:val="nil"/>
          <w:between w:space="0" w:sz="0" w:val="nil"/>
        </w:pBdr>
        <w:spacing w:after="180" w:before="180" w:lineRule="auto"/>
        <w:rPr>
          <w:color w:val="000000"/>
        </w:rPr>
      </w:pPr>
      <w:r w:rsidDel="00000000" w:rsidR="00000000" w:rsidRPr="00000000">
        <w:rPr>
          <w:b w:val="1"/>
          <w:bCs w:val="1"/>
          <w:color w:val="000000"/>
          <w:rtl w:val="0"/>
        </w:rPr>
        <w:t xml:space="preserve">Nota:</w:t>
      </w:r>
      <w:r w:rsidDel="00000000" w:rsidR="00000000" w:rsidRPr="00000000">
        <w:rPr>
          <w:color w:val="000000"/>
          <w:rtl w:val="0"/>
        </w:rPr>
        <w:t xml:space="preserve"> el % se calcula sobre los ingresos totales del repositorio completo (base fija = 3.540 títulos), no solo del top mostrado. Los porcentajes individuales no deben sumarse (doble conteo en títulos co-dirigidos).</w:t>
      </w:r>
    </w:p>
    <w:p w:rsidR="00000000" w:rsidDel="00000000" w:rsidP="00000000" w:rsidRDefault="00000000" w:rsidRPr="00000000" w14:paraId="0000010C">
      <w:pPr>
        <w:pBdr>
          <w:top w:space="0" w:sz="0" w:val="nil"/>
          <w:left w:space="0" w:sz="0" w:val="nil"/>
          <w:bottom w:space="0" w:sz="0" w:val="nil"/>
          <w:right w:space="0" w:sz="0" w:val="nil"/>
          <w:between w:space="0" w:sz="0" w:val="nil"/>
        </w:pBdr>
        <w:spacing w:after="180" w:before="180" w:lineRule="auto"/>
        <w:rPr>
          <w:color w:val="000000"/>
        </w:rPr>
      </w:pPr>
      <w:r w:rsidDel="00000000" w:rsidR="00000000" w:rsidRPr="00000000">
        <w:rPr>
          <w:b w:val="1"/>
          <w:bCs w:val="1"/>
          <w:color w:val="000000"/>
          <w:rtl w:val="0"/>
        </w:rPr>
        <w:t xml:space="preserve">Lectura de negocio:</w:t>
      </w:r>
      <w:r w:rsidDel="00000000" w:rsidR="00000000" w:rsidRPr="00000000">
        <w:rPr>
          <w:color w:val="000000"/>
          <w:rtl w:val="0"/>
        </w:rPr>
        <w:t xml:space="preserve"> James Wan y Chris Renaud tienen el mejor ROI mediano (&gt;8×) con alto ingreso total — mejor relación volumen/retorno. Nolan y los Russo generan el mayor volumen absoluto de ingresos.</w:t>
      </w:r>
    </w:p>
    <w:bookmarkStart w:colFirst="0" w:colLast="0" w:name="hwo0092qju0h" w:id="28"/>
    <w:bookmarkEnd w:id="28"/>
    <w:p w:rsidR="00000000" w:rsidDel="00000000" w:rsidP="00000000" w:rsidRDefault="00000000" w:rsidRPr="00000000" w14:paraId="0000010D">
      <w:pPr>
        <w:pStyle w:val="Heading2"/>
        <w:rPr/>
      </w:pPr>
      <w:bookmarkStart w:colFirst="0" w:colLast="0" w:name="_l96n878ik2fn" w:id="29"/>
      <w:bookmarkEnd w:id="29"/>
      <w:r w:rsidDel="00000000" w:rsidR="00000000" w:rsidRPr="00000000">
        <w:rPr>
          <w:rtl w:val="0"/>
        </w:rPr>
        <w:t xml:space="preserve">7.5 La calidad varía más entre géneros de lo que el promedio sugiere</w:t>
      </w:r>
    </w:p>
    <w:p w:rsidR="00000000" w:rsidDel="00000000" w:rsidP="00000000" w:rsidRDefault="00000000" w:rsidRPr="00000000" w14:paraId="0000010E">
      <w:pPr>
        <w:pBdr>
          <w:top w:space="0" w:sz="0" w:val="nil"/>
          <w:left w:space="0" w:sz="0" w:val="nil"/>
          <w:bottom w:space="0" w:sz="0" w:val="nil"/>
          <w:right w:space="0" w:sz="0" w:val="nil"/>
          <w:between w:space="0" w:sz="0" w:val="nil"/>
        </w:pBdr>
        <w:spacing w:after="180" w:before="180" w:lineRule="auto"/>
        <w:rPr>
          <w:color w:val="000000"/>
        </w:rPr>
      </w:pPr>
      <w:r w:rsidDel="00000000" w:rsidR="00000000" w:rsidRPr="00000000">
        <w:rPr>
          <w:color w:val="000000"/>
          <w:rtl w:val="0"/>
        </w:rPr>
        <w:t xml:space="preserve">El boxplot de calificación por los 5 géneros más frecuentes revela que todos tienen medianas similares (~6,0–6,3), pero con diferente dispersión:</w:t>
      </w:r>
    </w:p>
    <w:p w:rsidR="00000000" w:rsidDel="00000000" w:rsidP="00000000" w:rsidRDefault="00000000" w:rsidRPr="00000000" w14:paraId="0000010F">
      <w:pPr>
        <w:numPr>
          <w:ilvl w:val="0"/>
          <w:numId w:val="7"/>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color w:val="000000"/>
          <w:rtl w:val="0"/>
        </w:rPr>
        <w:t xml:space="preserve">Drama y Comedy tienen distribuciones más estrechas: predecibles en calidad.</w:t>
      </w:r>
    </w:p>
    <w:p w:rsidR="00000000" w:rsidDel="00000000" w:rsidP="00000000" w:rsidRDefault="00000000" w:rsidRPr="00000000" w14:paraId="00000110">
      <w:pPr>
        <w:numPr>
          <w:ilvl w:val="0"/>
          <w:numId w:val="7"/>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color w:val="000000"/>
          <w:rtl w:val="0"/>
        </w:rPr>
        <w:t xml:space="preserve">Thriller y Action tienen mayor dispersión: más riesgo, pero también potencial de títulos muy bien calificados.</w:t>
      </w:r>
    </w:p>
    <w:p w:rsidR="00000000" w:rsidDel="00000000" w:rsidP="00000000" w:rsidRDefault="00000000" w:rsidRPr="00000000" w14:paraId="00000111">
      <w:pPr>
        <w:pBdr>
          <w:top w:space="0" w:sz="0" w:val="nil"/>
          <w:left w:space="0" w:sz="0" w:val="nil"/>
          <w:bottom w:space="0" w:sz="0" w:val="nil"/>
          <w:right w:space="0" w:sz="0" w:val="nil"/>
          <w:between w:space="0" w:sz="0" w:val="nil"/>
        </w:pBdr>
        <w:spacing w:after="180" w:before="180" w:lineRule="auto"/>
        <w:rPr>
          <w:color w:val="000000"/>
        </w:rPr>
      </w:pPr>
      <w:r w:rsidDel="00000000" w:rsidR="00000000" w:rsidRPr="00000000">
        <w:rPr>
          <w:b w:val="1"/>
          <w:bCs w:val="1"/>
          <w:color w:val="000000"/>
          <w:rtl w:val="0"/>
        </w:rPr>
        <w:t xml:space="preserve">Lectura de negocio:</w:t>
      </w:r>
      <w:r w:rsidDel="00000000" w:rsidR="00000000" w:rsidRPr="00000000">
        <w:rPr>
          <w:color w:val="000000"/>
          <w:rtl w:val="0"/>
        </w:rPr>
        <w:t xml:space="preserve"> si StreamView quiere títulos con calificación consistentemente alta, Drama es la apuesta más segura. Si busca títulos “ganadores” de alto impacto, Action y Thriller ofrecen mayor variabilidad (mayor riesgo y mayor premio potencial).</w:t>
      </w:r>
    </w:p>
    <w:bookmarkStart w:colFirst="0" w:colLast="0" w:name="i5go6pxhadtd" w:id="30"/>
    <w:bookmarkEnd w:id="30"/>
    <w:p w:rsidR="00000000" w:rsidDel="00000000" w:rsidP="00000000" w:rsidRDefault="00000000" w:rsidRPr="00000000" w14:paraId="00000112">
      <w:pPr>
        <w:pStyle w:val="Heading2"/>
        <w:rPr/>
      </w:pPr>
      <w:bookmarkStart w:colFirst="0" w:colLast="0" w:name="_kxjpxjh7l51c" w:id="31"/>
      <w:bookmarkEnd w:id="31"/>
      <w:r w:rsidDel="00000000" w:rsidR="00000000" w:rsidRPr="00000000">
        <w:rPr>
          <w:rtl w:val="0"/>
        </w:rPr>
        <w:t xml:space="preserve">7.6 EE.UU. domina la producción, pero Japón lidera en calidad</w:t>
      </w:r>
    </w:p>
    <w:tbl>
      <w:tblPr>
        <w:tblStyle w:val="Table10"/>
        <w:tblW w:w="4786.0" w:type="dxa"/>
        <w:jc w:val="left"/>
        <w:tblInd w:w="-108.0" w:type="dxa"/>
        <w:tblLayout w:type="fixed"/>
        <w:tblLook w:val="0020"/>
      </w:tblPr>
      <w:tblGrid>
        <w:gridCol w:w="1792"/>
        <w:gridCol w:w="935"/>
        <w:gridCol w:w="2059"/>
        <w:tblGridChange w:id="0">
          <w:tblGrid>
            <w:gridCol w:w="1792"/>
            <w:gridCol w:w="935"/>
            <w:gridCol w:w="2059"/>
          </w:tblGrid>
        </w:tblGridChange>
      </w:tblGrid>
      <w:tr>
        <w:trPr>
          <w:cantSplit w:val="0"/>
          <w:tblHeader w:val="1"/>
        </w:trPr>
        <w:tc>
          <w:tcPr/>
          <w:p w:rsidR="00000000" w:rsidDel="00000000" w:rsidP="00000000" w:rsidRDefault="00000000" w:rsidRPr="00000000" w14:paraId="00000113">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País</w:t>
            </w:r>
          </w:p>
        </w:tc>
        <w:tc>
          <w:tcPr/>
          <w:p w:rsidR="00000000" w:rsidDel="00000000" w:rsidP="00000000" w:rsidRDefault="00000000" w:rsidRPr="00000000" w14:paraId="00000114">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Títulos</w:t>
            </w:r>
          </w:p>
        </w:tc>
        <w:tc>
          <w:tcPr/>
          <w:p w:rsidR="00000000" w:rsidDel="00000000" w:rsidP="00000000" w:rsidRDefault="00000000" w:rsidRPr="00000000" w14:paraId="00000115">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Calificación prom.</w:t>
            </w:r>
          </w:p>
        </w:tc>
      </w:tr>
      <w:tr>
        <w:trPr>
          <w:cantSplit w:val="0"/>
          <w:tblHeader w:val="0"/>
        </w:trPr>
        <w:tc>
          <w:tcPr/>
          <w:p w:rsidR="00000000" w:rsidDel="00000000" w:rsidP="00000000" w:rsidRDefault="00000000" w:rsidRPr="00000000" w14:paraId="00000116">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Estados Unidos</w:t>
            </w:r>
          </w:p>
        </w:tc>
        <w:tc>
          <w:tcPr/>
          <w:p w:rsidR="00000000" w:rsidDel="00000000" w:rsidP="00000000" w:rsidRDefault="00000000" w:rsidRPr="00000000" w14:paraId="00000117">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7.762</w:t>
            </w:r>
          </w:p>
        </w:tc>
        <w:tc>
          <w:tcPr/>
          <w:p w:rsidR="00000000" w:rsidDel="00000000" w:rsidP="00000000" w:rsidRDefault="00000000" w:rsidRPr="00000000" w14:paraId="00000118">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6,05</w:t>
            </w:r>
          </w:p>
        </w:tc>
      </w:tr>
      <w:tr>
        <w:trPr>
          <w:cantSplit w:val="0"/>
          <w:tblHeader w:val="0"/>
        </w:trPr>
        <w:tc>
          <w:tcPr/>
          <w:p w:rsidR="00000000" w:rsidDel="00000000" w:rsidP="00000000" w:rsidRDefault="00000000" w:rsidRPr="00000000" w14:paraId="00000119">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Reino Unido</w:t>
            </w:r>
          </w:p>
        </w:tc>
        <w:tc>
          <w:tcPr/>
          <w:p w:rsidR="00000000" w:rsidDel="00000000" w:rsidP="00000000" w:rsidRDefault="00000000" w:rsidRPr="00000000" w14:paraId="0000011A">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1.743</w:t>
            </w:r>
          </w:p>
        </w:tc>
        <w:tc>
          <w:tcPr/>
          <w:p w:rsidR="00000000" w:rsidDel="00000000" w:rsidP="00000000" w:rsidRDefault="00000000" w:rsidRPr="00000000" w14:paraId="0000011B">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6,14</w:t>
            </w:r>
          </w:p>
        </w:tc>
      </w:tr>
      <w:tr>
        <w:trPr>
          <w:cantSplit w:val="0"/>
          <w:tblHeader w:val="0"/>
        </w:trPr>
        <w:tc>
          <w:tcPr/>
          <w:p w:rsidR="00000000" w:rsidDel="00000000" w:rsidP="00000000" w:rsidRDefault="00000000" w:rsidRPr="00000000" w14:paraId="0000011C">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Francia</w:t>
            </w:r>
          </w:p>
        </w:tc>
        <w:tc>
          <w:tcPr/>
          <w:p w:rsidR="00000000" w:rsidDel="00000000" w:rsidP="00000000" w:rsidRDefault="00000000" w:rsidRPr="00000000" w14:paraId="0000011D">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1.701</w:t>
            </w:r>
          </w:p>
        </w:tc>
        <w:tc>
          <w:tcPr/>
          <w:p w:rsidR="00000000" w:rsidDel="00000000" w:rsidP="00000000" w:rsidRDefault="00000000" w:rsidRPr="00000000" w14:paraId="0000011E">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6,29</w:t>
            </w:r>
          </w:p>
        </w:tc>
      </w:tr>
      <w:tr>
        <w:trPr>
          <w:cantSplit w:val="0"/>
          <w:tblHeader w:val="0"/>
        </w:trPr>
        <w:tc>
          <w:tcPr/>
          <w:p w:rsidR="00000000" w:rsidDel="00000000" w:rsidP="00000000" w:rsidRDefault="00000000" w:rsidRPr="00000000" w14:paraId="0000011F">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Canadá</w:t>
            </w:r>
          </w:p>
        </w:tc>
        <w:tc>
          <w:tcPr/>
          <w:p w:rsidR="00000000" w:rsidDel="00000000" w:rsidP="00000000" w:rsidRDefault="00000000" w:rsidRPr="00000000" w14:paraId="00000120">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1.063</w:t>
            </w:r>
          </w:p>
        </w:tc>
        <w:tc>
          <w:tcPr/>
          <w:p w:rsidR="00000000" w:rsidDel="00000000" w:rsidP="00000000" w:rsidRDefault="00000000" w:rsidRPr="00000000" w14:paraId="00000121">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6,01</w:t>
            </w:r>
          </w:p>
        </w:tc>
      </w:tr>
      <w:tr>
        <w:trPr>
          <w:cantSplit w:val="0"/>
          <w:tblHeader w:val="0"/>
        </w:trPr>
        <w:tc>
          <w:tcPr/>
          <w:p w:rsidR="00000000" w:rsidDel="00000000" w:rsidP="00000000" w:rsidRDefault="00000000" w:rsidRPr="00000000" w14:paraId="00000122">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Japón</w:t>
            </w:r>
          </w:p>
        </w:tc>
        <w:tc>
          <w:tcPr/>
          <w:p w:rsidR="00000000" w:rsidDel="00000000" w:rsidP="00000000" w:rsidRDefault="00000000" w:rsidRPr="00000000" w14:paraId="00000123">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990</w:t>
            </w:r>
          </w:p>
        </w:tc>
        <w:tc>
          <w:tcPr/>
          <w:p w:rsidR="00000000" w:rsidDel="00000000" w:rsidP="00000000" w:rsidRDefault="00000000" w:rsidRPr="00000000" w14:paraId="00000124">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6,48</w:t>
            </w:r>
          </w:p>
        </w:tc>
      </w:tr>
    </w:tbl>
    <w:p w:rsidR="00000000" w:rsidDel="00000000" w:rsidP="00000000" w:rsidRDefault="00000000" w:rsidRPr="00000000" w14:paraId="00000125">
      <w:pPr>
        <w:pBdr>
          <w:top w:space="0" w:sz="0" w:val="nil"/>
          <w:left w:space="0" w:sz="0" w:val="nil"/>
          <w:bottom w:space="0" w:sz="0" w:val="nil"/>
          <w:right w:space="0" w:sz="0" w:val="nil"/>
          <w:between w:space="0" w:sz="0" w:val="nil"/>
        </w:pBdr>
        <w:spacing w:after="180" w:before="180" w:lineRule="auto"/>
        <w:rPr>
          <w:color w:val="000000"/>
        </w:rPr>
      </w:pPr>
      <w:r w:rsidDel="00000000" w:rsidR="00000000" w:rsidRPr="00000000">
        <w:rPr>
          <w:b w:val="1"/>
          <w:bCs w:val="1"/>
          <w:color w:val="000000"/>
          <w:rtl w:val="0"/>
        </w:rPr>
        <w:t xml:space="preserve">Lectura de negocio:</w:t>
      </w:r>
      <w:r w:rsidDel="00000000" w:rsidR="00000000" w:rsidRPr="00000000">
        <w:rPr>
          <w:color w:val="000000"/>
          <w:rtl w:val="0"/>
        </w:rPr>
        <w:t xml:space="preserve"> Japón tiene la mejor calificación promedio entre los top 5 productores. Francia lidera entre los países occidentales no angloparlantes. StreamView podría diversificar su catálogo invirtiendo más en contenido japonés y francés para mejorar la calificación promedio general.</w:t>
      </w:r>
    </w:p>
    <w:bookmarkStart w:colFirst="0" w:colLast="0" w:name="c22vy6sbkhn9" w:id="32"/>
    <w:bookmarkEnd w:id="32"/>
    <w:p w:rsidR="00000000" w:rsidDel="00000000" w:rsidP="00000000" w:rsidRDefault="00000000" w:rsidRPr="00000000" w14:paraId="00000126">
      <w:pPr>
        <w:pStyle w:val="Heading2"/>
        <w:rPr/>
      </w:pPr>
      <w:bookmarkStart w:colFirst="0" w:colLast="0" w:name="_1o3cxwk4nvmn" w:id="33"/>
      <w:bookmarkEnd w:id="33"/>
      <w:r w:rsidDel="00000000" w:rsidR="00000000" w:rsidRPr="00000000">
        <w:rPr>
          <w:rtl w:val="0"/>
        </w:rPr>
        <w:t xml:space="preserve">7.7 Los datos financieros son escasos y el ROI promedio engaña</w:t>
      </w:r>
    </w:p>
    <w:p w:rsidR="00000000" w:rsidDel="00000000" w:rsidP="00000000" w:rsidRDefault="00000000" w:rsidRPr="00000000" w14:paraId="00000127">
      <w:pPr>
        <w:pBdr>
          <w:top w:space="0" w:sz="0" w:val="nil"/>
          <w:left w:space="0" w:sz="0" w:val="nil"/>
          <w:bottom w:space="0" w:sz="0" w:val="nil"/>
          <w:right w:space="0" w:sz="0" w:val="nil"/>
          <w:between w:space="0" w:sz="0" w:val="nil"/>
        </w:pBdr>
        <w:spacing w:after="180" w:before="180" w:lineRule="auto"/>
        <w:rPr>
          <w:color w:val="000000"/>
        </w:rPr>
      </w:pPr>
      <w:r w:rsidDel="00000000" w:rsidR="00000000" w:rsidRPr="00000000">
        <w:rPr>
          <w:color w:val="000000"/>
          <w:rtl w:val="0"/>
        </w:rPr>
        <w:t xml:space="preserve">Solo el 22,1 % de los títulos (3.540 de 16.000) tiene presupuesto e ingresos registrados. Sobre ese subconjunto:</w:t>
      </w:r>
    </w:p>
    <w:tbl>
      <w:tblPr>
        <w:tblStyle w:val="Table11"/>
        <w:tblW w:w="2587.0" w:type="dxa"/>
        <w:jc w:val="left"/>
        <w:tblInd w:w="-108.0" w:type="dxa"/>
        <w:tblLayout w:type="fixed"/>
        <w:tblLook w:val="0020"/>
      </w:tblPr>
      <w:tblGrid>
        <w:gridCol w:w="1657"/>
        <w:gridCol w:w="930"/>
        <w:tblGridChange w:id="0">
          <w:tblGrid>
            <w:gridCol w:w="1657"/>
            <w:gridCol w:w="930"/>
          </w:tblGrid>
        </w:tblGridChange>
      </w:tblGrid>
      <w:tr>
        <w:trPr>
          <w:cantSplit w:val="0"/>
          <w:tblHeader w:val="1"/>
        </w:trPr>
        <w:tc>
          <w:tcPr/>
          <w:p w:rsidR="00000000" w:rsidDel="00000000" w:rsidP="00000000" w:rsidRDefault="00000000" w:rsidRPr="00000000" w14:paraId="00000128">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Métrica</w:t>
            </w:r>
          </w:p>
        </w:tc>
        <w:tc>
          <w:tcPr/>
          <w:p w:rsidR="00000000" w:rsidDel="00000000" w:rsidP="00000000" w:rsidRDefault="00000000" w:rsidRPr="00000000" w14:paraId="00000129">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Valor</w:t>
            </w:r>
          </w:p>
        </w:tc>
      </w:tr>
      <w:tr>
        <w:trPr>
          <w:cantSplit w:val="0"/>
          <w:tblHeader w:val="0"/>
        </w:trPr>
        <w:tc>
          <w:tcPr/>
          <w:p w:rsidR="00000000" w:rsidDel="00000000" w:rsidP="00000000" w:rsidRDefault="00000000" w:rsidRPr="00000000" w14:paraId="0000012A">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ROI mediano</w:t>
            </w:r>
          </w:p>
        </w:tc>
        <w:tc>
          <w:tcPr/>
          <w:p w:rsidR="00000000" w:rsidDel="00000000" w:rsidP="00000000" w:rsidRDefault="00000000" w:rsidRPr="00000000" w14:paraId="0000012B">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1,70×</w:t>
            </w:r>
          </w:p>
        </w:tc>
      </w:tr>
      <w:tr>
        <w:trPr>
          <w:cantSplit w:val="0"/>
          <w:tblHeader w:val="0"/>
        </w:trPr>
        <w:tc>
          <w:tcPr/>
          <w:p w:rsidR="00000000" w:rsidDel="00000000" w:rsidP="00000000" w:rsidRDefault="00000000" w:rsidRPr="00000000" w14:paraId="0000012C">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ROI promedio</w:t>
            </w:r>
          </w:p>
        </w:tc>
        <w:tc>
          <w:tcPr/>
          <w:p w:rsidR="00000000" w:rsidDel="00000000" w:rsidP="00000000" w:rsidRDefault="00000000" w:rsidRPr="00000000" w14:paraId="0000012D">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781,5×</w:t>
            </w:r>
          </w:p>
        </w:tc>
      </w:tr>
    </w:tbl>
    <w:p w:rsidR="00000000" w:rsidDel="00000000" w:rsidP="00000000" w:rsidRDefault="00000000" w:rsidRPr="00000000" w14:paraId="0000012E">
      <w:pPr>
        <w:pBdr>
          <w:top w:space="0" w:sz="0" w:val="nil"/>
          <w:left w:space="0" w:sz="0" w:val="nil"/>
          <w:bottom w:space="0" w:sz="0" w:val="nil"/>
          <w:right w:space="0" w:sz="0" w:val="nil"/>
          <w:between w:space="0" w:sz="0" w:val="nil"/>
        </w:pBdr>
        <w:spacing w:after="180" w:before="180" w:lineRule="auto"/>
        <w:rPr>
          <w:color w:val="000000"/>
        </w:rPr>
      </w:pPr>
      <w:r w:rsidDel="00000000" w:rsidR="00000000" w:rsidRPr="00000000">
        <w:rPr>
          <w:color w:val="000000"/>
          <w:rtl w:val="0"/>
        </w:rPr>
        <w:t xml:space="preserve">La enorme diferencia entre promedio y mediana se explica por unos pocos outliers extremos (títulos con presupuesto declarado en 1 USD frente a ingresos millonarios), que inflan el promedio de forma engañosa.</w:t>
      </w:r>
    </w:p>
    <w:p w:rsidR="00000000" w:rsidDel="00000000" w:rsidP="00000000" w:rsidRDefault="00000000" w:rsidRPr="00000000" w14:paraId="0000012F">
      <w:pPr>
        <w:pBdr>
          <w:top w:space="0" w:sz="0" w:val="nil"/>
          <w:left w:space="0" w:sz="0" w:val="nil"/>
          <w:bottom w:space="0" w:sz="0" w:val="nil"/>
          <w:right w:space="0" w:sz="0" w:val="nil"/>
          <w:between w:space="0" w:sz="0" w:val="nil"/>
        </w:pBdr>
        <w:spacing w:after="180" w:before="180" w:lineRule="auto"/>
        <w:rPr>
          <w:color w:val="000000"/>
        </w:rPr>
      </w:pPr>
      <w:r w:rsidDel="00000000" w:rsidR="00000000" w:rsidRPr="00000000">
        <w:rPr>
          <w:b w:val="1"/>
          <w:bCs w:val="1"/>
          <w:color w:val="000000"/>
          <w:rtl w:val="0"/>
        </w:rPr>
        <w:t xml:space="preserve">Lectura de negocio:</w:t>
      </w:r>
      <w:r w:rsidDel="00000000" w:rsidR="00000000" w:rsidRPr="00000000">
        <w:rPr>
          <w:color w:val="000000"/>
          <w:rtl w:val="0"/>
        </w:rPr>
        <w:t xml:space="preserve"> el ROI mediano de 1,70× indica que la mitad del contenido con datos financieros recupera su inversión y genera un 70% adicional. Sin embargo, la falta de datos financieros en el 78% del catálogo es el problema más grave: StreamView no puede medir el retorno de la mayoría de sus decisiones de inversión.</w:t>
      </w:r>
    </w:p>
    <w:bookmarkStart w:colFirst="0" w:colLast="0" w:name="j4fg9dbqd8ga" w:id="34"/>
    <w:bookmarkEnd w:id="34"/>
    <w:p w:rsidR="00000000" w:rsidDel="00000000" w:rsidP="00000000" w:rsidRDefault="00000000" w:rsidRPr="00000000" w14:paraId="00000130">
      <w:pPr>
        <w:pStyle w:val="Heading1"/>
        <w:rPr/>
      </w:pPr>
      <w:bookmarkStart w:colFirst="0" w:colLast="0" w:name="_mlk9raeh4du" w:id="35"/>
      <w:bookmarkEnd w:id="35"/>
      <w:r w:rsidDel="00000000" w:rsidR="00000000" w:rsidRPr="00000000">
        <w:rPr>
          <w:rtl w:val="0"/>
        </w:rPr>
        <w:t xml:space="preserve">8. Diseño e Implementación del Dashboard Interactivo</w:t>
      </w:r>
    </w:p>
    <w:p w:rsidR="00000000" w:rsidDel="00000000" w:rsidP="00000000" w:rsidRDefault="00000000" w:rsidRPr="00000000" w14:paraId="00000131">
      <w:pPr>
        <w:pBdr>
          <w:top w:space="0" w:sz="0" w:val="nil"/>
          <w:left w:space="0" w:sz="0" w:val="nil"/>
          <w:bottom w:space="0" w:sz="0" w:val="nil"/>
          <w:right w:space="0" w:sz="0" w:val="nil"/>
          <w:between w:space="0" w:sz="0" w:val="nil"/>
        </w:pBdr>
        <w:spacing w:after="180" w:before="180" w:lineRule="auto"/>
        <w:rPr>
          <w:color w:val="000000"/>
        </w:rPr>
      </w:pPr>
      <w:r w:rsidDel="00000000" w:rsidR="00000000" w:rsidRPr="00000000">
        <w:rPr>
          <w:color w:val="000000"/>
          <w:rtl w:val="0"/>
        </w:rPr>
        <w:t xml:space="preserve">Los hallazgos anteriores fueron implementados como un dashboard interactivo en Looker Studio, con fuentes de datos subidas directamente como archivo (sin pasar por Google Sheets, para evitar errores de formato regional en los decimales). El dashboard incluye:</w:t>
      </w:r>
    </w:p>
    <w:tbl>
      <w:tblPr>
        <w:tblStyle w:val="Table12"/>
        <w:tblW w:w="9054.0" w:type="dxa"/>
        <w:jc w:val="left"/>
        <w:tblInd w:w="-108.0" w:type="dxa"/>
        <w:tblLayout w:type="fixed"/>
        <w:tblLook w:val="0020"/>
      </w:tblPr>
      <w:tblGrid>
        <w:gridCol w:w="3940"/>
        <w:gridCol w:w="2221"/>
        <w:gridCol w:w="2893"/>
        <w:tblGridChange w:id="0">
          <w:tblGrid>
            <w:gridCol w:w="3940"/>
            <w:gridCol w:w="2221"/>
            <w:gridCol w:w="2893"/>
          </w:tblGrid>
        </w:tblGridChange>
      </w:tblGrid>
      <w:tr>
        <w:trPr>
          <w:cantSplit w:val="0"/>
          <w:tblHeader w:val="1"/>
        </w:trPr>
        <w:tc>
          <w:tcPr/>
          <w:p w:rsidR="00000000" w:rsidDel="00000000" w:rsidP="00000000" w:rsidRDefault="00000000" w:rsidRPr="00000000" w14:paraId="00000132">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Componente</w:t>
            </w:r>
          </w:p>
        </w:tc>
        <w:tc>
          <w:tcPr/>
          <w:p w:rsidR="00000000" w:rsidDel="00000000" w:rsidP="00000000" w:rsidRDefault="00000000" w:rsidRPr="00000000" w14:paraId="00000133">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Fuente de datos</w:t>
            </w:r>
          </w:p>
        </w:tc>
        <w:tc>
          <w:tcPr/>
          <w:p w:rsidR="00000000" w:rsidDel="00000000" w:rsidP="00000000" w:rsidRDefault="00000000" w:rsidRPr="00000000" w14:paraId="00000134">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Corresponde a</w:t>
            </w:r>
          </w:p>
        </w:tc>
      </w:tr>
      <w:tr>
        <w:trPr>
          <w:cantSplit w:val="0"/>
          <w:tblHeader w:val="0"/>
        </w:trPr>
        <w:tc>
          <w:tcPr/>
          <w:p w:rsidR="00000000" w:rsidDel="00000000" w:rsidP="00000000" w:rsidRDefault="00000000" w:rsidRPr="00000000" w14:paraId="00000135">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Tarjetas KPI (</w:t>
            </w:r>
            <w:r w:rsidDel="00000000" w:rsidR="00000000" w:rsidRPr="00000000">
              <w:rPr>
                <w:rFonts w:ascii="Consolas" w:cs="Consolas" w:eastAsia="Consolas" w:hAnsi="Consolas"/>
                <w:color w:val="000000"/>
                <w:sz w:val="22"/>
                <w:szCs w:val="22"/>
                <w:rtl w:val="0"/>
              </w:rPr>
              <w:t xml:space="preserve">total_titulos</w:t>
            </w:r>
            <w:r w:rsidDel="00000000" w:rsidR="00000000" w:rsidRPr="00000000">
              <w:rPr>
                <w:color w:val="000000"/>
                <w:rtl w:val="0"/>
              </w:rPr>
              <w:t xml:space="preserve">, </w:t>
            </w:r>
            <w:r w:rsidDel="00000000" w:rsidR="00000000" w:rsidRPr="00000000">
              <w:rPr>
                <w:rFonts w:ascii="Consolas" w:cs="Consolas" w:eastAsia="Consolas" w:hAnsi="Consolas"/>
                <w:color w:val="000000"/>
                <w:sz w:val="22"/>
                <w:szCs w:val="22"/>
                <w:rtl w:val="0"/>
              </w:rPr>
              <w:t xml:space="preserve">popularidad_promedio</w:t>
            </w:r>
            <w:r w:rsidDel="00000000" w:rsidR="00000000" w:rsidRPr="00000000">
              <w:rPr>
                <w:color w:val="000000"/>
                <w:rtl w:val="0"/>
              </w:rPr>
              <w:t xml:space="preserve">, </w:t>
            </w:r>
            <w:r w:rsidDel="00000000" w:rsidR="00000000" w:rsidRPr="00000000">
              <w:rPr>
                <w:rFonts w:ascii="Consolas" w:cs="Consolas" w:eastAsia="Consolas" w:hAnsi="Consolas"/>
                <w:color w:val="000000"/>
                <w:sz w:val="22"/>
                <w:szCs w:val="22"/>
                <w:rtl w:val="0"/>
              </w:rPr>
              <w:t xml:space="preserve">calificacion_promedio</w:t>
            </w:r>
            <w:r w:rsidDel="00000000" w:rsidR="00000000" w:rsidRPr="00000000">
              <w:rPr>
                <w:color w:val="000000"/>
                <w:rtl w:val="0"/>
              </w:rPr>
              <w:t xml:space="preserve">, </w:t>
            </w:r>
            <w:r w:rsidDel="00000000" w:rsidR="00000000" w:rsidRPr="00000000">
              <w:rPr>
                <w:rFonts w:ascii="Consolas" w:cs="Consolas" w:eastAsia="Consolas" w:hAnsi="Consolas"/>
                <w:color w:val="000000"/>
                <w:sz w:val="22"/>
                <w:szCs w:val="22"/>
                <w:rtl w:val="0"/>
              </w:rPr>
              <w:t xml:space="preserve">pct_con_datos_financieros</w:t>
            </w:r>
            <w:r w:rsidDel="00000000" w:rsidR="00000000" w:rsidRPr="00000000">
              <w:rPr>
                <w:color w:val="000000"/>
                <w:rtl w:val="0"/>
              </w:rPr>
              <w:t xml:space="preserve">)</w:t>
            </w:r>
          </w:p>
        </w:tc>
        <w:tc>
          <w:tcPr/>
          <w:p w:rsidR="00000000" w:rsidDel="00000000" w:rsidP="00000000" w:rsidRDefault="00000000" w:rsidRPr="00000000" w14:paraId="00000136">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rFonts w:ascii="Consolas" w:cs="Consolas" w:eastAsia="Consolas" w:hAnsi="Consolas"/>
                <w:color w:val="000000"/>
                <w:sz w:val="22"/>
                <w:szCs w:val="22"/>
                <w:rtl w:val="0"/>
              </w:rPr>
              <w:t xml:space="preserve">kpis_generales</w:t>
            </w:r>
            <w:r w:rsidDel="00000000" w:rsidR="00000000" w:rsidRPr="00000000">
              <w:rPr>
                <w:rtl w:val="0"/>
              </w:rPr>
            </w:r>
          </w:p>
        </w:tc>
        <w:tc>
          <w:tcPr/>
          <w:p w:rsidR="00000000" w:rsidDel="00000000" w:rsidP="00000000" w:rsidRDefault="00000000" w:rsidRPr="00000000" w14:paraId="00000137">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Sección 5</w:t>
            </w:r>
          </w:p>
        </w:tc>
      </w:tr>
      <w:tr>
        <w:trPr>
          <w:cantSplit w:val="0"/>
          <w:tblHeader w:val="0"/>
        </w:trPr>
        <w:tc>
          <w:tcPr/>
          <w:p w:rsidR="00000000" w:rsidDel="00000000" w:rsidP="00000000" w:rsidRDefault="00000000" w:rsidRPr="00000000" w14:paraId="00000138">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Filtros de control: Género y País</w:t>
            </w:r>
          </w:p>
        </w:tc>
        <w:tc>
          <w:tcPr/>
          <w:p w:rsidR="00000000" w:rsidDel="00000000" w:rsidP="00000000" w:rsidRDefault="00000000" w:rsidRPr="00000000" w14:paraId="00000139">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 (controles de dimensión)</w:t>
            </w:r>
          </w:p>
        </w:tc>
        <w:tc>
          <w:tcPr/>
          <w:p w:rsidR="00000000" w:rsidDel="00000000" w:rsidP="00000000" w:rsidRDefault="00000000" w:rsidRPr="00000000" w14:paraId="0000013A">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Habilita navegación/interacción sobre todos los gráficos</w:t>
            </w:r>
          </w:p>
        </w:tc>
      </w:tr>
      <w:tr>
        <w:trPr>
          <w:cantSplit w:val="0"/>
          <w:tblHeader w:val="0"/>
        </w:trPr>
        <w:tc>
          <w:tcPr/>
          <w:p w:rsidR="00000000" w:rsidDel="00000000" w:rsidP="00000000" w:rsidRDefault="00000000" w:rsidRPr="00000000" w14:paraId="0000013B">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Popularidad promedio por año de lanzamiento (línea)</w:t>
            </w:r>
          </w:p>
        </w:tc>
        <w:tc>
          <w:tcPr/>
          <w:p w:rsidR="00000000" w:rsidDel="00000000" w:rsidP="00000000" w:rsidRDefault="00000000" w:rsidRPr="00000000" w14:paraId="0000013C">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rFonts w:ascii="Consolas" w:cs="Consolas" w:eastAsia="Consolas" w:hAnsi="Consolas"/>
                <w:color w:val="000000"/>
                <w:sz w:val="22"/>
                <w:szCs w:val="22"/>
                <w:rtl w:val="0"/>
              </w:rPr>
              <w:t xml:space="preserve">agg_por_anio</w:t>
            </w:r>
            <w:r w:rsidDel="00000000" w:rsidR="00000000" w:rsidRPr="00000000">
              <w:rPr>
                <w:rtl w:val="0"/>
              </w:rPr>
            </w:r>
          </w:p>
        </w:tc>
        <w:tc>
          <w:tcPr/>
          <w:p w:rsidR="00000000" w:rsidDel="00000000" w:rsidP="00000000" w:rsidRDefault="00000000" w:rsidRPr="00000000" w14:paraId="0000013D">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Sección 7.1</w:t>
            </w:r>
          </w:p>
        </w:tc>
      </w:tr>
      <w:tr>
        <w:trPr>
          <w:cantSplit w:val="0"/>
          <w:tblHeader w:val="0"/>
        </w:trPr>
        <w:tc>
          <w:tcPr/>
          <w:p w:rsidR="00000000" w:rsidDel="00000000" w:rsidP="00000000" w:rsidRDefault="00000000" w:rsidRPr="00000000" w14:paraId="0000013E">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Top géneros por títulos y calificación (barras)</w:t>
            </w:r>
          </w:p>
        </w:tc>
        <w:tc>
          <w:tcPr/>
          <w:p w:rsidR="00000000" w:rsidDel="00000000" w:rsidP="00000000" w:rsidRDefault="00000000" w:rsidRPr="00000000" w14:paraId="0000013F">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rFonts w:ascii="Consolas" w:cs="Consolas" w:eastAsia="Consolas" w:hAnsi="Consolas"/>
                <w:color w:val="000000"/>
                <w:sz w:val="22"/>
                <w:szCs w:val="22"/>
                <w:rtl w:val="0"/>
              </w:rPr>
              <w:t xml:space="preserve">agg_por_genero</w:t>
            </w:r>
            <w:r w:rsidDel="00000000" w:rsidR="00000000" w:rsidRPr="00000000">
              <w:rPr>
                <w:rtl w:val="0"/>
              </w:rPr>
            </w:r>
          </w:p>
        </w:tc>
        <w:tc>
          <w:tcPr/>
          <w:p w:rsidR="00000000" w:rsidDel="00000000" w:rsidP="00000000" w:rsidRDefault="00000000" w:rsidRPr="00000000" w14:paraId="00000140">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Sección 7.2</w:t>
            </w:r>
          </w:p>
        </w:tc>
      </w:tr>
      <w:tr>
        <w:trPr>
          <w:cantSplit w:val="0"/>
          <w:tblHeader w:val="0"/>
        </w:trPr>
        <w:tc>
          <w:tcPr/>
          <w:p w:rsidR="00000000" w:rsidDel="00000000" w:rsidP="00000000" w:rsidRDefault="00000000" w:rsidRPr="00000000" w14:paraId="00000141">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Top 10 países productores de contenido (barras)</w:t>
            </w:r>
          </w:p>
        </w:tc>
        <w:tc>
          <w:tcPr/>
          <w:p w:rsidR="00000000" w:rsidDel="00000000" w:rsidP="00000000" w:rsidRDefault="00000000" w:rsidRPr="00000000" w14:paraId="00000142">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rFonts w:ascii="Consolas" w:cs="Consolas" w:eastAsia="Consolas" w:hAnsi="Consolas"/>
                <w:color w:val="000000"/>
                <w:sz w:val="22"/>
                <w:szCs w:val="22"/>
                <w:rtl w:val="0"/>
              </w:rPr>
              <w:t xml:space="preserve">agg_por_pais</w:t>
            </w:r>
            <w:r w:rsidDel="00000000" w:rsidR="00000000" w:rsidRPr="00000000">
              <w:rPr>
                <w:rtl w:val="0"/>
              </w:rPr>
            </w:r>
          </w:p>
        </w:tc>
        <w:tc>
          <w:tcPr/>
          <w:p w:rsidR="00000000" w:rsidDel="00000000" w:rsidP="00000000" w:rsidRDefault="00000000" w:rsidRPr="00000000" w14:paraId="00000143">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Sección 7.6</w:t>
            </w:r>
          </w:p>
        </w:tc>
      </w:tr>
      <w:tr>
        <w:trPr>
          <w:cantSplit w:val="0"/>
          <w:tblHeader w:val="0"/>
        </w:trPr>
        <w:tc>
          <w:tcPr/>
          <w:p w:rsidR="00000000" w:rsidDel="00000000" w:rsidP="00000000" w:rsidRDefault="00000000" w:rsidRPr="00000000" w14:paraId="00000144">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Presupuesto vs. ingresos (dispersión)</w:t>
            </w:r>
          </w:p>
        </w:tc>
        <w:tc>
          <w:tcPr/>
          <w:p w:rsidR="00000000" w:rsidDel="00000000" w:rsidP="00000000" w:rsidRDefault="00000000" w:rsidRPr="00000000" w14:paraId="00000145">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rFonts w:ascii="Consolas" w:cs="Consolas" w:eastAsia="Consolas" w:hAnsi="Consolas"/>
                <w:color w:val="000000"/>
                <w:sz w:val="22"/>
                <w:szCs w:val="22"/>
                <w:rtl w:val="0"/>
              </w:rPr>
              <w:t xml:space="preserve">agg_financiero</w:t>
            </w:r>
            <w:r w:rsidDel="00000000" w:rsidR="00000000" w:rsidRPr="00000000">
              <w:rPr>
                <w:rtl w:val="0"/>
              </w:rPr>
            </w:r>
          </w:p>
        </w:tc>
        <w:tc>
          <w:tcPr/>
          <w:p w:rsidR="00000000" w:rsidDel="00000000" w:rsidP="00000000" w:rsidRDefault="00000000" w:rsidRPr="00000000" w14:paraId="00000146">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Sección 7.7</w:t>
            </w:r>
          </w:p>
        </w:tc>
      </w:tr>
      <w:tr>
        <w:trPr>
          <w:cantSplit w:val="0"/>
          <w:tblHeader w:val="0"/>
        </w:trPr>
        <w:tc>
          <w:tcPr/>
          <w:p w:rsidR="00000000" w:rsidDel="00000000" w:rsidP="00000000" w:rsidRDefault="00000000" w:rsidRPr="00000000" w14:paraId="00000147">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Top directores por ingresos totales generados (barras)</w:t>
            </w:r>
          </w:p>
        </w:tc>
        <w:tc>
          <w:tcPr/>
          <w:p w:rsidR="00000000" w:rsidDel="00000000" w:rsidP="00000000" w:rsidRDefault="00000000" w:rsidRPr="00000000" w14:paraId="00000148">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rFonts w:ascii="Consolas" w:cs="Consolas" w:eastAsia="Consolas" w:hAnsi="Consolas"/>
                <w:color w:val="000000"/>
                <w:sz w:val="22"/>
                <w:szCs w:val="22"/>
                <w:rtl w:val="0"/>
              </w:rPr>
              <w:t xml:space="preserve">agg_por_director</w:t>
            </w:r>
            <w:r w:rsidDel="00000000" w:rsidR="00000000" w:rsidRPr="00000000">
              <w:rPr>
                <w:rtl w:val="0"/>
              </w:rPr>
            </w:r>
          </w:p>
        </w:tc>
        <w:tc>
          <w:tcPr/>
          <w:p w:rsidR="00000000" w:rsidDel="00000000" w:rsidP="00000000" w:rsidRDefault="00000000" w:rsidRPr="00000000" w14:paraId="00000149">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Sección 7.4</w:t>
            </w:r>
          </w:p>
        </w:tc>
      </w:tr>
    </w:tbl>
    <w:p w:rsidR="00000000" w:rsidDel="00000000" w:rsidP="00000000" w:rsidRDefault="00000000" w:rsidRPr="00000000" w14:paraId="0000014A">
      <w:pPr>
        <w:pBdr>
          <w:top w:space="0" w:sz="0" w:val="nil"/>
          <w:left w:space="0" w:sz="0" w:val="nil"/>
          <w:bottom w:space="0" w:sz="0" w:val="nil"/>
          <w:right w:space="0" w:sz="0" w:val="nil"/>
          <w:between w:space="0" w:sz="0" w:val="nil"/>
        </w:pBdr>
        <w:spacing w:after="180" w:before="180" w:lineRule="auto"/>
        <w:rPr>
          <w:color w:val="000000"/>
        </w:rPr>
      </w:pPr>
      <w:r w:rsidDel="00000000" w:rsidR="00000000" w:rsidRPr="00000000">
        <w:rPr>
          <w:b w:val="1"/>
          <w:bCs w:val="1"/>
          <w:color w:val="000000"/>
          <w:rtl w:val="0"/>
        </w:rPr>
        <w:t xml:space="preserve">Nota de alcance:</w:t>
      </w:r>
      <w:r w:rsidDel="00000000" w:rsidR="00000000" w:rsidRPr="00000000">
        <w:rPr>
          <w:color w:val="000000"/>
          <w:rtl w:val="0"/>
        </w:rPr>
        <w:t xml:space="preserve"> el hexbin de densidad (6.3) y el boxplot de calificación por género (6.4) no están replicados en el dashboard interactivo porque Looker Studio no soporta nativamente esos tipos de gráfico; se mantienen como imágenes estáticas generadas desde el notebook (sección 7.3 y 7.5 de este informe) y se referencian aquí como complemento analítico.</w:t>
      </w:r>
    </w:p>
    <w:p w:rsidR="00000000" w:rsidDel="00000000" w:rsidP="00000000" w:rsidRDefault="00000000" w:rsidRPr="00000000" w14:paraId="0000014B">
      <w:pPr>
        <w:pBdr>
          <w:top w:space="0" w:sz="0" w:val="nil"/>
          <w:left w:space="0" w:sz="0" w:val="nil"/>
          <w:bottom w:space="0" w:sz="0" w:val="nil"/>
          <w:right w:space="0" w:sz="0" w:val="nil"/>
          <w:between w:space="0" w:sz="0" w:val="nil"/>
        </w:pBdr>
        <w:spacing w:after="180" w:before="180" w:lineRule="auto"/>
        <w:rPr>
          <w:color w:val="000000"/>
        </w:rPr>
      </w:pPr>
      <w:r w:rsidDel="00000000" w:rsidR="00000000" w:rsidRPr="00000000">
        <w:rPr>
          <w:b w:val="1"/>
          <w:bCs w:val="1"/>
          <w:color w:val="000000"/>
          <w:rtl w:val="0"/>
        </w:rPr>
        <w:t xml:space="preserve">Enlace al dashboard:</w:t>
      </w:r>
      <w:r w:rsidDel="00000000" w:rsidR="00000000" w:rsidRPr="00000000">
        <w:rPr>
          <w:color w:val="000000"/>
          <w:rtl w:val="0"/>
        </w:rPr>
        <w:t xml:space="preserve"> [pendiente — pegar aquí la URL de “Compartir” de Looker Studio antes de la entrega]</w:t>
      </w:r>
    </w:p>
    <w:p w:rsidR="00000000" w:rsidDel="00000000" w:rsidP="00000000" w:rsidRDefault="00000000" w:rsidRPr="00000000" w14:paraId="0000014C">
      <w:pPr>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14D">
      <w:pPr>
        <w:pBdr>
          <w:top w:space="0" w:sz="0" w:val="nil"/>
          <w:left w:space="0" w:sz="0" w:val="nil"/>
          <w:bottom w:space="0" w:sz="0" w:val="nil"/>
          <w:right w:space="0" w:sz="0" w:val="nil"/>
          <w:between w:space="0" w:sz="0" w:val="nil"/>
        </w:pBdr>
        <w:spacing w:after="180" w:before="180" w:lineRule="auto"/>
        <w:rPr>
          <w:color w:val="000000"/>
        </w:rPr>
      </w:pPr>
      <w:r w:rsidDel="00000000" w:rsidR="00000000" w:rsidRPr="00000000">
        <w:rPr>
          <w:b w:val="1"/>
          <w:bCs w:val="1"/>
          <w:color w:val="000000"/>
          <w:rtl w:val="0"/>
        </w:rPr>
        <w:t xml:space="preserve">Vista 1 — KPIs, filtros, popularidad por año y top géneros:</w:t>
      </w:r>
      <w:r w:rsidDel="00000000" w:rsidR="00000000" w:rsidRPr="00000000">
        <w:rPr>
          <w:rtl w:val="0"/>
        </w:rPr>
      </w:r>
    </w:p>
    <w:p w:rsidR="00000000" w:rsidDel="00000000" w:rsidP="00000000" w:rsidRDefault="00000000" w:rsidRPr="00000000" w14:paraId="0000014E">
      <w:pPr>
        <w:keepNext w:val="1"/>
        <w:pBdr>
          <w:top w:space="0" w:sz="0" w:val="nil"/>
          <w:left w:space="0" w:sz="0" w:val="nil"/>
          <w:bottom w:space="0" w:sz="0" w:val="nil"/>
          <w:right w:space="0" w:sz="0" w:val="nil"/>
          <w:between w:space="0" w:sz="0" w:val="nil"/>
        </w:pBdr>
        <w:rPr>
          <w:color w:val="000000"/>
        </w:rPr>
      </w:pPr>
      <w:r w:rsidDel="00000000" w:rsidR="00000000" w:rsidRPr="00000000">
        <w:rPr>
          <w:color w:val="000000"/>
        </w:rPr>
        <w:drawing>
          <wp:inline distB="0" distT="0" distL="0" distR="0">
            <wp:extent cx="5612130" cy="2886075"/>
            <wp:effectExtent b="0" l="0" r="0" t="0"/>
            <wp:docPr id="3" name="image11.png"/>
            <a:graphic>
              <a:graphicData uri="http://schemas.openxmlformats.org/drawingml/2006/picture">
                <pic:pic>
                  <pic:nvPicPr>
                    <pic:cNvPr id="0" name="image11.png"/>
                    <pic:cNvPicPr preferRelativeResize="0"/>
                  </pic:nvPicPr>
                  <pic:blipFill>
                    <a:blip r:embed="rId6"/>
                    <a:srcRect b="0" l="0" r="0" t="0"/>
                    <a:stretch>
                      <a:fillRect/>
                    </a:stretch>
                  </pic:blipFill>
                  <pic:spPr>
                    <a:xfrm>
                      <a:off x="0" y="0"/>
                      <a:ext cx="5612130" cy="2886075"/>
                    </a:xfrm>
                    <a:prstGeom prst="rect"/>
                    <a:ln/>
                  </pic:spPr>
                </pic:pic>
              </a:graphicData>
            </a:graphic>
          </wp:inline>
        </w:drawing>
      </w:r>
      <w:r w:rsidDel="00000000" w:rsidR="00000000" w:rsidRPr="00000000">
        <w:rPr>
          <w:rtl w:val="0"/>
        </w:rPr>
      </w:r>
    </w:p>
    <w:p w:rsidR="00000000" w:rsidDel="00000000" w:rsidP="00000000" w:rsidRDefault="00000000" w:rsidRPr="00000000" w14:paraId="0000014F">
      <w:pPr>
        <w:pBdr>
          <w:top w:space="0" w:sz="0" w:val="nil"/>
          <w:left w:space="0" w:sz="0" w:val="nil"/>
          <w:bottom w:space="0" w:sz="0" w:val="nil"/>
          <w:right w:space="0" w:sz="0" w:val="nil"/>
          <w:between w:space="0" w:sz="0" w:val="nil"/>
        </w:pBdr>
        <w:spacing w:after="120" w:lineRule="auto"/>
        <w:rPr>
          <w:i w:val="1"/>
          <w:iCs w:val="1"/>
          <w:color w:val="000000"/>
        </w:rPr>
      </w:pPr>
      <w:r w:rsidDel="00000000" w:rsidR="00000000" w:rsidRPr="00000000">
        <w:rPr>
          <w:i w:val="1"/>
          <w:iCs w:val="1"/>
          <w:color w:val="000000"/>
          <w:rtl w:val="0"/>
        </w:rPr>
        <w:t xml:space="preserve">Dashboard vista 1</w:t>
      </w:r>
    </w:p>
    <w:p w:rsidR="00000000" w:rsidDel="00000000" w:rsidP="00000000" w:rsidRDefault="00000000" w:rsidRPr="00000000" w14:paraId="00000150">
      <w:pPr>
        <w:pBdr>
          <w:top w:space="0" w:sz="0" w:val="nil"/>
          <w:left w:space="0" w:sz="0" w:val="nil"/>
          <w:bottom w:space="0" w:sz="0" w:val="nil"/>
          <w:right w:space="0" w:sz="0" w:val="nil"/>
          <w:between w:space="0" w:sz="0" w:val="nil"/>
        </w:pBdr>
        <w:spacing w:after="120" w:lineRule="auto"/>
        <w:rPr>
          <w:i w:val="1"/>
          <w:iCs w:val="1"/>
          <w:color w:val="000000"/>
        </w:rPr>
      </w:pPr>
      <w:r w:rsidDel="00000000" w:rsidR="00000000" w:rsidRPr="00000000">
        <w:rPr>
          <w:b w:val="1"/>
          <w:bCs w:val="1"/>
          <w:i w:val="1"/>
          <w:iCs w:val="1"/>
          <w:color w:val="000000"/>
          <w:rtl w:val="0"/>
        </w:rPr>
        <w:t xml:space="preserve">Vista 2 — Top países, presupuesto vs. ingresos y top directores:</w:t>
      </w:r>
      <w:r w:rsidDel="00000000" w:rsidR="00000000" w:rsidRPr="00000000">
        <w:rPr>
          <w:rtl w:val="0"/>
        </w:rPr>
      </w:r>
    </w:p>
    <w:p w:rsidR="00000000" w:rsidDel="00000000" w:rsidP="00000000" w:rsidRDefault="00000000" w:rsidRPr="00000000" w14:paraId="00000151">
      <w:pPr>
        <w:keepNext w:val="1"/>
        <w:pBdr>
          <w:top w:space="0" w:sz="0" w:val="nil"/>
          <w:left w:space="0" w:sz="0" w:val="nil"/>
          <w:bottom w:space="0" w:sz="0" w:val="nil"/>
          <w:right w:space="0" w:sz="0" w:val="nil"/>
          <w:between w:space="0" w:sz="0" w:val="nil"/>
        </w:pBdr>
        <w:rPr>
          <w:color w:val="000000"/>
        </w:rPr>
      </w:pPr>
      <w:r w:rsidDel="00000000" w:rsidR="00000000" w:rsidRPr="00000000">
        <w:rPr>
          <w:color w:val="000000"/>
        </w:rPr>
        <w:drawing>
          <wp:inline distB="0" distT="0" distL="0" distR="0">
            <wp:extent cx="4763099" cy="3591377"/>
            <wp:effectExtent b="0" l="0" r="0" t="0"/>
            <wp:docPr descr="Dashboard vista 2" id="5" name="image3.jpg"/>
            <a:graphic>
              <a:graphicData uri="http://schemas.openxmlformats.org/drawingml/2006/picture">
                <pic:pic>
                  <pic:nvPicPr>
                    <pic:cNvPr descr="Dashboard vista 2" id="0" name="image3.jpg"/>
                    <pic:cNvPicPr preferRelativeResize="0"/>
                  </pic:nvPicPr>
                  <pic:blipFill>
                    <a:blip r:embed="rId7"/>
                    <a:srcRect b="0" l="0" r="0" t="0"/>
                    <a:stretch>
                      <a:fillRect/>
                    </a:stretch>
                  </pic:blipFill>
                  <pic:spPr>
                    <a:xfrm>
                      <a:off x="0" y="0"/>
                      <a:ext cx="4763099" cy="3591377"/>
                    </a:xfrm>
                    <a:prstGeom prst="rect"/>
                    <a:ln/>
                  </pic:spPr>
                </pic:pic>
              </a:graphicData>
            </a:graphic>
          </wp:inline>
        </w:drawing>
      </w:r>
      <w:r w:rsidDel="00000000" w:rsidR="00000000" w:rsidRPr="00000000">
        <w:rPr>
          <w:rtl w:val="0"/>
        </w:rPr>
      </w:r>
    </w:p>
    <w:p w:rsidR="00000000" w:rsidDel="00000000" w:rsidP="00000000" w:rsidRDefault="00000000" w:rsidRPr="00000000" w14:paraId="00000152">
      <w:pPr>
        <w:pBdr>
          <w:top w:space="0" w:sz="0" w:val="nil"/>
          <w:left w:space="0" w:sz="0" w:val="nil"/>
          <w:bottom w:space="0" w:sz="0" w:val="nil"/>
          <w:right w:space="0" w:sz="0" w:val="nil"/>
          <w:between w:space="0" w:sz="0" w:val="nil"/>
        </w:pBdr>
        <w:spacing w:after="120" w:lineRule="auto"/>
        <w:rPr>
          <w:i w:val="1"/>
          <w:iCs w:val="1"/>
          <w:color w:val="000000"/>
        </w:rPr>
      </w:pPr>
      <w:r w:rsidDel="00000000" w:rsidR="00000000" w:rsidRPr="00000000">
        <w:rPr>
          <w:i w:val="1"/>
          <w:iCs w:val="1"/>
          <w:color w:val="000000"/>
          <w:rtl w:val="0"/>
        </w:rPr>
        <w:t xml:space="preserve">Dashboard vista 2</w:t>
      </w:r>
    </w:p>
    <w:bookmarkStart w:colFirst="0" w:colLast="0" w:name="tl2dw2q67610" w:id="36"/>
    <w:bookmarkEnd w:id="36"/>
    <w:p w:rsidR="00000000" w:rsidDel="00000000" w:rsidP="00000000" w:rsidRDefault="00000000" w:rsidRPr="00000000" w14:paraId="00000153">
      <w:pPr>
        <w:pStyle w:val="Heading1"/>
        <w:rPr/>
      </w:pPr>
      <w:bookmarkStart w:colFirst="0" w:colLast="0" w:name="_rp1icm6tt971" w:id="37"/>
      <w:bookmarkEnd w:id="37"/>
      <w:r w:rsidDel="00000000" w:rsidR="00000000" w:rsidRPr="00000000">
        <w:rPr>
          <w:rtl w:val="0"/>
        </w:rPr>
        <w:t xml:space="preserve">9. Evaluación Crítica de la Solución</w:t>
      </w:r>
    </w:p>
    <w:bookmarkStart w:colFirst="0" w:colLast="0" w:name="l7k0ixutv0gr" w:id="38"/>
    <w:bookmarkEnd w:id="38"/>
    <w:p w:rsidR="00000000" w:rsidDel="00000000" w:rsidP="00000000" w:rsidRDefault="00000000" w:rsidRPr="00000000" w14:paraId="00000154">
      <w:pPr>
        <w:pStyle w:val="Heading2"/>
        <w:rPr/>
      </w:pPr>
      <w:bookmarkStart w:colFirst="0" w:colLast="0" w:name="_6l532psxppsy" w:id="39"/>
      <w:bookmarkEnd w:id="39"/>
      <w:r w:rsidDel="00000000" w:rsidR="00000000" w:rsidRPr="00000000">
        <w:rPr>
          <w:rtl w:val="0"/>
        </w:rPr>
        <w:t xml:space="preserve">9.1 Fortalezas</w:t>
      </w:r>
    </w:p>
    <w:tbl>
      <w:tblPr>
        <w:tblStyle w:val="Table13"/>
        <w:tblW w:w="9054.0" w:type="dxa"/>
        <w:jc w:val="left"/>
        <w:tblInd w:w="-108.0" w:type="dxa"/>
        <w:tblLayout w:type="fixed"/>
        <w:tblLook w:val="0020"/>
      </w:tblPr>
      <w:tblGrid>
        <w:gridCol w:w="2690"/>
        <w:gridCol w:w="6364"/>
        <w:tblGridChange w:id="0">
          <w:tblGrid>
            <w:gridCol w:w="2690"/>
            <w:gridCol w:w="6364"/>
          </w:tblGrid>
        </w:tblGridChange>
      </w:tblGrid>
      <w:tr>
        <w:trPr>
          <w:cantSplit w:val="0"/>
          <w:tblHeader w:val="1"/>
        </w:trPr>
        <w:tc>
          <w:tcPr/>
          <w:p w:rsidR="00000000" w:rsidDel="00000000" w:rsidP="00000000" w:rsidRDefault="00000000" w:rsidRPr="00000000" w14:paraId="00000155">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Fortaleza</w:t>
            </w:r>
          </w:p>
        </w:tc>
        <w:tc>
          <w:tcPr/>
          <w:p w:rsidR="00000000" w:rsidDel="00000000" w:rsidP="00000000" w:rsidRDefault="00000000" w:rsidRPr="00000000" w14:paraId="00000156">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Descripción</w:t>
            </w:r>
          </w:p>
        </w:tc>
      </w:tr>
      <w:tr>
        <w:trPr>
          <w:cantSplit w:val="0"/>
          <w:tblHeader w:val="0"/>
        </w:trPr>
        <w:tc>
          <w:tcPr/>
          <w:p w:rsidR="00000000" w:rsidDel="00000000" w:rsidP="00000000" w:rsidRDefault="00000000" w:rsidRPr="00000000" w14:paraId="00000157">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Cobertura temporal amplia</w:t>
            </w:r>
          </w:p>
        </w:tc>
        <w:tc>
          <w:tcPr/>
          <w:p w:rsidR="00000000" w:rsidDel="00000000" w:rsidP="00000000" w:rsidRDefault="00000000" w:rsidRPr="00000000" w14:paraId="00000158">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16 años de datos (2010–2025) permite identificar tendencias de largo plazo</w:t>
            </w:r>
          </w:p>
        </w:tc>
      </w:tr>
      <w:tr>
        <w:trPr>
          <w:cantSplit w:val="0"/>
          <w:tblHeader w:val="0"/>
        </w:trPr>
        <w:tc>
          <w:tcPr/>
          <w:p w:rsidR="00000000" w:rsidDel="00000000" w:rsidP="00000000" w:rsidRDefault="00000000" w:rsidRPr="00000000" w14:paraId="00000159">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Diversidad de dimensiones</w:t>
            </w:r>
          </w:p>
        </w:tc>
        <w:tc>
          <w:tcPr/>
          <w:p w:rsidR="00000000" w:rsidDel="00000000" w:rsidP="00000000" w:rsidRDefault="00000000" w:rsidRPr="00000000" w14:paraId="0000015A">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Se analizan popularidad, calificación, género, país y datos financieros de forma integrada</w:t>
            </w:r>
          </w:p>
        </w:tc>
      </w:tr>
      <w:tr>
        <w:trPr>
          <w:cantSplit w:val="0"/>
          <w:tblHeader w:val="0"/>
        </w:trPr>
        <w:tc>
          <w:tcPr/>
          <w:p w:rsidR="00000000" w:rsidDel="00000000" w:rsidP="00000000" w:rsidRDefault="00000000" w:rsidRPr="00000000" w14:paraId="0000015B">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Separación de proxies</w:t>
            </w:r>
          </w:p>
        </w:tc>
        <w:tc>
          <w:tcPr/>
          <w:p w:rsidR="00000000" w:rsidDel="00000000" w:rsidP="00000000" w:rsidRDefault="00000000" w:rsidRPr="00000000" w14:paraId="0000015C">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Se distingue explícitamente entre engagement y calidad percibida, evitando conclusiones erróneas</w:t>
            </w:r>
          </w:p>
        </w:tc>
      </w:tr>
      <w:tr>
        <w:trPr>
          <w:cantSplit w:val="0"/>
          <w:tblHeader w:val="0"/>
        </w:trPr>
        <w:tc>
          <w:tcPr/>
          <w:p w:rsidR="00000000" w:rsidDel="00000000" w:rsidP="00000000" w:rsidRDefault="00000000" w:rsidRPr="00000000" w14:paraId="0000015D">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Datos financieros tratados con rigor</w:t>
            </w:r>
          </w:p>
        </w:tc>
        <w:tc>
          <w:tcPr/>
          <w:p w:rsidR="00000000" w:rsidDel="00000000" w:rsidP="00000000" w:rsidRDefault="00000000" w:rsidRPr="00000000" w14:paraId="0000015E">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Los ceros en </w:t>
            </w:r>
            <w:r w:rsidDel="00000000" w:rsidR="00000000" w:rsidRPr="00000000">
              <w:rPr>
                <w:rFonts w:ascii="Consolas" w:cs="Consolas" w:eastAsia="Consolas" w:hAnsi="Consolas"/>
                <w:color w:val="000000"/>
                <w:sz w:val="22"/>
                <w:szCs w:val="22"/>
                <w:rtl w:val="0"/>
              </w:rPr>
              <w:t xml:space="preserve">budget</w:t>
            </w:r>
            <w:r w:rsidDel="00000000" w:rsidR="00000000" w:rsidRPr="00000000">
              <w:rPr>
                <w:color w:val="000000"/>
                <w:rtl w:val="0"/>
              </w:rPr>
              <w:t xml:space="preserve">/</w:t>
            </w:r>
            <w:r w:rsidDel="00000000" w:rsidR="00000000" w:rsidRPr="00000000">
              <w:rPr>
                <w:rFonts w:ascii="Consolas" w:cs="Consolas" w:eastAsia="Consolas" w:hAnsi="Consolas"/>
                <w:color w:val="000000"/>
                <w:sz w:val="22"/>
                <w:szCs w:val="22"/>
                <w:rtl w:val="0"/>
              </w:rPr>
              <w:t xml:space="preserve">revenue</w:t>
            </w:r>
            <w:r w:rsidDel="00000000" w:rsidR="00000000" w:rsidRPr="00000000">
              <w:rPr>
                <w:color w:val="000000"/>
                <w:rtl w:val="0"/>
              </w:rPr>
              <w:t xml:space="preserve"> se tratan como faltantes, no como valores reales; se usa mediana para el ROI</w:t>
            </w:r>
          </w:p>
        </w:tc>
      </w:tr>
      <w:tr>
        <w:trPr>
          <w:cantSplit w:val="0"/>
          <w:tblHeader w:val="0"/>
        </w:trPr>
        <w:tc>
          <w:tcPr/>
          <w:p w:rsidR="00000000" w:rsidDel="00000000" w:rsidP="00000000" w:rsidRDefault="00000000" w:rsidRPr="00000000" w14:paraId="0000015F">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Pipeline reproducible</w:t>
            </w:r>
          </w:p>
        </w:tc>
        <w:tc>
          <w:tcPr/>
          <w:p w:rsidR="00000000" w:rsidDel="00000000" w:rsidP="00000000" w:rsidRDefault="00000000" w:rsidRPr="00000000" w14:paraId="00000160">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El notebook ejecuta todo de extremo a extremo: carga → limpieza → EDA → exportación → hallazgos</w:t>
            </w:r>
          </w:p>
        </w:tc>
      </w:tr>
    </w:tbl>
    <w:bookmarkStart w:colFirst="0" w:colLast="0" w:name="3coqgb33of37" w:id="40"/>
    <w:bookmarkEnd w:id="40"/>
    <w:p w:rsidR="00000000" w:rsidDel="00000000" w:rsidP="00000000" w:rsidRDefault="00000000" w:rsidRPr="00000000" w14:paraId="00000161">
      <w:pPr>
        <w:pStyle w:val="Heading2"/>
        <w:rPr/>
      </w:pPr>
      <w:bookmarkStart w:colFirst="0" w:colLast="0" w:name="_bmwbe0zbq15r" w:id="41"/>
      <w:bookmarkEnd w:id="41"/>
      <w:r w:rsidDel="00000000" w:rsidR="00000000" w:rsidRPr="00000000">
        <w:rPr>
          <w:rtl w:val="0"/>
        </w:rPr>
        <w:t xml:space="preserve">9.2 Limitaciones</w:t>
      </w:r>
    </w:p>
    <w:tbl>
      <w:tblPr>
        <w:tblStyle w:val="Table14"/>
        <w:tblW w:w="9054.0" w:type="dxa"/>
        <w:jc w:val="left"/>
        <w:tblInd w:w="-108.0" w:type="dxa"/>
        <w:tblLayout w:type="fixed"/>
        <w:tblLook w:val="0020"/>
      </w:tblPr>
      <w:tblGrid>
        <w:gridCol w:w="2603"/>
        <w:gridCol w:w="6451"/>
        <w:tblGridChange w:id="0">
          <w:tblGrid>
            <w:gridCol w:w="2603"/>
            <w:gridCol w:w="6451"/>
          </w:tblGrid>
        </w:tblGridChange>
      </w:tblGrid>
      <w:tr>
        <w:trPr>
          <w:cantSplit w:val="0"/>
          <w:tblHeader w:val="1"/>
        </w:trPr>
        <w:tc>
          <w:tcPr/>
          <w:p w:rsidR="00000000" w:rsidDel="00000000" w:rsidP="00000000" w:rsidRDefault="00000000" w:rsidRPr="00000000" w14:paraId="00000162">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Limitación</w:t>
            </w:r>
          </w:p>
        </w:tc>
        <w:tc>
          <w:tcPr/>
          <w:p w:rsidR="00000000" w:rsidDel="00000000" w:rsidP="00000000" w:rsidRDefault="00000000" w:rsidRPr="00000000" w14:paraId="00000163">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Impacto</w:t>
            </w:r>
          </w:p>
        </w:tc>
      </w:tr>
      <w:tr>
        <w:trPr>
          <w:cantSplit w:val="0"/>
          <w:tblHeader w:val="0"/>
        </w:trPr>
        <w:tc>
          <w:tcPr/>
          <w:p w:rsidR="00000000" w:rsidDel="00000000" w:rsidP="00000000" w:rsidRDefault="00000000" w:rsidRPr="00000000" w14:paraId="00000164">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Dataset balanceado artificialmente</w:t>
            </w:r>
          </w:p>
        </w:tc>
        <w:tc>
          <w:tcPr/>
          <w:p w:rsidR="00000000" w:rsidDel="00000000" w:rsidP="00000000" w:rsidRDefault="00000000" w:rsidRPr="00000000" w14:paraId="00000165">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1.000 títulos exactos por año es irreal; no se puede analizar el crecimiento real del catálogo</w:t>
            </w:r>
          </w:p>
        </w:tc>
      </w:tr>
      <w:tr>
        <w:trPr>
          <w:cantSplit w:val="0"/>
          <w:tblHeader w:val="0"/>
        </w:trPr>
        <w:tc>
          <w:tcPr/>
          <w:p w:rsidR="00000000" w:rsidDel="00000000" w:rsidP="00000000" w:rsidRDefault="00000000" w:rsidRPr="00000000" w14:paraId="00000166">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78% sin datos financieros</w:t>
            </w:r>
          </w:p>
        </w:tc>
        <w:tc>
          <w:tcPr/>
          <w:p w:rsidR="00000000" w:rsidDel="00000000" w:rsidP="00000000" w:rsidRDefault="00000000" w:rsidRPr="00000000" w14:paraId="00000167">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Imposible calcular ROI del catálogo completo; las conclusiones financieras aplican a solo 1 de cada 5 títulos</w:t>
            </w:r>
          </w:p>
        </w:tc>
      </w:tr>
      <w:tr>
        <w:trPr>
          <w:cantSplit w:val="0"/>
          <w:tblHeader w:val="0"/>
        </w:trPr>
        <w:tc>
          <w:tcPr/>
          <w:p w:rsidR="00000000" w:rsidDel="00000000" w:rsidP="00000000" w:rsidRDefault="00000000" w:rsidRPr="00000000" w14:paraId="00000168">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rFonts w:ascii="Consolas" w:cs="Consolas" w:eastAsia="Consolas" w:hAnsi="Consolas"/>
                <w:color w:val="000000"/>
                <w:sz w:val="22"/>
                <w:szCs w:val="22"/>
                <w:rtl w:val="0"/>
              </w:rPr>
              <w:t xml:space="preserve">popularity</w:t>
            </w:r>
            <w:r w:rsidDel="00000000" w:rsidR="00000000" w:rsidRPr="00000000">
              <w:rPr>
                <w:color w:val="000000"/>
                <w:rtl w:val="0"/>
              </w:rPr>
              <w:t xml:space="preserve"> no está definida</w:t>
            </w:r>
          </w:p>
        </w:tc>
        <w:tc>
          <w:tcPr/>
          <w:p w:rsidR="00000000" w:rsidDel="00000000" w:rsidP="00000000" w:rsidRDefault="00000000" w:rsidRPr="00000000" w14:paraId="00000169">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No se sabe si refleja reproducciones, búsquedas o ratings externos. El pico de 2024 podría ser un artefacto</w:t>
            </w:r>
          </w:p>
        </w:tc>
      </w:tr>
      <w:tr>
        <w:trPr>
          <w:cantSplit w:val="0"/>
          <w:tblHeader w:val="0"/>
        </w:trPr>
        <w:tc>
          <w:tcPr/>
          <w:p w:rsidR="00000000" w:rsidDel="00000000" w:rsidP="00000000" w:rsidRDefault="00000000" w:rsidRPr="00000000" w14:paraId="0000016A">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Sin datos de usuarios</w:t>
            </w:r>
          </w:p>
        </w:tc>
        <w:tc>
          <w:tcPr/>
          <w:p w:rsidR="00000000" w:rsidDel="00000000" w:rsidP="00000000" w:rsidRDefault="00000000" w:rsidRPr="00000000" w14:paraId="0000016B">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No hay segmentación demográfica ni historial de visualización; análisis limitado al catálogo</w:t>
            </w:r>
          </w:p>
        </w:tc>
      </w:tr>
      <w:tr>
        <w:trPr>
          <w:cantSplit w:val="0"/>
          <w:tblHeader w:val="0"/>
        </w:trPr>
        <w:tc>
          <w:tcPr/>
          <w:p w:rsidR="00000000" w:rsidDel="00000000" w:rsidP="00000000" w:rsidRDefault="00000000" w:rsidRPr="00000000" w14:paraId="0000016C">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rFonts w:ascii="Consolas" w:cs="Consolas" w:eastAsia="Consolas" w:hAnsi="Consolas"/>
                <w:color w:val="000000"/>
                <w:sz w:val="22"/>
                <w:szCs w:val="22"/>
                <w:rtl w:val="0"/>
              </w:rPr>
              <w:t xml:space="preserve">vote_average</w:t>
            </w:r>
            <w:r w:rsidDel="00000000" w:rsidR="00000000" w:rsidRPr="00000000">
              <w:rPr>
                <w:color w:val="000000"/>
                <w:rtl w:val="0"/>
              </w:rPr>
              <w:t xml:space="preserve"> sesgada en 2025</w:t>
            </w:r>
          </w:p>
        </w:tc>
        <w:tc>
          <w:tcPr/>
          <w:p w:rsidR="00000000" w:rsidDel="00000000" w:rsidP="00000000" w:rsidRDefault="00000000" w:rsidRPr="00000000" w14:paraId="0000016D">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Los títulos más recientes tienen muy pocos votos; el promedio de 1,71 en 2025 no es representativo</w:t>
            </w:r>
          </w:p>
        </w:tc>
      </w:tr>
      <w:tr>
        <w:trPr>
          <w:cantSplit w:val="0"/>
          <w:tblHeader w:val="0"/>
        </w:trPr>
        <w:tc>
          <w:tcPr/>
          <w:p w:rsidR="00000000" w:rsidDel="00000000" w:rsidP="00000000" w:rsidRDefault="00000000" w:rsidRPr="00000000" w14:paraId="0000016E">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Géneros y países multi-etiqueta</w:t>
            </w:r>
          </w:p>
        </w:tc>
        <w:tc>
          <w:tcPr/>
          <w:p w:rsidR="00000000" w:rsidDel="00000000" w:rsidP="00000000" w:rsidRDefault="00000000" w:rsidRPr="00000000" w14:paraId="0000016F">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tl w:val="0"/>
              </w:rPr>
              <w:t xml:space="preserve">Un mismo título puede tener varios géneros/países; el análisis en formato largo puede sobrerepresentar ciertos títulos</w:t>
            </w:r>
          </w:p>
        </w:tc>
      </w:tr>
    </w:tbl>
    <w:bookmarkStart w:colFirst="0" w:colLast="0" w:name="6fv8bo1m0uxr" w:id="42"/>
    <w:bookmarkEnd w:id="42"/>
    <w:p w:rsidR="00000000" w:rsidDel="00000000" w:rsidP="00000000" w:rsidRDefault="00000000" w:rsidRPr="00000000" w14:paraId="00000170">
      <w:pPr>
        <w:pStyle w:val="Heading2"/>
        <w:rPr/>
      </w:pPr>
      <w:bookmarkStart w:colFirst="0" w:colLast="0" w:name="_257j5r5le0g" w:id="43"/>
      <w:bookmarkEnd w:id="43"/>
      <w:r w:rsidDel="00000000" w:rsidR="00000000" w:rsidRPr="00000000">
        <w:rPr>
          <w:rtl w:val="0"/>
        </w:rPr>
        <w:t xml:space="preserve">9.3 Mejoras Propuestas</w:t>
      </w:r>
    </w:p>
    <w:p w:rsidR="00000000" w:rsidDel="00000000" w:rsidP="00000000" w:rsidRDefault="00000000" w:rsidRPr="00000000" w14:paraId="00000171">
      <w:pPr>
        <w:numPr>
          <w:ilvl w:val="0"/>
          <w:numId w:val="1"/>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color w:val="000000"/>
          <w:rtl w:val="0"/>
        </w:rPr>
        <w:t xml:space="preserve">Enriquecer el dataset financiero mediante integración con fuentes externas (IMDb Pro, Box Office Mojo) para aumentar la cobertura más allá del 22%.</w:t>
      </w:r>
    </w:p>
    <w:p w:rsidR="00000000" w:rsidDel="00000000" w:rsidP="00000000" w:rsidRDefault="00000000" w:rsidRPr="00000000" w14:paraId="00000172">
      <w:pPr>
        <w:numPr>
          <w:ilvl w:val="0"/>
          <w:numId w:val="1"/>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color w:val="000000"/>
          <w:rtl w:val="0"/>
        </w:rPr>
        <w:t xml:space="preserve">Incorporar datos de usuarios (vistas, tiempo de reproducción, tasa de abandono) para reemplazar </w:t>
      </w:r>
      <w:r w:rsidDel="00000000" w:rsidR="00000000" w:rsidRPr="00000000">
        <w:rPr>
          <w:rFonts w:ascii="Consolas" w:cs="Consolas" w:eastAsia="Consolas" w:hAnsi="Consolas"/>
          <w:color w:val="000000"/>
          <w:sz w:val="22"/>
          <w:szCs w:val="22"/>
          <w:rtl w:val="0"/>
        </w:rPr>
        <w:t xml:space="preserve">popularity</w:t>
      </w:r>
      <w:r w:rsidDel="00000000" w:rsidR="00000000" w:rsidRPr="00000000">
        <w:rPr>
          <w:color w:val="000000"/>
          <w:rtl w:val="0"/>
        </w:rPr>
        <w:t xml:space="preserve"> como proxy con una métrica interna verificable.</w:t>
      </w:r>
    </w:p>
    <w:p w:rsidR="00000000" w:rsidDel="00000000" w:rsidP="00000000" w:rsidRDefault="00000000" w:rsidRPr="00000000" w14:paraId="00000173">
      <w:pPr>
        <w:numPr>
          <w:ilvl w:val="0"/>
          <w:numId w:val="1"/>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color w:val="000000"/>
          <w:rtl w:val="0"/>
        </w:rPr>
        <w:t xml:space="preserve">Normalizar la métrica de popularidad para eliminar el posible sesgo de recencia (2021–2024), o aplicar un modelo de decaimiento temporal.</w:t>
      </w:r>
    </w:p>
    <w:p w:rsidR="00000000" w:rsidDel="00000000" w:rsidP="00000000" w:rsidRDefault="00000000" w:rsidRPr="00000000" w14:paraId="00000174">
      <w:pPr>
        <w:numPr>
          <w:ilvl w:val="0"/>
          <w:numId w:val="1"/>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color w:val="000000"/>
          <w:rtl w:val="0"/>
        </w:rPr>
        <w:t xml:space="preserve">Excluir 2025 de comparaciones de calificación hasta que los títulos acumulen suficientes votos (filtro mínimo de 100 votos por título).</w:t>
      </w:r>
    </w:p>
    <w:p w:rsidR="00000000" w:rsidDel="00000000" w:rsidP="00000000" w:rsidRDefault="00000000" w:rsidRPr="00000000" w14:paraId="00000175">
      <w:pPr>
        <w:numPr>
          <w:ilvl w:val="0"/>
          <w:numId w:val="1"/>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color w:val="000000"/>
          <w:rtl w:val="0"/>
        </w:rPr>
        <w:t xml:space="preserve">Añadir análisis de combinaciones género × país para identificar nichos con mejor relación popularidad/calificación/ROI.</w:t>
      </w:r>
    </w:p>
    <w:bookmarkStart w:colFirst="0" w:colLast="0" w:name="6svg7ce5fk3t" w:id="44"/>
    <w:bookmarkEnd w:id="44"/>
    <w:p w:rsidR="00000000" w:rsidDel="00000000" w:rsidP="00000000" w:rsidRDefault="00000000" w:rsidRPr="00000000" w14:paraId="00000176">
      <w:pPr>
        <w:pStyle w:val="Heading1"/>
        <w:rPr/>
      </w:pPr>
      <w:bookmarkStart w:colFirst="0" w:colLast="0" w:name="_4llnultare3" w:id="45"/>
      <w:bookmarkEnd w:id="45"/>
      <w:r w:rsidDel="00000000" w:rsidR="00000000" w:rsidRPr="00000000">
        <w:rPr>
          <w:rtl w:val="0"/>
        </w:rPr>
        <w:t xml:space="preserve">10. Conclusiones y Recomendaciones de Negocio</w:t>
      </w:r>
    </w:p>
    <w:bookmarkStart w:colFirst="0" w:colLast="0" w:name="o69sq5nnqu93" w:id="46"/>
    <w:bookmarkEnd w:id="46"/>
    <w:p w:rsidR="00000000" w:rsidDel="00000000" w:rsidP="00000000" w:rsidRDefault="00000000" w:rsidRPr="00000000" w14:paraId="00000177">
      <w:pPr>
        <w:pStyle w:val="Heading2"/>
        <w:rPr/>
      </w:pPr>
      <w:bookmarkStart w:colFirst="0" w:colLast="0" w:name="_mxkyrw9amnet" w:id="47"/>
      <w:bookmarkEnd w:id="47"/>
      <w:r w:rsidDel="00000000" w:rsidR="00000000" w:rsidRPr="00000000">
        <w:rPr>
          <w:rtl w:val="0"/>
        </w:rPr>
        <w:t xml:space="preserve">Conclusiones</w:t>
      </w:r>
    </w:p>
    <w:p w:rsidR="00000000" w:rsidDel="00000000" w:rsidP="00000000" w:rsidRDefault="00000000" w:rsidRPr="00000000" w14:paraId="00000178">
      <w:pPr>
        <w:numPr>
          <w:ilvl w:val="0"/>
          <w:numId w:val="2"/>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color w:val="000000"/>
          <w:rtl w:val="0"/>
        </w:rPr>
        <w:t xml:space="preserve">El catálogo está dominado por Drama, pero el contenido de Acción genera el doble de popularidad con menos títulos — existe un desbalance entre lo que se tiene y lo que genera engagement.</w:t>
      </w:r>
    </w:p>
    <w:p w:rsidR="00000000" w:rsidDel="00000000" w:rsidP="00000000" w:rsidRDefault="00000000" w:rsidRPr="00000000" w14:paraId="00000179">
      <w:pPr>
        <w:numPr>
          <w:ilvl w:val="0"/>
          <w:numId w:val="2"/>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color w:val="000000"/>
          <w:rtl w:val="0"/>
        </w:rPr>
        <w:t xml:space="preserve">Popularidad y calificación son métricas independientes (correlación de 0,071). Usar solo una para evaluar “buen contenido” puede llevar a malas decisiones de adquisición.</w:t>
      </w:r>
    </w:p>
    <w:p w:rsidR="00000000" w:rsidDel="00000000" w:rsidP="00000000" w:rsidRDefault="00000000" w:rsidRPr="00000000" w14:paraId="0000017A">
      <w:pPr>
        <w:numPr>
          <w:ilvl w:val="0"/>
          <w:numId w:val="2"/>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color w:val="000000"/>
          <w:rtl w:val="0"/>
        </w:rPr>
        <w:t xml:space="preserve">El contenido más reciente (2021–2024) concentra el engagement, pero se requiere validación interna para determinar si refleja comportamiento real de usuarios o un sesgo en </w:t>
      </w:r>
      <w:r w:rsidDel="00000000" w:rsidR="00000000" w:rsidRPr="00000000">
        <w:rPr>
          <w:rFonts w:ascii="Consolas" w:cs="Consolas" w:eastAsia="Consolas" w:hAnsi="Consolas"/>
          <w:color w:val="000000"/>
          <w:sz w:val="22"/>
          <w:szCs w:val="22"/>
          <w:rtl w:val="0"/>
        </w:rPr>
        <w:t xml:space="preserve">popularity</w:t>
      </w:r>
      <w:r w:rsidDel="00000000" w:rsidR="00000000" w:rsidRPr="00000000">
        <w:rPr>
          <w:color w:val="000000"/>
          <w:rtl w:val="0"/>
        </w:rPr>
        <w:t xml:space="preserve">.</w:t>
      </w:r>
    </w:p>
    <w:p w:rsidR="00000000" w:rsidDel="00000000" w:rsidP="00000000" w:rsidRDefault="00000000" w:rsidRPr="00000000" w14:paraId="0000017B">
      <w:pPr>
        <w:numPr>
          <w:ilvl w:val="0"/>
          <w:numId w:val="2"/>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color w:val="000000"/>
          <w:rtl w:val="0"/>
        </w:rPr>
        <w:t xml:space="preserve">El 78% del catálogo no tiene datos financieros, lo que hace imposible medir el ROI de forma confiable a escala.</w:t>
      </w:r>
    </w:p>
    <w:p w:rsidR="00000000" w:rsidDel="00000000" w:rsidP="00000000" w:rsidRDefault="00000000" w:rsidRPr="00000000" w14:paraId="0000017C">
      <w:pPr>
        <w:numPr>
          <w:ilvl w:val="0"/>
          <w:numId w:val="2"/>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color w:val="000000"/>
          <w:rtl w:val="0"/>
        </w:rPr>
        <w:t xml:space="preserve">Animation tiene la calificación más alta de todos los géneros (6,74) con popularidad razonable (28,6) — género con mejor balance calidad/engagement.</w:t>
      </w:r>
    </w:p>
    <w:p w:rsidR="00000000" w:rsidDel="00000000" w:rsidP="00000000" w:rsidRDefault="00000000" w:rsidRPr="00000000" w14:paraId="0000017D">
      <w:pPr>
        <w:numPr>
          <w:ilvl w:val="0"/>
          <w:numId w:val="2"/>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color w:val="000000"/>
          <w:rtl w:val="0"/>
        </w:rPr>
        <w:t xml:space="preserve">Japón y Francia tienen las mejores calificaciones promedio entre los principales productores, lo que sugiere una oportunidad de diversificación geográfica.</w:t>
      </w:r>
    </w:p>
    <w:bookmarkStart w:colFirst="0" w:colLast="0" w:name="7vpgvubsq0vu" w:id="48"/>
    <w:bookmarkEnd w:id="48"/>
    <w:p w:rsidR="00000000" w:rsidDel="00000000" w:rsidP="00000000" w:rsidRDefault="00000000" w:rsidRPr="00000000" w14:paraId="0000017E">
      <w:pPr>
        <w:pStyle w:val="Heading2"/>
        <w:rPr/>
      </w:pPr>
      <w:bookmarkStart w:colFirst="0" w:colLast="0" w:name="_zeu5c2i0vvrw" w:id="49"/>
      <w:bookmarkEnd w:id="49"/>
      <w:r w:rsidDel="00000000" w:rsidR="00000000" w:rsidRPr="00000000">
        <w:rPr>
          <w:rtl w:val="0"/>
        </w:rPr>
        <w:t xml:space="preserve">Recomendaciones Priorizadas</w:t>
      </w:r>
    </w:p>
    <w:tbl>
      <w:tblPr>
        <w:tblStyle w:val="Table15"/>
        <w:tblW w:w="9054.0" w:type="dxa"/>
        <w:jc w:val="left"/>
        <w:tblInd w:w="-108.0" w:type="dxa"/>
        <w:tblLayout w:type="fixed"/>
        <w:tblLook w:val="0020"/>
      </w:tblPr>
      <w:tblGrid>
        <w:gridCol w:w="1114"/>
        <w:gridCol w:w="4044"/>
        <w:gridCol w:w="3896"/>
        <w:tblGridChange w:id="0">
          <w:tblGrid>
            <w:gridCol w:w="1114"/>
            <w:gridCol w:w="4044"/>
            <w:gridCol w:w="3896"/>
          </w:tblGrid>
        </w:tblGridChange>
      </w:tblGrid>
      <w:tr>
        <w:trPr>
          <w:cantSplit w:val="0"/>
          <w:tblHeader w:val="1"/>
        </w:trPr>
        <w:tc>
          <w:tcPr/>
          <w:p w:rsidR="00000000" w:rsidDel="00000000" w:rsidP="00000000" w:rsidRDefault="00000000" w:rsidRPr="00000000" w14:paraId="0000017F">
            <w:pPr>
              <w:pBdr>
                <w:top w:space="0" w:sz="0" w:val="nil"/>
                <w:left w:space="0" w:sz="0" w:val="nil"/>
                <w:bottom w:space="0" w:sz="0" w:val="nil"/>
                <w:right w:space="0" w:sz="0" w:val="nil"/>
                <w:between w:space="0" w:sz="0" w:val="nil"/>
              </w:pBdr>
              <w:spacing w:after="36" w:before="36" w:lineRule="auto"/>
              <w:rPr>
                <w:color w:val="000000"/>
                <w:sz w:val="22"/>
                <w:szCs w:val="22"/>
              </w:rPr>
            </w:pPr>
            <w:r w:rsidDel="00000000" w:rsidR="00000000" w:rsidRPr="00000000">
              <w:rPr>
                <w:color w:val="000000"/>
                <w:sz w:val="22"/>
                <w:szCs w:val="22"/>
                <w:rtl w:val="0"/>
              </w:rPr>
              <w:t xml:space="preserve">Prioridad</w:t>
            </w:r>
          </w:p>
        </w:tc>
        <w:tc>
          <w:tcPr/>
          <w:p w:rsidR="00000000" w:rsidDel="00000000" w:rsidP="00000000" w:rsidRDefault="00000000" w:rsidRPr="00000000" w14:paraId="00000180">
            <w:pPr>
              <w:pBdr>
                <w:top w:space="0" w:sz="0" w:val="nil"/>
                <w:left w:space="0" w:sz="0" w:val="nil"/>
                <w:bottom w:space="0" w:sz="0" w:val="nil"/>
                <w:right w:space="0" w:sz="0" w:val="nil"/>
                <w:between w:space="0" w:sz="0" w:val="nil"/>
              </w:pBdr>
              <w:spacing w:after="36" w:before="36" w:lineRule="auto"/>
              <w:rPr>
                <w:color w:val="000000"/>
                <w:sz w:val="22"/>
                <w:szCs w:val="22"/>
              </w:rPr>
            </w:pPr>
            <w:r w:rsidDel="00000000" w:rsidR="00000000" w:rsidRPr="00000000">
              <w:rPr>
                <w:color w:val="000000"/>
                <w:sz w:val="22"/>
                <w:szCs w:val="22"/>
                <w:rtl w:val="0"/>
              </w:rPr>
              <w:t xml:space="preserve">Recomendación</w:t>
            </w:r>
          </w:p>
        </w:tc>
        <w:tc>
          <w:tcPr/>
          <w:p w:rsidR="00000000" w:rsidDel="00000000" w:rsidP="00000000" w:rsidRDefault="00000000" w:rsidRPr="00000000" w14:paraId="00000181">
            <w:pPr>
              <w:pBdr>
                <w:top w:space="0" w:sz="0" w:val="nil"/>
                <w:left w:space="0" w:sz="0" w:val="nil"/>
                <w:bottom w:space="0" w:sz="0" w:val="nil"/>
                <w:right w:space="0" w:sz="0" w:val="nil"/>
                <w:between w:space="0" w:sz="0" w:val="nil"/>
              </w:pBdr>
              <w:spacing w:after="36" w:before="36" w:lineRule="auto"/>
              <w:rPr>
                <w:color w:val="000000"/>
                <w:sz w:val="22"/>
                <w:szCs w:val="22"/>
              </w:rPr>
            </w:pPr>
            <w:r w:rsidDel="00000000" w:rsidR="00000000" w:rsidRPr="00000000">
              <w:rPr>
                <w:color w:val="000000"/>
                <w:sz w:val="22"/>
                <w:szCs w:val="22"/>
                <w:rtl w:val="0"/>
              </w:rPr>
              <w:t xml:space="preserve">Justificación</w:t>
            </w:r>
          </w:p>
        </w:tc>
      </w:tr>
      <w:tr>
        <w:trPr>
          <w:cantSplit w:val="0"/>
          <w:tblHeader w:val="0"/>
        </w:trPr>
        <w:tc>
          <w:tcPr/>
          <w:p w:rsidR="00000000" w:rsidDel="00000000" w:rsidP="00000000" w:rsidRDefault="00000000" w:rsidRPr="00000000" w14:paraId="00000182">
            <w:pPr>
              <w:pBdr>
                <w:top w:space="0" w:sz="0" w:val="nil"/>
                <w:left w:space="0" w:sz="0" w:val="nil"/>
                <w:bottom w:space="0" w:sz="0" w:val="nil"/>
                <w:right w:space="0" w:sz="0" w:val="nil"/>
                <w:between w:space="0" w:sz="0" w:val="nil"/>
              </w:pBdr>
              <w:spacing w:after="36" w:before="36" w:lineRule="auto"/>
              <w:rPr>
                <w:color w:val="000000"/>
                <w:sz w:val="22"/>
                <w:szCs w:val="22"/>
              </w:rPr>
            </w:pPr>
            <w:r w:rsidDel="00000000" w:rsidR="00000000" w:rsidRPr="00000000">
              <w:rPr>
                <w:color w:val="000000"/>
                <w:sz w:val="22"/>
                <w:szCs w:val="22"/>
                <w:rtl w:val="0"/>
              </w:rPr>
              <w:t xml:space="preserve">Alta</w:t>
            </w:r>
          </w:p>
        </w:tc>
        <w:tc>
          <w:tcPr/>
          <w:p w:rsidR="00000000" w:rsidDel="00000000" w:rsidP="00000000" w:rsidRDefault="00000000" w:rsidRPr="00000000" w14:paraId="00000183">
            <w:pPr>
              <w:pBdr>
                <w:top w:space="0" w:sz="0" w:val="nil"/>
                <w:left w:space="0" w:sz="0" w:val="nil"/>
                <w:bottom w:space="0" w:sz="0" w:val="nil"/>
                <w:right w:space="0" w:sz="0" w:val="nil"/>
                <w:between w:space="0" w:sz="0" w:val="nil"/>
              </w:pBdr>
              <w:spacing w:after="36" w:before="36" w:lineRule="auto"/>
              <w:rPr>
                <w:color w:val="000000"/>
                <w:sz w:val="22"/>
                <w:szCs w:val="22"/>
              </w:rPr>
            </w:pPr>
            <w:r w:rsidDel="00000000" w:rsidR="00000000" w:rsidRPr="00000000">
              <w:rPr>
                <w:color w:val="000000"/>
                <w:sz w:val="22"/>
                <w:szCs w:val="22"/>
                <w:rtl w:val="0"/>
              </w:rPr>
              <w:t xml:space="preserve">Auditar la cobertura de datos financieros</w:t>
            </w:r>
          </w:p>
        </w:tc>
        <w:tc>
          <w:tcPr/>
          <w:p w:rsidR="00000000" w:rsidDel="00000000" w:rsidP="00000000" w:rsidRDefault="00000000" w:rsidRPr="00000000" w14:paraId="00000184">
            <w:pPr>
              <w:pBdr>
                <w:top w:space="0" w:sz="0" w:val="nil"/>
                <w:left w:space="0" w:sz="0" w:val="nil"/>
                <w:bottom w:space="0" w:sz="0" w:val="nil"/>
                <w:right w:space="0" w:sz="0" w:val="nil"/>
                <w:between w:space="0" w:sz="0" w:val="nil"/>
              </w:pBdr>
              <w:spacing w:after="36" w:before="36" w:lineRule="auto"/>
              <w:rPr>
                <w:color w:val="000000"/>
                <w:sz w:val="22"/>
                <w:szCs w:val="22"/>
              </w:rPr>
            </w:pPr>
            <w:r w:rsidDel="00000000" w:rsidR="00000000" w:rsidRPr="00000000">
              <w:rPr>
                <w:color w:val="000000"/>
                <w:sz w:val="22"/>
                <w:szCs w:val="22"/>
                <w:rtl w:val="0"/>
              </w:rPr>
              <w:t xml:space="preserve">El 78% sin datos impide calcular ROI correctamente</w:t>
            </w:r>
          </w:p>
        </w:tc>
      </w:tr>
      <w:tr>
        <w:trPr>
          <w:cantSplit w:val="0"/>
          <w:tblHeader w:val="0"/>
        </w:trPr>
        <w:tc>
          <w:tcPr/>
          <w:p w:rsidR="00000000" w:rsidDel="00000000" w:rsidP="00000000" w:rsidRDefault="00000000" w:rsidRPr="00000000" w14:paraId="00000185">
            <w:pPr>
              <w:pBdr>
                <w:top w:space="0" w:sz="0" w:val="nil"/>
                <w:left w:space="0" w:sz="0" w:val="nil"/>
                <w:bottom w:space="0" w:sz="0" w:val="nil"/>
                <w:right w:space="0" w:sz="0" w:val="nil"/>
                <w:between w:space="0" w:sz="0" w:val="nil"/>
              </w:pBdr>
              <w:spacing w:after="36" w:before="36" w:lineRule="auto"/>
              <w:rPr>
                <w:color w:val="000000"/>
                <w:sz w:val="22"/>
                <w:szCs w:val="22"/>
              </w:rPr>
            </w:pPr>
            <w:r w:rsidDel="00000000" w:rsidR="00000000" w:rsidRPr="00000000">
              <w:rPr>
                <w:color w:val="000000"/>
                <w:sz w:val="22"/>
                <w:szCs w:val="22"/>
                <w:rtl w:val="0"/>
              </w:rPr>
              <w:t xml:space="preserve">Alta</w:t>
            </w:r>
          </w:p>
        </w:tc>
        <w:tc>
          <w:tcPr/>
          <w:p w:rsidR="00000000" w:rsidDel="00000000" w:rsidP="00000000" w:rsidRDefault="00000000" w:rsidRPr="00000000" w14:paraId="00000186">
            <w:pPr>
              <w:pBdr>
                <w:top w:space="0" w:sz="0" w:val="nil"/>
                <w:left w:space="0" w:sz="0" w:val="nil"/>
                <w:bottom w:space="0" w:sz="0" w:val="nil"/>
                <w:right w:space="0" w:sz="0" w:val="nil"/>
                <w:between w:space="0" w:sz="0" w:val="nil"/>
              </w:pBdr>
              <w:spacing w:after="36" w:before="36" w:lineRule="auto"/>
              <w:rPr>
                <w:color w:val="000000"/>
                <w:sz w:val="22"/>
                <w:szCs w:val="22"/>
              </w:rPr>
            </w:pPr>
            <w:r w:rsidDel="00000000" w:rsidR="00000000" w:rsidRPr="00000000">
              <w:rPr>
                <w:color w:val="000000"/>
                <w:sz w:val="22"/>
                <w:szCs w:val="22"/>
                <w:rtl w:val="0"/>
              </w:rPr>
              <w:t xml:space="preserve">Separar estrategias de adquisición por objetivo (engagement vs. calidad)</w:t>
            </w:r>
          </w:p>
        </w:tc>
        <w:tc>
          <w:tcPr/>
          <w:p w:rsidR="00000000" w:rsidDel="00000000" w:rsidP="00000000" w:rsidRDefault="00000000" w:rsidRPr="00000000" w14:paraId="00000187">
            <w:pPr>
              <w:pBdr>
                <w:top w:space="0" w:sz="0" w:val="nil"/>
                <w:left w:space="0" w:sz="0" w:val="nil"/>
                <w:bottom w:space="0" w:sz="0" w:val="nil"/>
                <w:right w:space="0" w:sz="0" w:val="nil"/>
                <w:between w:space="0" w:sz="0" w:val="nil"/>
              </w:pBdr>
              <w:spacing w:after="36" w:before="36" w:lineRule="auto"/>
              <w:rPr>
                <w:color w:val="000000"/>
                <w:sz w:val="22"/>
                <w:szCs w:val="22"/>
              </w:rPr>
            </w:pPr>
            <w:r w:rsidDel="00000000" w:rsidR="00000000" w:rsidRPr="00000000">
              <w:rPr>
                <w:color w:val="000000"/>
                <w:sz w:val="22"/>
                <w:szCs w:val="22"/>
                <w:rtl w:val="0"/>
              </w:rPr>
              <w:t xml:space="preserve">Popularidad y calificación no se mueven juntas</w:t>
            </w:r>
          </w:p>
        </w:tc>
      </w:tr>
      <w:tr>
        <w:trPr>
          <w:cantSplit w:val="0"/>
          <w:tblHeader w:val="0"/>
        </w:trPr>
        <w:tc>
          <w:tcPr/>
          <w:p w:rsidR="00000000" w:rsidDel="00000000" w:rsidP="00000000" w:rsidRDefault="00000000" w:rsidRPr="00000000" w14:paraId="00000188">
            <w:pPr>
              <w:pBdr>
                <w:top w:space="0" w:sz="0" w:val="nil"/>
                <w:left w:space="0" w:sz="0" w:val="nil"/>
                <w:bottom w:space="0" w:sz="0" w:val="nil"/>
                <w:right w:space="0" w:sz="0" w:val="nil"/>
                <w:between w:space="0" w:sz="0" w:val="nil"/>
              </w:pBdr>
              <w:spacing w:after="36" w:before="36" w:lineRule="auto"/>
              <w:rPr>
                <w:color w:val="000000"/>
                <w:sz w:val="22"/>
                <w:szCs w:val="22"/>
              </w:rPr>
            </w:pPr>
            <w:r w:rsidDel="00000000" w:rsidR="00000000" w:rsidRPr="00000000">
              <w:rPr>
                <w:color w:val="000000"/>
                <w:sz w:val="22"/>
                <w:szCs w:val="22"/>
                <w:rtl w:val="0"/>
              </w:rPr>
              <w:t xml:space="preserve">Media</w:t>
            </w:r>
          </w:p>
        </w:tc>
        <w:tc>
          <w:tcPr/>
          <w:p w:rsidR="00000000" w:rsidDel="00000000" w:rsidP="00000000" w:rsidRDefault="00000000" w:rsidRPr="00000000" w14:paraId="00000189">
            <w:pPr>
              <w:pBdr>
                <w:top w:space="0" w:sz="0" w:val="nil"/>
                <w:left w:space="0" w:sz="0" w:val="nil"/>
                <w:bottom w:space="0" w:sz="0" w:val="nil"/>
                <w:right w:space="0" w:sz="0" w:val="nil"/>
                <w:between w:space="0" w:sz="0" w:val="nil"/>
              </w:pBdr>
              <w:spacing w:after="36" w:before="36" w:lineRule="auto"/>
              <w:rPr>
                <w:color w:val="000000"/>
                <w:sz w:val="22"/>
                <w:szCs w:val="22"/>
              </w:rPr>
            </w:pPr>
            <w:r w:rsidDel="00000000" w:rsidR="00000000" w:rsidRPr="00000000">
              <w:rPr>
                <w:color w:val="000000"/>
                <w:sz w:val="22"/>
                <w:szCs w:val="22"/>
                <w:rtl w:val="0"/>
              </w:rPr>
              <w:t xml:space="preserve">Priorizar Adventure y Action para maximizar engagement</w:t>
            </w:r>
          </w:p>
        </w:tc>
        <w:tc>
          <w:tcPr/>
          <w:p w:rsidR="00000000" w:rsidDel="00000000" w:rsidP="00000000" w:rsidRDefault="00000000" w:rsidRPr="00000000" w14:paraId="0000018A">
            <w:pPr>
              <w:pBdr>
                <w:top w:space="0" w:sz="0" w:val="nil"/>
                <w:left w:space="0" w:sz="0" w:val="nil"/>
                <w:bottom w:space="0" w:sz="0" w:val="nil"/>
                <w:right w:space="0" w:sz="0" w:val="nil"/>
                <w:between w:space="0" w:sz="0" w:val="nil"/>
              </w:pBdr>
              <w:spacing w:after="36" w:before="36" w:lineRule="auto"/>
              <w:rPr>
                <w:color w:val="000000"/>
                <w:sz w:val="22"/>
                <w:szCs w:val="22"/>
              </w:rPr>
            </w:pPr>
            <w:r w:rsidDel="00000000" w:rsidR="00000000" w:rsidRPr="00000000">
              <w:rPr>
                <w:color w:val="000000"/>
                <w:sz w:val="22"/>
                <w:szCs w:val="22"/>
                <w:rtl w:val="0"/>
              </w:rPr>
              <w:t xml:space="preserve">Popularidad &gt;32–35, superan a Action en la dimensión de engagement</w:t>
            </w:r>
          </w:p>
        </w:tc>
      </w:tr>
      <w:tr>
        <w:trPr>
          <w:cantSplit w:val="0"/>
          <w:tblHeader w:val="0"/>
        </w:trPr>
        <w:tc>
          <w:tcPr/>
          <w:p w:rsidR="00000000" w:rsidDel="00000000" w:rsidP="00000000" w:rsidRDefault="00000000" w:rsidRPr="00000000" w14:paraId="0000018B">
            <w:pPr>
              <w:pBdr>
                <w:top w:space="0" w:sz="0" w:val="nil"/>
                <w:left w:space="0" w:sz="0" w:val="nil"/>
                <w:bottom w:space="0" w:sz="0" w:val="nil"/>
                <w:right w:space="0" w:sz="0" w:val="nil"/>
                <w:between w:space="0" w:sz="0" w:val="nil"/>
              </w:pBdr>
              <w:spacing w:after="36" w:before="36" w:lineRule="auto"/>
              <w:rPr>
                <w:color w:val="000000"/>
                <w:sz w:val="22"/>
                <w:szCs w:val="22"/>
              </w:rPr>
            </w:pPr>
            <w:r w:rsidDel="00000000" w:rsidR="00000000" w:rsidRPr="00000000">
              <w:rPr>
                <w:color w:val="000000"/>
                <w:sz w:val="22"/>
                <w:szCs w:val="22"/>
                <w:rtl w:val="0"/>
              </w:rPr>
              <w:t xml:space="preserve">Media</w:t>
            </w:r>
          </w:p>
        </w:tc>
        <w:tc>
          <w:tcPr/>
          <w:p w:rsidR="00000000" w:rsidDel="00000000" w:rsidP="00000000" w:rsidRDefault="00000000" w:rsidRPr="00000000" w14:paraId="0000018C">
            <w:pPr>
              <w:pBdr>
                <w:top w:space="0" w:sz="0" w:val="nil"/>
                <w:left w:space="0" w:sz="0" w:val="nil"/>
                <w:bottom w:space="0" w:sz="0" w:val="nil"/>
                <w:right w:space="0" w:sz="0" w:val="nil"/>
                <w:between w:space="0" w:sz="0" w:val="nil"/>
              </w:pBdr>
              <w:spacing w:after="36" w:before="36" w:lineRule="auto"/>
              <w:rPr>
                <w:color w:val="000000"/>
                <w:sz w:val="22"/>
                <w:szCs w:val="22"/>
              </w:rPr>
            </w:pPr>
            <w:r w:rsidDel="00000000" w:rsidR="00000000" w:rsidRPr="00000000">
              <w:rPr>
                <w:color w:val="000000"/>
                <w:sz w:val="22"/>
                <w:szCs w:val="22"/>
                <w:rtl w:val="0"/>
              </w:rPr>
              <w:t xml:space="preserve">Invertir en Animation para mejorar calificación promedio</w:t>
            </w:r>
          </w:p>
        </w:tc>
        <w:tc>
          <w:tcPr/>
          <w:p w:rsidR="00000000" w:rsidDel="00000000" w:rsidP="00000000" w:rsidRDefault="00000000" w:rsidRPr="00000000" w14:paraId="0000018D">
            <w:pPr>
              <w:pBdr>
                <w:top w:space="0" w:sz="0" w:val="nil"/>
                <w:left w:space="0" w:sz="0" w:val="nil"/>
                <w:bottom w:space="0" w:sz="0" w:val="nil"/>
                <w:right w:space="0" w:sz="0" w:val="nil"/>
                <w:between w:space="0" w:sz="0" w:val="nil"/>
              </w:pBdr>
              <w:spacing w:after="36" w:before="36" w:lineRule="auto"/>
              <w:rPr>
                <w:color w:val="000000"/>
                <w:sz w:val="22"/>
                <w:szCs w:val="22"/>
              </w:rPr>
            </w:pPr>
            <w:r w:rsidDel="00000000" w:rsidR="00000000" w:rsidRPr="00000000">
              <w:rPr>
                <w:color w:val="000000"/>
                <w:sz w:val="22"/>
                <w:szCs w:val="22"/>
                <w:rtl w:val="0"/>
              </w:rPr>
              <w:t xml:space="preserve">Calificación más alta (6,74) con popularidad razonable (28,6)</w:t>
            </w:r>
          </w:p>
        </w:tc>
      </w:tr>
      <w:tr>
        <w:trPr>
          <w:cantSplit w:val="0"/>
          <w:tblHeader w:val="0"/>
        </w:trPr>
        <w:tc>
          <w:tcPr/>
          <w:p w:rsidR="00000000" w:rsidDel="00000000" w:rsidP="00000000" w:rsidRDefault="00000000" w:rsidRPr="00000000" w14:paraId="0000018E">
            <w:pPr>
              <w:pBdr>
                <w:top w:space="0" w:sz="0" w:val="nil"/>
                <w:left w:space="0" w:sz="0" w:val="nil"/>
                <w:bottom w:space="0" w:sz="0" w:val="nil"/>
                <w:right w:space="0" w:sz="0" w:val="nil"/>
                <w:between w:space="0" w:sz="0" w:val="nil"/>
              </w:pBdr>
              <w:spacing w:after="36" w:before="36" w:lineRule="auto"/>
              <w:rPr>
                <w:color w:val="000000"/>
                <w:sz w:val="22"/>
                <w:szCs w:val="22"/>
              </w:rPr>
            </w:pPr>
            <w:r w:rsidDel="00000000" w:rsidR="00000000" w:rsidRPr="00000000">
              <w:rPr>
                <w:color w:val="000000"/>
                <w:sz w:val="22"/>
                <w:szCs w:val="22"/>
                <w:rtl w:val="0"/>
              </w:rPr>
              <w:t xml:space="preserve">Media</w:t>
            </w:r>
          </w:p>
        </w:tc>
        <w:tc>
          <w:tcPr/>
          <w:p w:rsidR="00000000" w:rsidDel="00000000" w:rsidP="00000000" w:rsidRDefault="00000000" w:rsidRPr="00000000" w14:paraId="0000018F">
            <w:pPr>
              <w:pBdr>
                <w:top w:space="0" w:sz="0" w:val="nil"/>
                <w:left w:space="0" w:sz="0" w:val="nil"/>
                <w:bottom w:space="0" w:sz="0" w:val="nil"/>
                <w:right w:space="0" w:sz="0" w:val="nil"/>
                <w:between w:space="0" w:sz="0" w:val="nil"/>
              </w:pBdr>
              <w:spacing w:after="36" w:before="36" w:lineRule="auto"/>
              <w:rPr>
                <w:color w:val="000000"/>
                <w:sz w:val="22"/>
                <w:szCs w:val="22"/>
              </w:rPr>
            </w:pPr>
            <w:r w:rsidDel="00000000" w:rsidR="00000000" w:rsidRPr="00000000">
              <w:rPr>
                <w:color w:val="000000"/>
                <w:sz w:val="22"/>
                <w:szCs w:val="22"/>
                <w:rtl w:val="0"/>
              </w:rPr>
              <w:t xml:space="preserve">Evaluar catálogo japonés y francés para diversificación geográfica</w:t>
            </w:r>
          </w:p>
        </w:tc>
        <w:tc>
          <w:tcPr/>
          <w:p w:rsidR="00000000" w:rsidDel="00000000" w:rsidP="00000000" w:rsidRDefault="00000000" w:rsidRPr="00000000" w14:paraId="00000190">
            <w:pPr>
              <w:pBdr>
                <w:top w:space="0" w:sz="0" w:val="nil"/>
                <w:left w:space="0" w:sz="0" w:val="nil"/>
                <w:bottom w:space="0" w:sz="0" w:val="nil"/>
                <w:right w:space="0" w:sz="0" w:val="nil"/>
                <w:between w:space="0" w:sz="0" w:val="nil"/>
              </w:pBdr>
              <w:spacing w:after="36" w:before="36" w:lineRule="auto"/>
              <w:rPr>
                <w:color w:val="000000"/>
                <w:sz w:val="22"/>
                <w:szCs w:val="22"/>
              </w:rPr>
            </w:pPr>
            <w:r w:rsidDel="00000000" w:rsidR="00000000" w:rsidRPr="00000000">
              <w:rPr>
                <w:color w:val="000000"/>
                <w:sz w:val="22"/>
                <w:szCs w:val="22"/>
                <w:rtl w:val="0"/>
              </w:rPr>
              <w:t xml:space="preserve">Mejor calificación promedio entre principales productores</w:t>
            </w:r>
          </w:p>
        </w:tc>
      </w:tr>
      <w:tr>
        <w:trPr>
          <w:cantSplit w:val="0"/>
          <w:tblHeader w:val="0"/>
        </w:trPr>
        <w:tc>
          <w:tcPr/>
          <w:p w:rsidR="00000000" w:rsidDel="00000000" w:rsidP="00000000" w:rsidRDefault="00000000" w:rsidRPr="00000000" w14:paraId="00000191">
            <w:pPr>
              <w:pBdr>
                <w:top w:space="0" w:sz="0" w:val="nil"/>
                <w:left w:space="0" w:sz="0" w:val="nil"/>
                <w:bottom w:space="0" w:sz="0" w:val="nil"/>
                <w:right w:space="0" w:sz="0" w:val="nil"/>
                <w:between w:space="0" w:sz="0" w:val="nil"/>
              </w:pBdr>
              <w:spacing w:after="36" w:before="36" w:lineRule="auto"/>
              <w:rPr>
                <w:color w:val="000000"/>
                <w:sz w:val="22"/>
                <w:szCs w:val="22"/>
              </w:rPr>
            </w:pPr>
            <w:r w:rsidDel="00000000" w:rsidR="00000000" w:rsidRPr="00000000">
              <w:rPr>
                <w:color w:val="000000"/>
                <w:sz w:val="22"/>
                <w:szCs w:val="22"/>
                <w:rtl w:val="0"/>
              </w:rPr>
              <w:t xml:space="preserve">Baja</w:t>
            </w:r>
          </w:p>
        </w:tc>
        <w:tc>
          <w:tcPr/>
          <w:p w:rsidR="00000000" w:rsidDel="00000000" w:rsidP="00000000" w:rsidRDefault="00000000" w:rsidRPr="00000000" w14:paraId="00000192">
            <w:pPr>
              <w:pBdr>
                <w:top w:space="0" w:sz="0" w:val="nil"/>
                <w:left w:space="0" w:sz="0" w:val="nil"/>
                <w:bottom w:space="0" w:sz="0" w:val="nil"/>
                <w:right w:space="0" w:sz="0" w:val="nil"/>
                <w:between w:space="0" w:sz="0" w:val="nil"/>
              </w:pBdr>
              <w:spacing w:after="36" w:before="36" w:lineRule="auto"/>
              <w:rPr>
                <w:color w:val="000000"/>
                <w:sz w:val="22"/>
                <w:szCs w:val="22"/>
              </w:rPr>
            </w:pPr>
            <w:r w:rsidDel="00000000" w:rsidR="00000000" w:rsidRPr="00000000">
              <w:rPr>
                <w:color w:val="000000"/>
                <w:sz w:val="22"/>
                <w:szCs w:val="22"/>
                <w:rtl w:val="0"/>
              </w:rPr>
              <w:t xml:space="preserve">Revisar la definición y fuente de </w:t>
            </w:r>
            <w:r w:rsidDel="00000000" w:rsidR="00000000" w:rsidRPr="00000000">
              <w:rPr>
                <w:rFonts w:ascii="Consolas" w:cs="Consolas" w:eastAsia="Consolas" w:hAnsi="Consolas"/>
                <w:color w:val="000000"/>
                <w:sz w:val="22"/>
                <w:szCs w:val="22"/>
                <w:rtl w:val="0"/>
              </w:rPr>
              <w:t xml:space="preserve">popularity</w:t>
            </w:r>
            <w:r w:rsidDel="00000000" w:rsidR="00000000" w:rsidRPr="00000000">
              <w:rPr>
                <w:rtl w:val="0"/>
              </w:rPr>
            </w:r>
          </w:p>
        </w:tc>
        <w:tc>
          <w:tcPr/>
          <w:p w:rsidR="00000000" w:rsidDel="00000000" w:rsidP="00000000" w:rsidRDefault="00000000" w:rsidRPr="00000000" w14:paraId="00000193">
            <w:pPr>
              <w:pBdr>
                <w:top w:space="0" w:sz="0" w:val="nil"/>
                <w:left w:space="0" w:sz="0" w:val="nil"/>
                <w:bottom w:space="0" w:sz="0" w:val="nil"/>
                <w:right w:space="0" w:sz="0" w:val="nil"/>
                <w:between w:space="0" w:sz="0" w:val="nil"/>
              </w:pBdr>
              <w:spacing w:after="36" w:before="36" w:lineRule="auto"/>
              <w:rPr>
                <w:color w:val="000000"/>
                <w:sz w:val="22"/>
                <w:szCs w:val="22"/>
              </w:rPr>
            </w:pPr>
            <w:r w:rsidDel="00000000" w:rsidR="00000000" w:rsidRPr="00000000">
              <w:rPr>
                <w:color w:val="000000"/>
                <w:sz w:val="22"/>
                <w:szCs w:val="22"/>
                <w:rtl w:val="0"/>
              </w:rPr>
              <w:t xml:space="preserve">El pico de 2024 (74 vs. ~12 histórico) requiere explicación</w:t>
            </w:r>
          </w:p>
        </w:tc>
      </w:tr>
      <w:tr>
        <w:trPr>
          <w:cantSplit w:val="0"/>
          <w:tblHeader w:val="0"/>
        </w:trPr>
        <w:tc>
          <w:tcPr/>
          <w:p w:rsidR="00000000" w:rsidDel="00000000" w:rsidP="00000000" w:rsidRDefault="00000000" w:rsidRPr="00000000" w14:paraId="00000194">
            <w:pPr>
              <w:pBdr>
                <w:top w:space="0" w:sz="0" w:val="nil"/>
                <w:left w:space="0" w:sz="0" w:val="nil"/>
                <w:bottom w:space="0" w:sz="0" w:val="nil"/>
                <w:right w:space="0" w:sz="0" w:val="nil"/>
                <w:between w:space="0" w:sz="0" w:val="nil"/>
              </w:pBdr>
              <w:spacing w:after="36" w:before="36" w:lineRule="auto"/>
              <w:rPr>
                <w:color w:val="000000"/>
                <w:sz w:val="22"/>
                <w:szCs w:val="22"/>
              </w:rPr>
            </w:pPr>
            <w:r w:rsidDel="00000000" w:rsidR="00000000" w:rsidRPr="00000000">
              <w:rPr>
                <w:color w:val="000000"/>
                <w:sz w:val="22"/>
                <w:szCs w:val="22"/>
                <w:rtl w:val="0"/>
              </w:rPr>
              <w:t xml:space="preserve">Baja</w:t>
            </w:r>
          </w:p>
        </w:tc>
        <w:tc>
          <w:tcPr/>
          <w:p w:rsidR="00000000" w:rsidDel="00000000" w:rsidP="00000000" w:rsidRDefault="00000000" w:rsidRPr="00000000" w14:paraId="00000195">
            <w:pPr>
              <w:pBdr>
                <w:top w:space="0" w:sz="0" w:val="nil"/>
                <w:left w:space="0" w:sz="0" w:val="nil"/>
                <w:bottom w:space="0" w:sz="0" w:val="nil"/>
                <w:right w:space="0" w:sz="0" w:val="nil"/>
                <w:between w:space="0" w:sz="0" w:val="nil"/>
              </w:pBdr>
              <w:spacing w:after="36" w:before="36" w:lineRule="auto"/>
              <w:rPr>
                <w:color w:val="000000"/>
                <w:sz w:val="22"/>
                <w:szCs w:val="22"/>
              </w:rPr>
            </w:pPr>
            <w:r w:rsidDel="00000000" w:rsidR="00000000" w:rsidRPr="00000000">
              <w:rPr>
                <w:color w:val="000000"/>
                <w:sz w:val="22"/>
                <w:szCs w:val="22"/>
                <w:rtl w:val="0"/>
              </w:rPr>
              <w:t xml:space="preserve">Filtrar 2025 de comparaciones de calificación</w:t>
            </w:r>
          </w:p>
        </w:tc>
        <w:tc>
          <w:tcPr/>
          <w:p w:rsidR="00000000" w:rsidDel="00000000" w:rsidP="00000000" w:rsidRDefault="00000000" w:rsidRPr="00000000" w14:paraId="00000196">
            <w:pPr>
              <w:pBdr>
                <w:top w:space="0" w:sz="0" w:val="nil"/>
                <w:left w:space="0" w:sz="0" w:val="nil"/>
                <w:bottom w:space="0" w:sz="0" w:val="nil"/>
                <w:right w:space="0" w:sz="0" w:val="nil"/>
                <w:between w:space="0" w:sz="0" w:val="nil"/>
              </w:pBdr>
              <w:spacing w:after="36" w:before="36" w:lineRule="auto"/>
              <w:rPr>
                <w:color w:val="000000"/>
                <w:sz w:val="22"/>
                <w:szCs w:val="22"/>
              </w:rPr>
            </w:pPr>
            <w:r w:rsidDel="00000000" w:rsidR="00000000" w:rsidRPr="00000000">
              <w:rPr>
                <w:color w:val="000000"/>
                <w:sz w:val="22"/>
                <w:szCs w:val="22"/>
                <w:rtl w:val="0"/>
              </w:rPr>
              <w:t xml:space="preserve">Dato inmaduro (1,71 promedio) no representativo</w:t>
            </w:r>
          </w:p>
        </w:tc>
      </w:tr>
    </w:tbl>
    <w:p w:rsidR="00000000" w:rsidDel="00000000" w:rsidP="00000000" w:rsidRDefault="00000000" w:rsidRPr="00000000" w14:paraId="00000197">
      <w:pPr>
        <w:pStyle w:val="Heading1"/>
        <w:rPr/>
      </w:pPr>
      <w:bookmarkStart w:colFirst="0" w:colLast="0" w:name="_2yiv9ysg9a0j" w:id="50"/>
      <w:bookmarkEnd w:id="50"/>
      <w:r w:rsidDel="00000000" w:rsidR="00000000" w:rsidRPr="00000000">
        <w:rPr>
          <w:rtl w:val="0"/>
        </w:rPr>
        <w:t xml:space="preserve">Capítulo 2: Diseño de Dashboards Interactivo</w:t>
      </w:r>
    </w:p>
    <w:p w:rsidR="00000000" w:rsidDel="00000000" w:rsidP="00000000" w:rsidRDefault="00000000" w:rsidRPr="00000000" w14:paraId="00000198">
      <w:pPr>
        <w:pStyle w:val="Heading2"/>
        <w:rPr/>
      </w:pPr>
      <w:bookmarkStart w:colFirst="0" w:colLast="0" w:name="_s0o6sbrdfcrr" w:id="51"/>
      <w:bookmarkEnd w:id="51"/>
      <w:r w:rsidDel="00000000" w:rsidR="00000000" w:rsidRPr="00000000">
        <w:rPr>
          <w:rtl w:val="0"/>
        </w:rPr>
        <w:t xml:space="preserve">2.1 Descripción del problema de negocio</w:t>
      </w:r>
    </w:p>
    <w:p w:rsidR="00000000" w:rsidDel="00000000" w:rsidP="00000000" w:rsidRDefault="00000000" w:rsidRPr="00000000" w14:paraId="00000199">
      <w:pPr>
        <w:pBdr>
          <w:top w:space="0" w:sz="0" w:val="nil"/>
          <w:left w:space="0" w:sz="0" w:val="nil"/>
          <w:bottom w:space="0" w:sz="0" w:val="nil"/>
          <w:right w:space="0" w:sz="0" w:val="nil"/>
          <w:between w:space="0" w:sz="0" w:val="nil"/>
        </w:pBdr>
        <w:spacing w:after="180" w:before="180" w:lineRule="auto"/>
        <w:rPr>
          <w:color w:val="000000"/>
        </w:rPr>
      </w:pPr>
      <w:r w:rsidDel="00000000" w:rsidR="00000000" w:rsidRPr="00000000">
        <w:rPr>
          <w:b w:val="1"/>
          <w:bCs w:val="1"/>
          <w:color w:val="000000"/>
          <w:rtl w:val="0"/>
        </w:rPr>
        <w:t xml:space="preserve">Contexto organizacional:</w:t>
      </w:r>
      <w:r w:rsidDel="00000000" w:rsidR="00000000" w:rsidRPr="00000000">
        <w:rPr>
          <w:rtl w:val="0"/>
        </w:rPr>
      </w:r>
    </w:p>
    <w:p w:rsidR="00000000" w:rsidDel="00000000" w:rsidP="00000000" w:rsidRDefault="00000000" w:rsidRPr="00000000" w14:paraId="0000019A">
      <w:pPr>
        <w:pBdr>
          <w:top w:space="0" w:sz="0" w:val="nil"/>
          <w:left w:space="0" w:sz="0" w:val="nil"/>
          <w:bottom w:space="0" w:sz="0" w:val="nil"/>
          <w:right w:space="0" w:sz="0" w:val="nil"/>
          <w:between w:space="0" w:sz="0" w:val="nil"/>
        </w:pBdr>
        <w:spacing w:after="180" w:before="180" w:lineRule="auto"/>
        <w:rPr>
          <w:color w:val="000000"/>
        </w:rPr>
      </w:pPr>
      <w:r w:rsidDel="00000000" w:rsidR="00000000" w:rsidRPr="00000000">
        <w:rPr>
          <w:color w:val="000000"/>
          <w:rtl w:val="0"/>
        </w:rPr>
        <w:t xml:space="preserve">StreamView Analytics es una plataforma internacional de streaming digital que requiere comprender en profundidad el desempeño de su catálogo histórico de películas y series para optimizar sus estrategias de retención, engagement y adquisición de nuevos títulos. Para este proyecto se trabajó con dos fuentes que describen el catálogo (popularidad, calificaciones de la audiencia y, solo en películas, datos financieros); por ello el análisis se centra en el desempeño del contenido y no en usuarios individuales.</w:t>
      </w:r>
    </w:p>
    <w:p w:rsidR="00000000" w:rsidDel="00000000" w:rsidP="00000000" w:rsidRDefault="00000000" w:rsidRPr="00000000" w14:paraId="0000019B">
      <w:pPr>
        <w:pBdr>
          <w:top w:space="0" w:sz="0" w:val="nil"/>
          <w:left w:space="0" w:sz="0" w:val="nil"/>
          <w:bottom w:space="0" w:sz="0" w:val="nil"/>
          <w:right w:space="0" w:sz="0" w:val="nil"/>
          <w:between w:space="0" w:sz="0" w:val="nil"/>
        </w:pBdr>
        <w:spacing w:after="180" w:before="180" w:lineRule="auto"/>
        <w:rPr>
          <w:color w:val="000000"/>
        </w:rPr>
      </w:pPr>
      <w:r w:rsidDel="00000000" w:rsidR="00000000" w:rsidRPr="00000000">
        <w:rPr>
          <w:b w:val="1"/>
          <w:bCs w:val="1"/>
          <w:color w:val="000000"/>
          <w:rtl w:val="0"/>
        </w:rPr>
        <w:t xml:space="preserve">Pregunta de negocio:</w:t>
      </w:r>
      <w:r w:rsidDel="00000000" w:rsidR="00000000" w:rsidRPr="00000000">
        <w:rPr>
          <w:rtl w:val="0"/>
        </w:rPr>
      </w:r>
    </w:p>
    <w:p w:rsidR="00000000" w:rsidDel="00000000" w:rsidP="00000000" w:rsidRDefault="00000000" w:rsidRPr="00000000" w14:paraId="0000019C">
      <w:pPr>
        <w:pBdr>
          <w:top w:space="0" w:sz="0" w:val="nil"/>
          <w:left w:space="0" w:sz="0" w:val="nil"/>
          <w:bottom w:space="0" w:sz="0" w:val="nil"/>
          <w:right w:space="0" w:sz="0" w:val="nil"/>
          <w:between w:space="0" w:sz="0" w:val="nil"/>
        </w:pBdr>
        <w:spacing w:after="180" w:before="180" w:lineRule="auto"/>
        <w:rPr>
          <w:color w:val="000000"/>
        </w:rPr>
      </w:pPr>
      <w:r w:rsidDel="00000000" w:rsidR="00000000" w:rsidRPr="00000000">
        <w:rPr>
          <w:color w:val="000000"/>
          <w:rtl w:val="0"/>
        </w:rPr>
        <w:t xml:space="preserve">¿Cómo debería StreamView repartir su inversión en adquisición entre películas y series, y en qué géneros y países?</w:t>
      </w:r>
    </w:p>
    <w:p w:rsidR="00000000" w:rsidDel="00000000" w:rsidP="00000000" w:rsidRDefault="00000000" w:rsidRPr="00000000" w14:paraId="0000019D">
      <w:pPr>
        <w:pBdr>
          <w:top w:space="0" w:sz="0" w:val="nil"/>
          <w:left w:space="0" w:sz="0" w:val="nil"/>
          <w:bottom w:space="0" w:sz="0" w:val="nil"/>
          <w:right w:space="0" w:sz="0" w:val="nil"/>
          <w:between w:space="0" w:sz="0" w:val="nil"/>
        </w:pBdr>
        <w:spacing w:after="180" w:before="180" w:lineRule="auto"/>
        <w:rPr>
          <w:color w:val="000000"/>
        </w:rPr>
      </w:pPr>
      <w:r w:rsidDel="00000000" w:rsidR="00000000" w:rsidRPr="00000000">
        <w:rPr>
          <w:b w:val="1"/>
          <w:bCs w:val="1"/>
          <w:color w:val="000000"/>
          <w:rtl w:val="0"/>
        </w:rPr>
        <w:t xml:space="preserve">Audiencia Objetivo:</w:t>
      </w:r>
      <w:r w:rsidDel="00000000" w:rsidR="00000000" w:rsidRPr="00000000">
        <w:rPr>
          <w:rtl w:val="0"/>
        </w:rPr>
      </w:r>
    </w:p>
    <w:p w:rsidR="00000000" w:rsidDel="00000000" w:rsidP="00000000" w:rsidRDefault="00000000" w:rsidRPr="00000000" w14:paraId="0000019E">
      <w:pPr>
        <w:pBdr>
          <w:top w:space="0" w:sz="0" w:val="nil"/>
          <w:left w:space="0" w:sz="0" w:val="nil"/>
          <w:bottom w:space="0" w:sz="0" w:val="nil"/>
          <w:right w:space="0" w:sz="0" w:val="nil"/>
          <w:between w:space="0" w:sz="0" w:val="nil"/>
        </w:pBdr>
        <w:spacing w:after="180" w:before="180" w:lineRule="auto"/>
        <w:rPr>
          <w:color w:val="000000"/>
        </w:rPr>
      </w:pPr>
      <w:r w:rsidDel="00000000" w:rsidR="00000000" w:rsidRPr="00000000">
        <w:rPr>
          <w:color w:val="000000"/>
          <w:rtl w:val="0"/>
        </w:rPr>
        <w:t xml:space="preserve">El informe está dirigido a dos actores clave:</w:t>
      </w:r>
    </w:p>
    <w:p w:rsidR="00000000" w:rsidDel="00000000" w:rsidP="00000000" w:rsidRDefault="00000000" w:rsidRPr="00000000" w14:paraId="0000019F">
      <w:pPr>
        <w:numPr>
          <w:ilvl w:val="0"/>
          <w:numId w:val="5"/>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b w:val="1"/>
          <w:bCs w:val="1"/>
          <w:color w:val="000000"/>
          <w:rtl w:val="0"/>
        </w:rPr>
        <w:t xml:space="preserve">Gerencia de Contenido:</w:t>
      </w:r>
      <w:r w:rsidDel="00000000" w:rsidR="00000000" w:rsidRPr="00000000">
        <w:rPr>
          <w:color w:val="000000"/>
          <w:rtl w:val="0"/>
        </w:rPr>
        <w:t xml:space="preserve"> Responsable de tomar decisiones de adquisición y renovación (qué géneros y países priorizar).</w:t>
      </w:r>
    </w:p>
    <w:p w:rsidR="00000000" w:rsidDel="00000000" w:rsidP="00000000" w:rsidRDefault="00000000" w:rsidRPr="00000000" w14:paraId="000001A0">
      <w:pPr>
        <w:numPr>
          <w:ilvl w:val="0"/>
          <w:numId w:val="5"/>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b w:val="1"/>
          <w:bCs w:val="1"/>
          <w:color w:val="000000"/>
          <w:rtl w:val="0"/>
        </w:rPr>
        <w:t xml:space="preserve">Dirección Ejecutiva:</w:t>
      </w:r>
      <w:r w:rsidDel="00000000" w:rsidR="00000000" w:rsidRPr="00000000">
        <w:rPr>
          <w:color w:val="000000"/>
          <w:rtl w:val="0"/>
        </w:rPr>
        <w:t xml:space="preserve"> Responsable de aprobar los presupuestos de inversión, validar la rentabilidad (ROI) y entender los riesgos estructurales de los datos.</w:t>
      </w:r>
    </w:p>
    <w:p w:rsidR="00000000" w:rsidDel="00000000" w:rsidP="00000000" w:rsidRDefault="00000000" w:rsidRPr="00000000" w14:paraId="000001A1">
      <w:pPr>
        <w:pBdr>
          <w:top w:space="0" w:sz="0" w:val="nil"/>
          <w:left w:space="0" w:sz="0" w:val="nil"/>
          <w:bottom w:space="0" w:sz="0" w:val="nil"/>
          <w:right w:space="0" w:sz="0" w:val="nil"/>
          <w:between w:space="0" w:sz="0" w:val="nil"/>
        </w:pBdr>
        <w:spacing w:after="180" w:before="180" w:lineRule="auto"/>
        <w:rPr>
          <w:color w:val="000000"/>
        </w:rPr>
      </w:pPr>
      <w:r w:rsidDel="00000000" w:rsidR="00000000" w:rsidRPr="00000000">
        <w:rPr>
          <w:b w:val="1"/>
          <w:bCs w:val="1"/>
          <w:color w:val="000000"/>
          <w:rtl w:val="0"/>
        </w:rPr>
        <w:t xml:space="preserve">Objetivos de Comunicación:</w:t>
      </w:r>
      <w:r w:rsidDel="00000000" w:rsidR="00000000" w:rsidRPr="00000000">
        <w:rPr>
          <w:rtl w:val="0"/>
        </w:rPr>
      </w:r>
    </w:p>
    <w:p w:rsidR="00000000" w:rsidDel="00000000" w:rsidP="00000000" w:rsidRDefault="00000000" w:rsidRPr="00000000" w14:paraId="000001A2">
      <w:pPr>
        <w:pBdr>
          <w:top w:space="0" w:sz="0" w:val="nil"/>
          <w:left w:space="0" w:sz="0" w:val="nil"/>
          <w:bottom w:space="0" w:sz="0" w:val="nil"/>
          <w:right w:space="0" w:sz="0" w:val="nil"/>
          <w:between w:space="0" w:sz="0" w:val="nil"/>
        </w:pBdr>
        <w:spacing w:after="180" w:before="180" w:lineRule="auto"/>
        <w:rPr>
          <w:color w:val="000000"/>
        </w:rPr>
      </w:pPr>
      <w:r w:rsidDel="00000000" w:rsidR="00000000" w:rsidRPr="00000000">
        <w:rPr>
          <w:color w:val="000000"/>
          <w:rtl w:val="0"/>
        </w:rPr>
        <w:t xml:space="preserve">Persuadir al equipo directivo de que (1) las series y las películas presentan perfiles de consumo totalmente distintos, (2) el </w:t>
      </w:r>
      <w:r w:rsidDel="00000000" w:rsidR="00000000" w:rsidRPr="00000000">
        <w:rPr>
          <w:i w:val="1"/>
          <w:iCs w:val="1"/>
          <w:color w:val="000000"/>
          <w:rtl w:val="0"/>
        </w:rPr>
        <w:t xml:space="preserve">engagement</w:t>
      </w:r>
      <w:r w:rsidDel="00000000" w:rsidR="00000000" w:rsidRPr="00000000">
        <w:rPr>
          <w:color w:val="000000"/>
          <w:rtl w:val="0"/>
        </w:rPr>
        <w:t xml:space="preserve"> (popularidad) y la </w:t>
      </w:r>
      <w:r w:rsidDel="00000000" w:rsidR="00000000" w:rsidRPr="00000000">
        <w:rPr>
          <w:i w:val="1"/>
          <w:iCs w:val="1"/>
          <w:color w:val="000000"/>
          <w:rtl w:val="0"/>
        </w:rPr>
        <w:t xml:space="preserve">calidad percibida</w:t>
      </w:r>
      <w:r w:rsidDel="00000000" w:rsidR="00000000" w:rsidRPr="00000000">
        <w:rPr>
          <w:color w:val="000000"/>
          <w:rtl w:val="0"/>
        </w:rPr>
        <w:t xml:space="preserve"> (calificación) están solo débilmente asociados (r = 0,25 en películas y 0,13 en series), por lo que exigen estrategias de adquisición separadas, y (3) existen deficiencias críticas en los datos de la plataforma (ej. falta de finanzas) que limitan la visibilidad del negocio.</w:t>
      </w:r>
    </w:p>
    <w:p w:rsidR="00000000" w:rsidDel="00000000" w:rsidP="00000000" w:rsidRDefault="00000000" w:rsidRPr="00000000" w14:paraId="000001A3">
      <w:pPr>
        <w:pStyle w:val="Heading2"/>
        <w:rPr/>
      </w:pPr>
      <w:bookmarkStart w:colFirst="0" w:colLast="0" w:name="_gn9d0vb5e80u" w:id="52"/>
      <w:bookmarkEnd w:id="52"/>
      <w:r w:rsidDel="00000000" w:rsidR="00000000" w:rsidRPr="00000000">
        <w:rPr>
          <w:rtl w:val="0"/>
        </w:rPr>
        <w:t xml:space="preserve">2.2 Fuentes de datos e Integración</w:t>
      </w:r>
    </w:p>
    <w:p w:rsidR="00000000" w:rsidDel="00000000" w:rsidP="00000000" w:rsidRDefault="00000000" w:rsidRPr="00000000" w14:paraId="000001A4">
      <w:pPr>
        <w:pBdr>
          <w:top w:space="0" w:sz="0" w:val="nil"/>
          <w:left w:space="0" w:sz="0" w:val="nil"/>
          <w:bottom w:space="0" w:sz="0" w:val="nil"/>
          <w:right w:space="0" w:sz="0" w:val="nil"/>
          <w:between w:space="0" w:sz="0" w:val="nil"/>
        </w:pBdr>
        <w:spacing w:after="180" w:before="180" w:lineRule="auto"/>
        <w:rPr>
          <w:color w:val="000000"/>
        </w:rPr>
      </w:pPr>
      <w:r w:rsidDel="00000000" w:rsidR="00000000" w:rsidRPr="00000000">
        <w:rPr>
          <w:color w:val="000000"/>
          <w:rtl w:val="0"/>
        </w:rPr>
        <w:t xml:space="preserve">La información se construyó a partir de dos fuentes crudas: </w:t>
      </w:r>
      <w:r w:rsidDel="00000000" w:rsidR="00000000" w:rsidRPr="00000000">
        <w:rPr>
          <w:rFonts w:ascii="Consolas" w:cs="Consolas" w:eastAsia="Consolas" w:hAnsi="Consolas"/>
          <w:color w:val="000000"/>
          <w:sz w:val="22"/>
          <w:szCs w:val="22"/>
          <w:rtl w:val="0"/>
        </w:rPr>
        <w:t xml:space="preserve">netflix_movies_detailed_up_to_2025.csv</w:t>
      </w:r>
      <w:r w:rsidDel="00000000" w:rsidR="00000000" w:rsidRPr="00000000">
        <w:rPr>
          <w:color w:val="000000"/>
          <w:rtl w:val="0"/>
        </w:rPr>
        <w:t xml:space="preserve"> y </w:t>
      </w:r>
      <w:r w:rsidDel="00000000" w:rsidR="00000000" w:rsidRPr="00000000">
        <w:rPr>
          <w:rFonts w:ascii="Consolas" w:cs="Consolas" w:eastAsia="Consolas" w:hAnsi="Consolas"/>
          <w:color w:val="000000"/>
          <w:sz w:val="22"/>
          <w:szCs w:val="22"/>
          <w:rtl w:val="0"/>
        </w:rPr>
        <w:t xml:space="preserve">netflix_tv_shows_detailed_up_to_2025.csv</w:t>
      </w:r>
      <w:r w:rsidDel="00000000" w:rsidR="00000000" w:rsidRPr="00000000">
        <w:rPr>
          <w:color w:val="000000"/>
          <w:rtl w:val="0"/>
        </w:rPr>
        <w:t xml:space="preserve"> (16.000 títulos cada una). Tras eliminar 9 series con </w:t>
      </w:r>
      <w:r w:rsidDel="00000000" w:rsidR="00000000" w:rsidRPr="00000000">
        <w:rPr>
          <w:rFonts w:ascii="Consolas" w:cs="Consolas" w:eastAsia="Consolas" w:hAnsi="Consolas"/>
          <w:color w:val="000000"/>
          <w:sz w:val="22"/>
          <w:szCs w:val="22"/>
          <w:rtl w:val="0"/>
        </w:rPr>
        <w:t xml:space="preserve">show_id</w:t>
      </w:r>
      <w:r w:rsidDel="00000000" w:rsidR="00000000" w:rsidRPr="00000000">
        <w:rPr>
          <w:color w:val="000000"/>
          <w:rtl w:val="0"/>
        </w:rPr>
        <w:t xml:space="preserve"> repetido (todas de 2025), el catálogo integrado queda en 31.991 títulos: 16.000 películas y 15.991 series.</w:t>
      </w:r>
    </w:p>
    <w:p w:rsidR="00000000" w:rsidDel="00000000" w:rsidP="00000000" w:rsidRDefault="00000000" w:rsidRPr="00000000" w14:paraId="000001A5">
      <w:pPr>
        <w:keepNext w:val="1"/>
        <w:keepLines w:val="1"/>
        <w:pBdr>
          <w:top w:space="0" w:sz="0" w:val="nil"/>
          <w:left w:space="0" w:sz="0" w:val="nil"/>
          <w:bottom w:space="0" w:sz="0" w:val="nil"/>
          <w:right w:space="0" w:sz="0" w:val="nil"/>
          <w:between w:space="0" w:sz="0" w:val="nil"/>
        </w:pBdr>
        <w:spacing w:after="180" w:before="180" w:lineRule="auto"/>
        <w:rPr>
          <w:b w:val="1"/>
          <w:bCs w:val="1"/>
        </w:rPr>
      </w:pPr>
      <w:r w:rsidDel="00000000" w:rsidR="00000000" w:rsidRPr="00000000">
        <w:rPr>
          <w:rtl w:val="0"/>
        </w:rPr>
      </w:r>
    </w:p>
    <w:p w:rsidR="00000000" w:rsidDel="00000000" w:rsidP="00000000" w:rsidRDefault="00000000" w:rsidRPr="00000000" w14:paraId="000001A6">
      <w:pPr>
        <w:keepNext w:val="1"/>
        <w:keepLines w:val="1"/>
        <w:pBdr>
          <w:top w:space="0" w:sz="0" w:val="nil"/>
          <w:left w:space="0" w:sz="0" w:val="nil"/>
          <w:bottom w:space="0" w:sz="0" w:val="nil"/>
          <w:right w:space="0" w:sz="0" w:val="nil"/>
          <w:between w:space="0" w:sz="0" w:val="nil"/>
        </w:pBdr>
        <w:spacing w:after="180" w:before="180" w:lineRule="auto"/>
        <w:rPr>
          <w:color w:val="000000"/>
        </w:rPr>
      </w:pPr>
      <w:r w:rsidDel="00000000" w:rsidR="00000000" w:rsidRPr="00000000">
        <w:rPr>
          <w:b w:val="1"/>
          <w:bCs w:val="1"/>
          <w:color w:val="000000"/>
          <w:rtl w:val="0"/>
        </w:rPr>
        <w:t xml:space="preserve">Proceso de Integración y Variables Relevantes:</w:t>
      </w:r>
      <w:r w:rsidDel="00000000" w:rsidR="00000000" w:rsidRPr="00000000">
        <w:rPr>
          <w:rtl w:val="0"/>
        </w:rPr>
      </w:r>
    </w:p>
    <w:p w:rsidR="00000000" w:rsidDel="00000000" w:rsidP="00000000" w:rsidRDefault="00000000" w:rsidRPr="00000000" w14:paraId="000001A7">
      <w:pPr>
        <w:keepNext w:val="1"/>
        <w:keepLines w:val="1"/>
        <w:numPr>
          <w:ilvl w:val="0"/>
          <w:numId w:val="5"/>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b w:val="1"/>
          <w:bCs w:val="1"/>
          <w:color w:val="000000"/>
          <w:rtl w:val="0"/>
        </w:rPr>
        <w:t xml:space="preserve">Llave Compuesta:</w:t>
      </w:r>
      <w:r w:rsidDel="00000000" w:rsidR="00000000" w:rsidRPr="00000000">
        <w:rPr>
          <w:color w:val="000000"/>
          <w:rtl w:val="0"/>
        </w:rPr>
        <w:t xml:space="preserve"> Se detectó un solapamiento de 397 </w:t>
      </w:r>
      <w:r w:rsidDel="00000000" w:rsidR="00000000" w:rsidRPr="00000000">
        <w:rPr>
          <w:rFonts w:ascii="Consolas" w:cs="Consolas" w:eastAsia="Consolas" w:hAnsi="Consolas"/>
          <w:color w:val="000000"/>
          <w:sz w:val="22"/>
          <w:szCs w:val="22"/>
          <w:rtl w:val="0"/>
        </w:rPr>
        <w:t xml:space="preserve">show_id</w:t>
      </w:r>
      <w:r w:rsidDel="00000000" w:rsidR="00000000" w:rsidRPr="00000000">
        <w:rPr>
          <w:color w:val="000000"/>
          <w:rtl w:val="0"/>
        </w:rPr>
        <w:t xml:space="preserve"> distintos entre ambos archivos, por lo que se generó la llave única </w:t>
      </w:r>
      <w:r w:rsidDel="00000000" w:rsidR="00000000" w:rsidRPr="00000000">
        <w:rPr>
          <w:rFonts w:ascii="Consolas" w:cs="Consolas" w:eastAsia="Consolas" w:hAnsi="Consolas"/>
          <w:color w:val="000000"/>
          <w:sz w:val="22"/>
          <w:szCs w:val="22"/>
          <w:rtl w:val="0"/>
        </w:rPr>
        <w:t xml:space="preserve">content_id</w:t>
      </w:r>
      <w:r w:rsidDel="00000000" w:rsidR="00000000" w:rsidRPr="00000000">
        <w:rPr>
          <w:color w:val="000000"/>
          <w:rtl w:val="0"/>
        </w:rPr>
        <w:t xml:space="preserve"> ("M-" para películas, "S-" para series) asegurando la integridad relacional.</w:t>
      </w:r>
    </w:p>
    <w:p w:rsidR="00000000" w:rsidDel="00000000" w:rsidP="00000000" w:rsidRDefault="00000000" w:rsidRPr="00000000" w14:paraId="000001A8">
      <w:pPr>
        <w:keepNext w:val="1"/>
        <w:keepLines w:val="1"/>
        <w:numPr>
          <w:ilvl w:val="0"/>
          <w:numId w:val="5"/>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b w:val="1"/>
          <w:bCs w:val="1"/>
          <w:color w:val="000000"/>
          <w:rtl w:val="0"/>
        </w:rPr>
        <w:t xml:space="preserve">Limpieza de Ceros y Votos:</w:t>
      </w:r>
      <w:r w:rsidDel="00000000" w:rsidR="00000000" w:rsidRPr="00000000">
        <w:rPr>
          <w:color w:val="000000"/>
          <w:rtl w:val="0"/>
        </w:rPr>
        <w:t xml:space="preserve"> Se identificó que las calificaciones de "0" correspondían a títulos sin interacción, no a malas evaluaciones. Se creó </w:t>
      </w:r>
      <w:r w:rsidDel="00000000" w:rsidR="00000000" w:rsidRPr="00000000">
        <w:rPr>
          <w:rFonts w:ascii="Consolas" w:cs="Consolas" w:eastAsia="Consolas" w:hAnsi="Consolas"/>
          <w:color w:val="000000"/>
          <w:sz w:val="22"/>
          <w:szCs w:val="22"/>
          <w:rtl w:val="0"/>
        </w:rPr>
        <w:t xml:space="preserve">vote_average_clean</w:t>
      </w:r>
      <w:r w:rsidDel="00000000" w:rsidR="00000000" w:rsidRPr="00000000">
        <w:rPr>
          <w:color w:val="000000"/>
          <w:rtl w:val="0"/>
        </w:rPr>
        <w:t xml:space="preserve"> (que anula las notas sin votos) y </w:t>
      </w:r>
      <w:r w:rsidDel="00000000" w:rsidR="00000000" w:rsidRPr="00000000">
        <w:rPr>
          <w:rFonts w:ascii="Consolas" w:cs="Consolas" w:eastAsia="Consolas" w:hAnsi="Consolas"/>
          <w:color w:val="000000"/>
          <w:sz w:val="22"/>
          <w:szCs w:val="22"/>
          <w:rtl w:val="0"/>
        </w:rPr>
        <w:t xml:space="preserve">calificacion_confiable</w:t>
      </w:r>
      <w:r w:rsidDel="00000000" w:rsidR="00000000" w:rsidRPr="00000000">
        <w:rPr>
          <w:color w:val="000000"/>
          <w:rtl w:val="0"/>
        </w:rPr>
        <w:t xml:space="preserve"> para aislar títulos con un sustento de audiencia real (≥ 10 votos).</w:t>
      </w:r>
    </w:p>
    <w:p w:rsidR="00000000" w:rsidDel="00000000" w:rsidP="00000000" w:rsidRDefault="00000000" w:rsidRPr="00000000" w14:paraId="000001A9">
      <w:pPr>
        <w:keepNext w:val="1"/>
        <w:keepLines w:val="1"/>
        <w:numPr>
          <w:ilvl w:val="0"/>
          <w:numId w:val="5"/>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b w:val="1"/>
          <w:bCs w:val="1"/>
          <w:color w:val="000000"/>
          <w:rtl w:val="0"/>
        </w:rPr>
        <w:t xml:space="preserve">Normalización de Engagement:</w:t>
      </w:r>
      <w:r w:rsidDel="00000000" w:rsidR="00000000" w:rsidRPr="00000000">
        <w:rPr>
          <w:color w:val="000000"/>
          <w:rtl w:val="0"/>
        </w:rPr>
        <w:t xml:space="preserve"> Debido a que la escala de popularidad difería radicalmente (mediana de 10,9 en películas vs. 36,2 en series), se generó un </w:t>
      </w:r>
      <w:r w:rsidDel="00000000" w:rsidR="00000000" w:rsidRPr="00000000">
        <w:rPr>
          <w:rFonts w:ascii="Consolas" w:cs="Consolas" w:eastAsia="Consolas" w:hAnsi="Consolas"/>
          <w:color w:val="000000"/>
          <w:sz w:val="22"/>
          <w:szCs w:val="22"/>
          <w:rtl w:val="0"/>
        </w:rPr>
        <w:t xml:space="preserve">indice_engagement</w:t>
      </w:r>
      <w:r w:rsidDel="00000000" w:rsidR="00000000" w:rsidRPr="00000000">
        <w:rPr>
          <w:color w:val="000000"/>
          <w:rtl w:val="0"/>
        </w:rPr>
        <w:t xml:space="preserve"> </w:t>
      </w:r>
      <w:r w:rsidDel="00000000" w:rsidR="00000000" w:rsidRPr="00000000">
        <w:rPr>
          <w:rtl w:val="0"/>
        </w:rPr>
        <w:t xml:space="preserve">(percentil de 0 a 100 dentro de cada tipo)</w:t>
      </w:r>
      <w:r w:rsidDel="00000000" w:rsidR="00000000" w:rsidRPr="00000000">
        <w:rPr>
          <w:color w:val="000000"/>
          <w:rtl w:val="0"/>
        </w:rPr>
        <w:t xml:space="preserve"> para permitir comparativas justas.</w:t>
      </w:r>
    </w:p>
    <w:p w:rsidR="00000000" w:rsidDel="00000000" w:rsidP="00000000" w:rsidRDefault="00000000" w:rsidRPr="00000000" w14:paraId="000001AA">
      <w:pPr>
        <w:keepNext w:val="1"/>
        <w:keepLines w:val="1"/>
        <w:numPr>
          <w:ilvl w:val="0"/>
          <w:numId w:val="5"/>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b w:val="1"/>
          <w:bCs w:val="1"/>
          <w:color w:val="000000"/>
          <w:rtl w:val="0"/>
        </w:rPr>
        <w:t xml:space="preserve">Control de Géneros (Data Quality):</w:t>
      </w:r>
      <w:r w:rsidDel="00000000" w:rsidR="00000000" w:rsidRPr="00000000">
        <w:rPr>
          <w:color w:val="000000"/>
          <w:rtl w:val="0"/>
        </w:rPr>
        <w:t xml:space="preserve"> Se homologaron las dos taxonomías dispares de las fuentes originales a un mapa de géneros único en español. Adicionalmente, se extrajeron 628 títulos catalogados como "TV Movie", marcándolos como </w:t>
      </w:r>
      <w:r w:rsidDel="00000000" w:rsidR="00000000" w:rsidRPr="00000000">
        <w:rPr>
          <w:rFonts w:ascii="Consolas" w:cs="Consolas" w:eastAsia="Consolas" w:hAnsi="Consolas"/>
          <w:color w:val="000000"/>
          <w:sz w:val="22"/>
          <w:szCs w:val="22"/>
          <w:rtl w:val="0"/>
        </w:rPr>
        <w:t xml:space="preserve">es_telefilm</w:t>
      </w:r>
      <w:r w:rsidDel="00000000" w:rsidR="00000000" w:rsidRPr="00000000">
        <w:rPr>
          <w:color w:val="000000"/>
          <w:rtl w:val="0"/>
        </w:rPr>
        <w:t xml:space="preserve"> y excluyéndolos de la dimensión de géneros al tratarse de un formato y no de un atributo narrativo.</w:t>
      </w:r>
    </w:p>
    <w:p w:rsidR="00000000" w:rsidDel="00000000" w:rsidP="00000000" w:rsidRDefault="00000000" w:rsidRPr="00000000" w14:paraId="000001AB">
      <w:pPr>
        <w:keepNext w:val="1"/>
        <w:keepLines w:val="1"/>
        <w:numPr>
          <w:ilvl w:val="0"/>
          <w:numId w:val="5"/>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b w:val="1"/>
          <w:bCs w:val="1"/>
          <w:color w:val="000000"/>
          <w:rtl w:val="0"/>
        </w:rPr>
        <w:t xml:space="preserve">Salud Financiera:</w:t>
      </w:r>
      <w:r w:rsidDel="00000000" w:rsidR="00000000" w:rsidRPr="00000000">
        <w:rPr>
          <w:color w:val="000000"/>
          <w:rtl w:val="0"/>
        </w:rPr>
        <w:t xml:space="preserve"> Se aislaron 3.540 películas con </w:t>
      </w:r>
      <w:r w:rsidDel="00000000" w:rsidR="00000000" w:rsidRPr="00000000">
        <w:rPr>
          <w:rtl w:val="0"/>
        </w:rPr>
        <w:t xml:space="preserve">presupuesto e ingresos mayores que 0 </w:t>
      </w:r>
      <w:r w:rsidDel="00000000" w:rsidR="00000000" w:rsidRPr="00000000">
        <w:rPr>
          <w:color w:val="000000"/>
          <w:rtl w:val="0"/>
        </w:rPr>
        <w:t xml:space="preserve">para el cálculo seguro del Retorno de Inversión (ROI).</w:t>
      </w:r>
    </w:p>
    <w:p w:rsidR="00000000" w:rsidDel="00000000" w:rsidP="00000000" w:rsidRDefault="00000000" w:rsidRPr="00000000" w14:paraId="000001AC">
      <w:pPr>
        <w:keepNext w:val="1"/>
        <w:keepLines w:val="1"/>
        <w:numPr>
          <w:ilvl w:val="0"/>
          <w:numId w:val="5"/>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b w:val="1"/>
          <w:bCs w:val="1"/>
          <w:color w:val="000000"/>
          <w:rtl w:val="0"/>
        </w:rPr>
        <w:t xml:space="preserve">Tabla del dashboard:</w:t>
      </w:r>
      <w:r w:rsidDel="00000000" w:rsidR="00000000" w:rsidRPr="00000000">
        <w:rPr>
          <w:color w:val="000000"/>
          <w:rtl w:val="0"/>
        </w:rPr>
        <w:t xml:space="preserve"> A partir del catálogo integrado se generó </w:t>
      </w:r>
      <w:r w:rsidDel="00000000" w:rsidR="00000000" w:rsidRPr="00000000">
        <w:rPr>
          <w:rFonts w:ascii="Consolas" w:cs="Consolas" w:eastAsia="Consolas" w:hAnsi="Consolas"/>
          <w:color w:val="000000"/>
          <w:sz w:val="22"/>
          <w:szCs w:val="22"/>
          <w:rtl w:val="0"/>
        </w:rPr>
        <w:t xml:space="preserve">looker_contenido.csv</w:t>
      </w:r>
      <w:r w:rsidDel="00000000" w:rsidR="00000000" w:rsidRPr="00000000">
        <w:rPr>
          <w:color w:val="000000"/>
          <w:rtl w:val="0"/>
        </w:rPr>
        <w:t xml:space="preserve"> (una fila por título, 22 columnas), fuente única del dashboard y de la infografía. Incluye el género, el país y el director principal, los indicadores calculados (</w:t>
      </w:r>
      <w:r w:rsidDel="00000000" w:rsidR="00000000" w:rsidRPr="00000000">
        <w:rPr>
          <w:rFonts w:ascii="Consolas" w:cs="Consolas" w:eastAsia="Consolas" w:hAnsi="Consolas"/>
          <w:color w:val="000000"/>
          <w:sz w:val="22"/>
          <w:szCs w:val="22"/>
          <w:rtl w:val="0"/>
        </w:rPr>
        <w:t xml:space="preserve">alto_engagement</w:t>
      </w:r>
      <w:r w:rsidDel="00000000" w:rsidR="00000000" w:rsidRPr="00000000">
        <w:rPr>
          <w:color w:val="000000"/>
          <w:rtl w:val="0"/>
        </w:rPr>
        <w:t xml:space="preserve">, </w:t>
      </w:r>
      <w:r w:rsidDel="00000000" w:rsidR="00000000" w:rsidRPr="00000000">
        <w:rPr>
          <w:rFonts w:ascii="Consolas" w:cs="Consolas" w:eastAsia="Consolas" w:hAnsi="Consolas"/>
          <w:color w:val="000000"/>
          <w:sz w:val="22"/>
          <w:szCs w:val="22"/>
          <w:rtl w:val="0"/>
        </w:rPr>
        <w:t xml:space="preserve">es_estrella</w:t>
      </w:r>
      <w:r w:rsidDel="00000000" w:rsidR="00000000" w:rsidRPr="00000000">
        <w:rPr>
          <w:color w:val="000000"/>
          <w:rtl w:val="0"/>
        </w:rPr>
        <w:t xml:space="preserve">, </w:t>
      </w:r>
      <w:r w:rsidDel="00000000" w:rsidR="00000000" w:rsidRPr="00000000">
        <w:rPr>
          <w:rFonts w:ascii="Consolas" w:cs="Consolas" w:eastAsia="Consolas" w:hAnsi="Consolas"/>
          <w:color w:val="000000"/>
          <w:sz w:val="22"/>
          <w:szCs w:val="22"/>
          <w:rtl w:val="0"/>
        </w:rPr>
        <w:t xml:space="preserve">confiable_num</w:t>
      </w:r>
      <w:r w:rsidDel="00000000" w:rsidR="00000000" w:rsidRPr="00000000">
        <w:rPr>
          <w:color w:val="000000"/>
          <w:rtl w:val="0"/>
        </w:rPr>
        <w:t xml:space="preserve">, </w:t>
      </w:r>
      <w:r w:rsidDel="00000000" w:rsidR="00000000" w:rsidRPr="00000000">
        <w:rPr>
          <w:rFonts w:ascii="Consolas" w:cs="Consolas" w:eastAsia="Consolas" w:hAnsi="Consolas"/>
          <w:color w:val="000000"/>
          <w:sz w:val="22"/>
          <w:szCs w:val="22"/>
          <w:rtl w:val="0"/>
        </w:rPr>
        <w:t xml:space="preserve">financiero_num</w:t>
      </w:r>
      <w:r w:rsidDel="00000000" w:rsidR="00000000" w:rsidRPr="00000000">
        <w:rPr>
          <w:color w:val="000000"/>
          <w:rtl w:val="0"/>
        </w:rPr>
        <w:t xml:space="preserve">) y, para los dos hallazgos centrales, las marcas </w:t>
      </w:r>
      <w:r w:rsidDel="00000000" w:rsidR="00000000" w:rsidRPr="00000000">
        <w:rPr>
          <w:rFonts w:ascii="Consolas" w:cs="Consolas" w:eastAsia="Consolas" w:hAnsi="Consolas"/>
          <w:color w:val="000000"/>
          <w:sz w:val="22"/>
          <w:szCs w:val="22"/>
          <w:rtl w:val="0"/>
        </w:rPr>
        <w:t xml:space="preserve">es_drama</w:t>
      </w:r>
      <w:r w:rsidDel="00000000" w:rsidR="00000000" w:rsidRPr="00000000">
        <w:rPr>
          <w:color w:val="000000"/>
          <w:rtl w:val="0"/>
        </w:rPr>
        <w:t xml:space="preserve"> y </w:t>
      </w:r>
      <w:r w:rsidDel="00000000" w:rsidR="00000000" w:rsidRPr="00000000">
        <w:rPr>
          <w:rFonts w:ascii="Consolas" w:cs="Consolas" w:eastAsia="Consolas" w:hAnsi="Consolas"/>
          <w:color w:val="000000"/>
          <w:sz w:val="22"/>
          <w:szCs w:val="22"/>
          <w:rtl w:val="0"/>
        </w:rPr>
        <w:t xml:space="preserve">es_eeuu</w:t>
      </w:r>
      <w:r w:rsidDel="00000000" w:rsidR="00000000" w:rsidRPr="00000000">
        <w:rPr>
          <w:color w:val="000000"/>
          <w:rtl w:val="0"/>
        </w:rPr>
        <w:t xml:space="preserve">.</w:t>
      </w:r>
    </w:p>
    <w:p w:rsidR="00000000" w:rsidDel="00000000" w:rsidP="00000000" w:rsidRDefault="00000000" w:rsidRPr="00000000" w14:paraId="000001AD">
      <w:pPr>
        <w:pStyle w:val="Heading2"/>
        <w:rPr/>
      </w:pPr>
      <w:bookmarkStart w:colFirst="0" w:colLast="0" w:name="_7v7zuvqjskl2" w:id="53"/>
      <w:bookmarkEnd w:id="53"/>
      <w:r w:rsidDel="00000000" w:rsidR="00000000" w:rsidRPr="00000000">
        <w:rPr>
          <w:rtl w:val="0"/>
        </w:rPr>
        <w:t xml:space="preserve">2.3 Análisis exploratorio mediante visualizaciones</w:t>
      </w:r>
    </w:p>
    <w:p w:rsidR="00000000" w:rsidDel="00000000" w:rsidP="00000000" w:rsidRDefault="00000000" w:rsidRPr="00000000" w14:paraId="000001AE">
      <w:pPr>
        <w:pBdr>
          <w:top w:space="0" w:sz="0" w:val="nil"/>
          <w:left w:space="0" w:sz="0" w:val="nil"/>
          <w:bottom w:space="0" w:sz="0" w:val="nil"/>
          <w:right w:space="0" w:sz="0" w:val="nil"/>
          <w:between w:space="0" w:sz="0" w:val="nil"/>
        </w:pBdr>
        <w:spacing w:after="180" w:before="180" w:lineRule="auto"/>
        <w:rPr>
          <w:color w:val="000000"/>
        </w:rPr>
      </w:pPr>
      <w:r w:rsidDel="00000000" w:rsidR="00000000" w:rsidRPr="00000000">
        <w:rPr>
          <w:color w:val="000000"/>
          <w:rtl w:val="0"/>
        </w:rPr>
        <w:t xml:space="preserve">La exploración se realizó en Python (notebook 02) con ocho gráficos, G1 a G8. Cada uno responde a una pregunta de negocio y se presenta a continuación con su hallazgo. En estos gráficos un título cuenta en cada género y país que lista.</w:t>
      </w:r>
    </w:p>
    <w:p w:rsidR="00000000" w:rsidDel="00000000" w:rsidP="00000000" w:rsidRDefault="00000000" w:rsidRPr="00000000" w14:paraId="000001AF">
      <w:pPr>
        <w:numPr>
          <w:ilvl w:val="0"/>
          <w:numId w:val="5"/>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b w:val="1"/>
          <w:bCs w:val="1"/>
          <w:color w:val="000000"/>
          <w:rtl w:val="0"/>
        </w:rPr>
        <w:t xml:space="preserve">G1 · Sesgo de calificación:</w:t>
      </w:r>
      <w:r w:rsidDel="00000000" w:rsidR="00000000" w:rsidRPr="00000000">
        <w:rPr>
          <w:color w:val="000000"/>
          <w:rtl w:val="0"/>
        </w:rPr>
        <w:t xml:space="preserve"> Las series ostentan un promedio de calidad percibida mucho mayor que las películas (7,02 frente a 6,31), pero una proporción dramáticamente menor de sus títulos ha logrado acumular suficientes votos de la audiencia (38,4 % vs. 88,6 %).</w:t>
      </w:r>
    </w:p>
    <w:p w:rsidR="00000000" w:rsidDel="00000000" w:rsidP="00000000" w:rsidRDefault="00000000" w:rsidRPr="00000000" w14:paraId="000001B0">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Pr>
        <w:drawing>
          <wp:inline distB="0" distT="0" distL="0" distR="0">
            <wp:extent cx="5610225" cy="2676525"/>
            <wp:effectExtent b="0" l="0" r="0" t="0"/>
            <wp:docPr id="4"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5610225" cy="2676525"/>
                    </a:xfrm>
                    <a:prstGeom prst="rect"/>
                    <a:ln/>
                  </pic:spPr>
                </pic:pic>
              </a:graphicData>
            </a:graphic>
          </wp:inline>
        </w:drawing>
      </w:r>
      <w:r w:rsidDel="00000000" w:rsidR="00000000" w:rsidRPr="00000000">
        <w:rPr>
          <w:rtl w:val="0"/>
        </w:rPr>
      </w:r>
    </w:p>
    <w:p w:rsidR="00000000" w:rsidDel="00000000" w:rsidP="00000000" w:rsidRDefault="00000000" w:rsidRPr="00000000" w14:paraId="000001B1">
      <w:pPr>
        <w:spacing w:after="120" w:before="40" w:line="276" w:lineRule="auto"/>
        <w:rPr/>
      </w:pPr>
      <w:r w:rsidDel="00000000" w:rsidR="00000000" w:rsidRPr="00000000">
        <w:rPr>
          <w:b w:val="1"/>
          <w:bCs w:val="1"/>
          <w:sz w:val="21"/>
          <w:szCs w:val="21"/>
          <w:rtl w:val="0"/>
        </w:rPr>
        <w:t xml:space="preserve">Figura 1. </w:t>
      </w:r>
      <w:r w:rsidDel="00000000" w:rsidR="00000000" w:rsidRPr="00000000">
        <w:rPr>
          <w:i w:val="1"/>
          <w:iCs w:val="1"/>
          <w:sz w:val="21"/>
          <w:szCs w:val="21"/>
          <w:rtl w:val="0"/>
        </w:rPr>
        <w:t xml:space="preserve">Calificación promedio y % de títulos con 10 o más votos, por tipo de contenido.</w:t>
      </w:r>
      <w:r w:rsidDel="00000000" w:rsidR="00000000" w:rsidRPr="00000000">
        <w:rPr>
          <w:rtl w:val="0"/>
        </w:rPr>
      </w:r>
    </w:p>
    <w:p w:rsidR="00000000" w:rsidDel="00000000" w:rsidP="00000000" w:rsidRDefault="00000000" w:rsidRPr="00000000" w14:paraId="000001B2">
      <w:pPr>
        <w:numPr>
          <w:ilvl w:val="0"/>
          <w:numId w:val="5"/>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b w:val="1"/>
          <w:bCs w:val="1"/>
          <w:color w:val="000000"/>
          <w:rtl w:val="0"/>
        </w:rPr>
        <w:t xml:space="preserve">G2 · Asimetría extrema:</w:t>
      </w:r>
      <w:r w:rsidDel="00000000" w:rsidR="00000000" w:rsidRPr="00000000">
        <w:rPr>
          <w:color w:val="000000"/>
          <w:rtl w:val="0"/>
        </w:rPr>
        <w:t xml:space="preserve"> La popularidad y los ingresos presentan colas largas hacia la derecha (valores extremos muy altos). La popularidad promedio (20,4 en películas y 64,9 en series) queda muy por encima de la mediana (10,9 y 36,2), y el ROI promedio (781,5×) está distorsionado por unos pocos éxitos, frente a una mediana de 1,70×. Esto invalidó el uso de promedios simples y forzó al equipo a utilizar medianas y percentiles para proteger los insights de los "outliers".</w:t>
      </w:r>
    </w:p>
    <w:p w:rsidR="00000000" w:rsidDel="00000000" w:rsidP="00000000" w:rsidRDefault="00000000" w:rsidRPr="00000000" w14:paraId="000001B3">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Pr>
        <w:drawing>
          <wp:inline distB="0" distT="0" distL="0" distR="0">
            <wp:extent cx="5600700" cy="2724150"/>
            <wp:effectExtent b="0" l="0" r="0" t="0"/>
            <wp:docPr id="7" name="image19.png"/>
            <a:graphic>
              <a:graphicData uri="http://schemas.openxmlformats.org/drawingml/2006/picture">
                <pic:pic>
                  <pic:nvPicPr>
                    <pic:cNvPr id="0" name="image19.png"/>
                    <pic:cNvPicPr preferRelativeResize="0"/>
                  </pic:nvPicPr>
                  <pic:blipFill>
                    <a:blip r:embed="rId9"/>
                    <a:srcRect b="0" l="0" r="0" t="0"/>
                    <a:stretch>
                      <a:fillRect/>
                    </a:stretch>
                  </pic:blipFill>
                  <pic:spPr>
                    <a:xfrm>
                      <a:off x="0" y="0"/>
                      <a:ext cx="5600700" cy="2724150"/>
                    </a:xfrm>
                    <a:prstGeom prst="rect"/>
                    <a:ln/>
                  </pic:spPr>
                </pic:pic>
              </a:graphicData>
            </a:graphic>
          </wp:inline>
        </w:drawing>
      </w:r>
      <w:r w:rsidDel="00000000" w:rsidR="00000000" w:rsidRPr="00000000">
        <w:rPr>
          <w:rtl w:val="0"/>
        </w:rPr>
      </w:r>
    </w:p>
    <w:p w:rsidR="00000000" w:rsidDel="00000000" w:rsidP="00000000" w:rsidRDefault="00000000" w:rsidRPr="00000000" w14:paraId="000001B4">
      <w:pPr>
        <w:spacing w:after="120" w:before="40" w:line="276" w:lineRule="auto"/>
        <w:rPr/>
      </w:pPr>
      <w:r w:rsidDel="00000000" w:rsidR="00000000" w:rsidRPr="00000000">
        <w:rPr>
          <w:b w:val="1"/>
          <w:bCs w:val="1"/>
          <w:sz w:val="21"/>
          <w:szCs w:val="21"/>
          <w:rtl w:val="0"/>
        </w:rPr>
        <w:t xml:space="preserve">Figura 2. </w:t>
      </w:r>
      <w:r w:rsidDel="00000000" w:rsidR="00000000" w:rsidRPr="00000000">
        <w:rPr>
          <w:i w:val="1"/>
          <w:iCs w:val="1"/>
          <w:sz w:val="21"/>
          <w:szCs w:val="21"/>
          <w:rtl w:val="0"/>
        </w:rPr>
        <w:t xml:space="preserve">Distribución de la popularidad por tipo (boxplot; los atípicos se excluyen del dibujo y se cuantifican).</w:t>
      </w:r>
      <w:r w:rsidDel="00000000" w:rsidR="00000000" w:rsidRPr="00000000">
        <w:rPr>
          <w:rtl w:val="0"/>
        </w:rPr>
      </w:r>
    </w:p>
    <w:p w:rsidR="00000000" w:rsidDel="00000000" w:rsidP="00000000" w:rsidRDefault="00000000" w:rsidRPr="00000000" w14:paraId="000001B5">
      <w:pPr>
        <w:numPr>
          <w:ilvl w:val="0"/>
          <w:numId w:val="5"/>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b w:val="1"/>
          <w:bCs w:val="1"/>
          <w:color w:val="000000"/>
          <w:rtl w:val="0"/>
        </w:rPr>
        <w:t xml:space="preserve">G3 · Engagement y calidad por género:</w:t>
      </w:r>
      <w:r w:rsidDel="00000000" w:rsidR="00000000" w:rsidRPr="00000000">
        <w:rPr>
          <w:color w:val="000000"/>
          <w:rtl w:val="0"/>
        </w:rPr>
        <w:t xml:space="preserve"> </w:t>
      </w:r>
      <w:r w:rsidDel="00000000" w:rsidR="00000000" w:rsidRPr="00000000">
        <w:rPr>
          <w:rtl w:val="0"/>
        </w:rPr>
        <w:t xml:space="preserve">Los géneros más vistos no son los mejor calificados. En películas, el mayor engagement mediano es el de Acción y Aventura (66,4), mientras que Documental (7,14) y Música lideran la calificación; Animación combina ambos atributos. En series, lidera el engagement Telenovela (84,6) y la mejor nota es la de Documental (7,48). Solo se grafican géneros con al menos 100 títulos y 30 con nota confiable. </w:t>
      </w:r>
      <w:r w:rsidDel="00000000" w:rsidR="00000000" w:rsidRPr="00000000">
        <w:rPr>
          <w:rtl w:val="0"/>
        </w:rPr>
      </w:r>
    </w:p>
    <w:p w:rsidR="00000000" w:rsidDel="00000000" w:rsidP="00000000" w:rsidRDefault="00000000" w:rsidRPr="00000000" w14:paraId="000001B6">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Pr>
        <w:drawing>
          <wp:inline distB="0" distT="0" distL="0" distR="0">
            <wp:extent cx="5715952" cy="2173809"/>
            <wp:effectExtent b="0" l="0" r="0" t="0"/>
            <wp:docPr id="6"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715952" cy="2173809"/>
                    </a:xfrm>
                    <a:prstGeom prst="rect"/>
                    <a:ln/>
                  </pic:spPr>
                </pic:pic>
              </a:graphicData>
            </a:graphic>
          </wp:inline>
        </w:drawing>
      </w:r>
      <w:r w:rsidDel="00000000" w:rsidR="00000000" w:rsidRPr="00000000">
        <w:rPr>
          <w:rtl w:val="0"/>
        </w:rPr>
      </w:r>
    </w:p>
    <w:p w:rsidR="00000000" w:rsidDel="00000000" w:rsidP="00000000" w:rsidRDefault="00000000" w:rsidRPr="00000000" w14:paraId="000001B7">
      <w:pPr>
        <w:spacing w:after="120" w:before="40" w:line="276" w:lineRule="auto"/>
        <w:rPr/>
      </w:pPr>
      <w:r w:rsidDel="00000000" w:rsidR="00000000" w:rsidRPr="00000000">
        <w:rPr>
          <w:b w:val="1"/>
          <w:bCs w:val="1"/>
          <w:sz w:val="21"/>
          <w:szCs w:val="21"/>
          <w:rtl w:val="0"/>
        </w:rPr>
        <w:t xml:space="preserve">Figura 3. </w:t>
      </w:r>
      <w:r w:rsidDel="00000000" w:rsidR="00000000" w:rsidRPr="00000000">
        <w:rPr>
          <w:i w:val="1"/>
          <w:iCs w:val="1"/>
          <w:sz w:val="21"/>
          <w:szCs w:val="21"/>
          <w:rtl w:val="0"/>
        </w:rPr>
        <w:t xml:space="preserve">Engagement mediano vs. calificación promedio (≥ 10 votos) por género, para películas y series.</w:t>
      </w:r>
      <w:r w:rsidDel="00000000" w:rsidR="00000000" w:rsidRPr="00000000">
        <w:rPr>
          <w:rtl w:val="0"/>
        </w:rPr>
      </w:r>
    </w:p>
    <w:p w:rsidR="00000000" w:rsidDel="00000000" w:rsidP="00000000" w:rsidRDefault="00000000" w:rsidRPr="00000000" w14:paraId="000001B8">
      <w:pPr>
        <w:numPr>
          <w:ilvl w:val="0"/>
          <w:numId w:val="5"/>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b w:val="1"/>
          <w:bCs w:val="1"/>
          <w:color w:val="000000"/>
          <w:rtl w:val="0"/>
        </w:rPr>
        <w:t xml:space="preserve">G4 · Volumen por género:</w:t>
      </w:r>
      <w:r w:rsidDel="00000000" w:rsidR="00000000" w:rsidRPr="00000000">
        <w:rPr>
          <w:color w:val="000000"/>
          <w:rtl w:val="0"/>
        </w:rPr>
        <w:t xml:space="preserve"> El Drama es el género más frecuente en películas (43 %) y en series (49 %) contando todos los géneros de cada título; la oferta está concentrada en pocos géneros.</w:t>
      </w:r>
    </w:p>
    <w:p w:rsidR="00000000" w:rsidDel="00000000" w:rsidP="00000000" w:rsidRDefault="00000000" w:rsidRPr="00000000" w14:paraId="000001B9">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Pr>
        <w:drawing>
          <wp:inline distB="0" distT="0" distL="0" distR="0">
            <wp:extent cx="5610225" cy="2581275"/>
            <wp:effectExtent b="0" l="0" r="0" t="0"/>
            <wp:docPr id="9" name="image17.png"/>
            <a:graphic>
              <a:graphicData uri="http://schemas.openxmlformats.org/drawingml/2006/picture">
                <pic:pic>
                  <pic:nvPicPr>
                    <pic:cNvPr id="0" name="image17.png"/>
                    <pic:cNvPicPr preferRelativeResize="0"/>
                  </pic:nvPicPr>
                  <pic:blipFill>
                    <a:blip r:embed="rId11"/>
                    <a:srcRect b="0" l="0" r="0" t="0"/>
                    <a:stretch>
                      <a:fillRect/>
                    </a:stretch>
                  </pic:blipFill>
                  <pic:spPr>
                    <a:xfrm>
                      <a:off x="0" y="0"/>
                      <a:ext cx="5610225" cy="2581275"/>
                    </a:xfrm>
                    <a:prstGeom prst="rect"/>
                    <a:ln/>
                  </pic:spPr>
                </pic:pic>
              </a:graphicData>
            </a:graphic>
          </wp:inline>
        </w:drawing>
      </w:r>
      <w:r w:rsidDel="00000000" w:rsidR="00000000" w:rsidRPr="00000000">
        <w:rPr>
          <w:rtl w:val="0"/>
        </w:rPr>
      </w:r>
    </w:p>
    <w:p w:rsidR="00000000" w:rsidDel="00000000" w:rsidP="00000000" w:rsidRDefault="00000000" w:rsidRPr="00000000" w14:paraId="000001BA">
      <w:pPr>
        <w:spacing w:after="120" w:before="40" w:line="276" w:lineRule="auto"/>
        <w:rPr/>
      </w:pPr>
      <w:r w:rsidDel="00000000" w:rsidR="00000000" w:rsidRPr="00000000">
        <w:rPr>
          <w:b w:val="1"/>
          <w:bCs w:val="1"/>
          <w:sz w:val="21"/>
          <w:szCs w:val="21"/>
          <w:rtl w:val="0"/>
        </w:rPr>
        <w:t xml:space="preserve">Figura 4. </w:t>
      </w:r>
      <w:r w:rsidDel="00000000" w:rsidR="00000000" w:rsidRPr="00000000">
        <w:rPr>
          <w:i w:val="1"/>
          <w:iCs w:val="1"/>
          <w:sz w:val="21"/>
          <w:szCs w:val="21"/>
          <w:rtl w:val="0"/>
        </w:rPr>
        <w:t xml:space="preserve">% de títulos por género (top 7), por tipo. Un título puede tener varios géneros, por lo que los porcentajes no suman 100 %.</w:t>
      </w:r>
      <w:r w:rsidDel="00000000" w:rsidR="00000000" w:rsidRPr="00000000">
        <w:rPr>
          <w:rtl w:val="0"/>
        </w:rPr>
      </w:r>
    </w:p>
    <w:p w:rsidR="00000000" w:rsidDel="00000000" w:rsidP="00000000" w:rsidRDefault="00000000" w:rsidRPr="00000000" w14:paraId="000001BB">
      <w:pPr>
        <w:numPr>
          <w:ilvl w:val="0"/>
          <w:numId w:val="5"/>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b w:val="1"/>
          <w:bCs w:val="1"/>
          <w:color w:val="000000"/>
          <w:rtl w:val="0"/>
        </w:rPr>
        <w:t xml:space="preserve">G5 · Tendencia por año:</w:t>
      </w:r>
      <w:r w:rsidDel="00000000" w:rsidR="00000000" w:rsidRPr="00000000">
        <w:rPr>
          <w:color w:val="000000"/>
          <w:rtl w:val="0"/>
        </w:rPr>
        <w:t xml:space="preserve"> Entre 2010 y 2024 la calificación promedio se mueve en rangos estrechos (6,1 a 6,5 en películas y 6,8 a 7,4 en series), sin quiebres marcados. La cobertura de votos es alta en películas (82 % a 98 %) y creciente en series (30 % a 50 %). Los títulos de 2025 casi no tienen votos (9 % de las películas y 7 % de las series con 10 o más votos), por lo que su nota aún no es fiable.</w:t>
      </w:r>
    </w:p>
    <w:p w:rsidR="00000000" w:rsidDel="00000000" w:rsidP="00000000" w:rsidRDefault="00000000" w:rsidRPr="00000000" w14:paraId="000001BC">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Pr>
        <w:drawing>
          <wp:inline distB="0" distT="0" distL="0" distR="0">
            <wp:extent cx="5610225" cy="2447925"/>
            <wp:effectExtent b="0" l="0" r="0" t="0"/>
            <wp:docPr id="8" name="image12.png"/>
            <a:graphic>
              <a:graphicData uri="http://schemas.openxmlformats.org/drawingml/2006/picture">
                <pic:pic>
                  <pic:nvPicPr>
                    <pic:cNvPr id="0" name="image12.png"/>
                    <pic:cNvPicPr preferRelativeResize="0"/>
                  </pic:nvPicPr>
                  <pic:blipFill>
                    <a:blip r:embed="rId12"/>
                    <a:srcRect b="0" l="0" r="0" t="0"/>
                    <a:stretch>
                      <a:fillRect/>
                    </a:stretch>
                  </pic:blipFill>
                  <pic:spPr>
                    <a:xfrm>
                      <a:off x="0" y="0"/>
                      <a:ext cx="5610225" cy="2447925"/>
                    </a:xfrm>
                    <a:prstGeom prst="rect"/>
                    <a:ln/>
                  </pic:spPr>
                </pic:pic>
              </a:graphicData>
            </a:graphic>
          </wp:inline>
        </w:drawing>
      </w:r>
      <w:r w:rsidDel="00000000" w:rsidR="00000000" w:rsidRPr="00000000">
        <w:rPr>
          <w:rtl w:val="0"/>
        </w:rPr>
      </w:r>
    </w:p>
    <w:p w:rsidR="00000000" w:rsidDel="00000000" w:rsidP="00000000" w:rsidRDefault="00000000" w:rsidRPr="00000000" w14:paraId="000001BD">
      <w:pPr>
        <w:spacing w:after="120" w:before="40" w:line="276" w:lineRule="auto"/>
        <w:rPr/>
      </w:pPr>
      <w:r w:rsidDel="00000000" w:rsidR="00000000" w:rsidRPr="00000000">
        <w:rPr>
          <w:b w:val="1"/>
          <w:bCs w:val="1"/>
          <w:sz w:val="21"/>
          <w:szCs w:val="21"/>
          <w:rtl w:val="0"/>
        </w:rPr>
        <w:t xml:space="preserve">Figura 5. </w:t>
      </w:r>
      <w:r w:rsidDel="00000000" w:rsidR="00000000" w:rsidRPr="00000000">
        <w:rPr>
          <w:i w:val="1"/>
          <w:iCs w:val="1"/>
          <w:sz w:val="21"/>
          <w:szCs w:val="21"/>
          <w:rtl w:val="0"/>
        </w:rPr>
        <w:t xml:space="preserve">Calificación promedio y % de títulos con 10 o más votos, por año de estreno y tipo.</w:t>
      </w:r>
      <w:r w:rsidDel="00000000" w:rsidR="00000000" w:rsidRPr="00000000">
        <w:rPr>
          <w:rtl w:val="0"/>
        </w:rPr>
      </w:r>
    </w:p>
    <w:p w:rsidR="00000000" w:rsidDel="00000000" w:rsidP="00000000" w:rsidRDefault="00000000" w:rsidRPr="00000000" w14:paraId="000001BE">
      <w:pPr>
        <w:numPr>
          <w:ilvl w:val="0"/>
          <w:numId w:val="5"/>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b w:val="1"/>
          <w:bCs w:val="1"/>
          <w:color w:val="000000"/>
          <w:rtl w:val="0"/>
        </w:rPr>
        <w:t xml:space="preserve">G6 · Países de producción:</w:t>
      </w:r>
      <w:r w:rsidDel="00000000" w:rsidR="00000000" w:rsidRPr="00000000">
        <w:rPr>
          <w:color w:val="000000"/>
          <w:rtl w:val="0"/>
        </w:rPr>
        <w:t xml:space="preserve"> EE. UU. concentra el 48,5 % de las películas pero solo el 20,0 % de las series, donde China y Japón pesan casi lo mismo entre sí.</w:t>
      </w:r>
    </w:p>
    <w:p w:rsidR="00000000" w:rsidDel="00000000" w:rsidP="00000000" w:rsidRDefault="00000000" w:rsidRPr="00000000" w14:paraId="000001BF">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Pr>
        <w:drawing>
          <wp:inline distB="0" distT="0" distL="0" distR="0">
            <wp:extent cx="5610225" cy="2228850"/>
            <wp:effectExtent b="0" l="0" r="0" t="0"/>
            <wp:docPr id="11" name="image14.png"/>
            <a:graphic>
              <a:graphicData uri="http://schemas.openxmlformats.org/drawingml/2006/picture">
                <pic:pic>
                  <pic:nvPicPr>
                    <pic:cNvPr id="0" name="image14.png"/>
                    <pic:cNvPicPr preferRelativeResize="0"/>
                  </pic:nvPicPr>
                  <pic:blipFill>
                    <a:blip r:embed="rId13"/>
                    <a:srcRect b="0" l="0" r="0" t="0"/>
                    <a:stretch>
                      <a:fillRect/>
                    </a:stretch>
                  </pic:blipFill>
                  <pic:spPr>
                    <a:xfrm>
                      <a:off x="0" y="0"/>
                      <a:ext cx="5610225" cy="2228850"/>
                    </a:xfrm>
                    <a:prstGeom prst="rect"/>
                    <a:ln/>
                  </pic:spPr>
                </pic:pic>
              </a:graphicData>
            </a:graphic>
          </wp:inline>
        </w:drawing>
      </w:r>
      <w:r w:rsidDel="00000000" w:rsidR="00000000" w:rsidRPr="00000000">
        <w:rPr>
          <w:rtl w:val="0"/>
        </w:rPr>
      </w:r>
    </w:p>
    <w:p w:rsidR="00000000" w:rsidDel="00000000" w:rsidP="00000000" w:rsidRDefault="00000000" w:rsidRPr="00000000" w14:paraId="000001C0">
      <w:pPr>
        <w:spacing w:after="120" w:before="40" w:line="276" w:lineRule="auto"/>
        <w:rPr/>
      </w:pPr>
      <w:r w:rsidDel="00000000" w:rsidR="00000000" w:rsidRPr="00000000">
        <w:rPr>
          <w:b w:val="1"/>
          <w:bCs w:val="1"/>
          <w:sz w:val="21"/>
          <w:szCs w:val="21"/>
          <w:rtl w:val="0"/>
        </w:rPr>
        <w:t xml:space="preserve">Figura 6. </w:t>
      </w:r>
      <w:r w:rsidDel="00000000" w:rsidR="00000000" w:rsidRPr="00000000">
        <w:rPr>
          <w:i w:val="1"/>
          <w:iCs w:val="1"/>
          <w:sz w:val="21"/>
          <w:szCs w:val="21"/>
          <w:rtl w:val="0"/>
        </w:rPr>
        <w:t xml:space="preserve">% de títulos por país (top 7), por tipo.</w:t>
      </w:r>
      <w:r w:rsidDel="00000000" w:rsidR="00000000" w:rsidRPr="00000000">
        <w:rPr>
          <w:rtl w:val="0"/>
        </w:rPr>
      </w:r>
    </w:p>
    <w:p w:rsidR="00000000" w:rsidDel="00000000" w:rsidP="00000000" w:rsidRDefault="00000000" w:rsidRPr="00000000" w14:paraId="000001C1">
      <w:pPr>
        <w:numPr>
          <w:ilvl w:val="0"/>
          <w:numId w:val="5"/>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b w:val="1"/>
          <w:bCs w:val="1"/>
          <w:color w:val="000000"/>
          <w:rtl w:val="0"/>
        </w:rPr>
        <w:t xml:space="preserve">G7 · Relación entre popularidad y calificación:</w:t>
      </w:r>
      <w:r w:rsidDel="00000000" w:rsidR="00000000" w:rsidRPr="00000000">
        <w:rPr>
          <w:color w:val="000000"/>
          <w:rtl w:val="0"/>
        </w:rPr>
        <w:t xml:space="preserve"> </w:t>
      </w:r>
      <w:r w:rsidDel="00000000" w:rsidR="00000000" w:rsidRPr="00000000">
        <w:rPr>
          <w:rtl w:val="0"/>
        </w:rPr>
        <w:t xml:space="preserve">La asociación es débil pero existe (r = 0,25 en películas y 0,13 en series): un título muy visto no garantiza una buena nota. La r se calcula por separado para cada tipo, con el índice de engagement (percentil dentro del tipo) y solo con títulos de 10 o más votos. </w:t>
      </w:r>
      <w:r w:rsidDel="00000000" w:rsidR="00000000" w:rsidRPr="00000000">
        <w:rPr>
          <w:rtl w:val="0"/>
        </w:rPr>
      </w:r>
    </w:p>
    <w:p w:rsidR="00000000" w:rsidDel="00000000" w:rsidP="00000000" w:rsidRDefault="00000000" w:rsidRPr="00000000" w14:paraId="000001C2">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Pr>
        <w:drawing>
          <wp:inline distB="0" distT="0" distL="0" distR="0">
            <wp:extent cx="5600700" cy="2724150"/>
            <wp:effectExtent b="0" l="0" r="0" t="0"/>
            <wp:docPr id="10" name="image16.png"/>
            <a:graphic>
              <a:graphicData uri="http://schemas.openxmlformats.org/drawingml/2006/picture">
                <pic:pic>
                  <pic:nvPicPr>
                    <pic:cNvPr id="0" name="image16.png"/>
                    <pic:cNvPicPr preferRelativeResize="0"/>
                  </pic:nvPicPr>
                  <pic:blipFill>
                    <a:blip r:embed="rId14"/>
                    <a:srcRect b="0" l="0" r="0" t="0"/>
                    <a:stretch>
                      <a:fillRect/>
                    </a:stretch>
                  </pic:blipFill>
                  <pic:spPr>
                    <a:xfrm>
                      <a:off x="0" y="0"/>
                      <a:ext cx="5600700" cy="2724150"/>
                    </a:xfrm>
                    <a:prstGeom prst="rect"/>
                    <a:ln/>
                  </pic:spPr>
                </pic:pic>
              </a:graphicData>
            </a:graphic>
          </wp:inline>
        </w:drawing>
      </w:r>
      <w:r w:rsidDel="00000000" w:rsidR="00000000" w:rsidRPr="00000000">
        <w:rPr>
          <w:rtl w:val="0"/>
        </w:rPr>
      </w:r>
    </w:p>
    <w:p w:rsidR="00000000" w:rsidDel="00000000" w:rsidP="00000000" w:rsidRDefault="00000000" w:rsidRPr="00000000" w14:paraId="000001C3">
      <w:pPr>
        <w:spacing w:after="120" w:before="40" w:line="276" w:lineRule="auto"/>
        <w:rPr/>
      </w:pPr>
      <w:r w:rsidDel="00000000" w:rsidR="00000000" w:rsidRPr="00000000">
        <w:rPr>
          <w:b w:val="1"/>
          <w:bCs w:val="1"/>
          <w:sz w:val="21"/>
          <w:szCs w:val="21"/>
          <w:rtl w:val="0"/>
        </w:rPr>
        <w:t xml:space="preserve">Figura 7. </w:t>
      </w:r>
      <w:r w:rsidDel="00000000" w:rsidR="00000000" w:rsidRPr="00000000">
        <w:rPr>
          <w:i w:val="1"/>
          <w:iCs w:val="1"/>
          <w:sz w:val="21"/>
          <w:szCs w:val="21"/>
          <w:rtl w:val="0"/>
        </w:rPr>
        <w:t xml:space="preserve">Engagement (percentil) vs. calificación, con densidad por hexágono en escala logarítmica.</w:t>
      </w:r>
      <w:r w:rsidDel="00000000" w:rsidR="00000000" w:rsidRPr="00000000">
        <w:rPr>
          <w:rtl w:val="0"/>
        </w:rPr>
      </w:r>
    </w:p>
    <w:p w:rsidR="00000000" w:rsidDel="00000000" w:rsidP="00000000" w:rsidRDefault="00000000" w:rsidRPr="00000000" w14:paraId="000001C4">
      <w:pPr>
        <w:numPr>
          <w:ilvl w:val="0"/>
          <w:numId w:val="5"/>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b w:val="1"/>
          <w:bCs w:val="1"/>
          <w:color w:val="000000"/>
          <w:rtl w:val="0"/>
        </w:rPr>
        <w:t xml:space="preserve">G8 · ROI por director (solo películas):</w:t>
      </w:r>
      <w:r w:rsidDel="00000000" w:rsidR="00000000" w:rsidRPr="00000000">
        <w:rPr>
          <w:color w:val="000000"/>
          <w:rtl w:val="0"/>
        </w:rPr>
        <w:t xml:space="preserve"> Entre los directores con al menos 5 películas con datos financieros, el mayor ROI agregado es de 8,8× (Chris Renaud).</w:t>
      </w:r>
    </w:p>
    <w:p w:rsidR="00000000" w:rsidDel="00000000" w:rsidP="00000000" w:rsidRDefault="00000000" w:rsidRPr="00000000" w14:paraId="000001C5">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color w:val="000000"/>
        </w:rPr>
        <w:drawing>
          <wp:inline distB="0" distT="0" distL="0" distR="0">
            <wp:extent cx="5600700" cy="2295525"/>
            <wp:effectExtent b="0" l="0" r="0" t="0"/>
            <wp:docPr id="14" name="image1.png"/>
            <a:graphic>
              <a:graphicData uri="http://schemas.openxmlformats.org/drawingml/2006/picture">
                <pic:pic>
                  <pic:nvPicPr>
                    <pic:cNvPr id="0" name="image1.png"/>
                    <pic:cNvPicPr preferRelativeResize="0"/>
                  </pic:nvPicPr>
                  <pic:blipFill>
                    <a:blip r:embed="rId15"/>
                    <a:srcRect b="0" l="0" r="0" t="0"/>
                    <a:stretch>
                      <a:fillRect/>
                    </a:stretch>
                  </pic:blipFill>
                  <pic:spPr>
                    <a:xfrm>
                      <a:off x="0" y="0"/>
                      <a:ext cx="5600700" cy="2295525"/>
                    </a:xfrm>
                    <a:prstGeom prst="rect"/>
                    <a:ln/>
                  </pic:spPr>
                </pic:pic>
              </a:graphicData>
            </a:graphic>
          </wp:inline>
        </w:drawing>
      </w:r>
      <w:r w:rsidDel="00000000" w:rsidR="00000000" w:rsidRPr="00000000">
        <w:rPr>
          <w:rtl w:val="0"/>
        </w:rPr>
      </w:r>
    </w:p>
    <w:p w:rsidR="00000000" w:rsidDel="00000000" w:rsidP="00000000" w:rsidRDefault="00000000" w:rsidRPr="00000000" w14:paraId="000001C6">
      <w:pPr>
        <w:spacing w:after="120" w:before="40" w:line="276" w:lineRule="auto"/>
        <w:rPr/>
      </w:pPr>
      <w:r w:rsidDel="00000000" w:rsidR="00000000" w:rsidRPr="00000000">
        <w:rPr>
          <w:b w:val="1"/>
          <w:bCs w:val="1"/>
          <w:sz w:val="21"/>
          <w:szCs w:val="21"/>
          <w:rtl w:val="0"/>
        </w:rPr>
        <w:t xml:space="preserve">Figura 8. </w:t>
      </w:r>
      <w:r w:rsidDel="00000000" w:rsidR="00000000" w:rsidRPr="00000000">
        <w:rPr>
          <w:i w:val="1"/>
          <w:iCs w:val="1"/>
          <w:sz w:val="21"/>
          <w:szCs w:val="21"/>
          <w:rtl w:val="0"/>
        </w:rPr>
        <w:t xml:space="preserve">ROI agregado por director (mínimo 5 películas con datos), con línea de referencia de 1×.</w:t>
      </w:r>
      <w:r w:rsidDel="00000000" w:rsidR="00000000" w:rsidRPr="00000000">
        <w:rPr>
          <w:rtl w:val="0"/>
        </w:rPr>
      </w:r>
    </w:p>
    <w:p w:rsidR="00000000" w:rsidDel="00000000" w:rsidP="00000000" w:rsidRDefault="00000000" w:rsidRPr="00000000" w14:paraId="000001C7">
      <w:pPr>
        <w:numPr>
          <w:ilvl w:val="0"/>
          <w:numId w:val="5"/>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b w:val="1"/>
          <w:bCs w:val="1"/>
          <w:color w:val="000000"/>
          <w:rtl w:val="0"/>
        </w:rPr>
        <w:t xml:space="preserve">Limitación del Dataset:</w:t>
      </w:r>
      <w:r w:rsidDel="00000000" w:rsidR="00000000" w:rsidRPr="00000000">
        <w:rPr>
          <w:color w:val="000000"/>
          <w:rtl w:val="0"/>
        </w:rPr>
        <w:t xml:space="preserve"> El hallazgo de que el volumen de producción por año es artificial (1.000 títulos por año y tipo; 991 en series de 2025) impidió realizar análisis volumétricos temporales, reorientando el EDA exclusivamente al desempeño de las variables.</w:t>
      </w:r>
    </w:p>
    <w:p w:rsidR="00000000" w:rsidDel="00000000" w:rsidP="00000000" w:rsidRDefault="00000000" w:rsidRPr="00000000" w14:paraId="000001C8">
      <w:pPr>
        <w:pStyle w:val="Heading2"/>
        <w:rPr/>
      </w:pPr>
      <w:bookmarkStart w:colFirst="0" w:colLast="0" w:name="_s9vn73sm3oho" w:id="54"/>
      <w:bookmarkEnd w:id="54"/>
      <w:r w:rsidDel="00000000" w:rsidR="00000000" w:rsidRPr="00000000">
        <w:rPr>
          <w:rtl w:val="0"/>
        </w:rPr>
        <w:t xml:space="preserve">2.4 Diseño e implementación de visualizaciones</w:t>
      </w:r>
    </w:p>
    <w:p w:rsidR="00000000" w:rsidDel="00000000" w:rsidP="00000000" w:rsidRDefault="00000000" w:rsidRPr="00000000" w14:paraId="000001C9">
      <w:pPr>
        <w:pBdr>
          <w:top w:space="0" w:sz="0" w:val="nil"/>
          <w:left w:space="0" w:sz="0" w:val="nil"/>
          <w:bottom w:space="0" w:sz="0" w:val="nil"/>
          <w:right w:space="0" w:sz="0" w:val="nil"/>
          <w:between w:space="0" w:sz="0" w:val="nil"/>
        </w:pBdr>
        <w:spacing w:after="180" w:before="180" w:lineRule="auto"/>
        <w:rPr>
          <w:color w:val="000000"/>
        </w:rPr>
      </w:pPr>
      <w:r w:rsidDel="00000000" w:rsidR="00000000" w:rsidRPr="00000000">
        <w:rPr>
          <w:color w:val="000000"/>
          <w:rtl w:val="0"/>
        </w:rPr>
        <w:t xml:space="preserve">Los gráficos G1 a G8 se implementaron con Python (pandas y matplotlib) en el notebook </w:t>
      </w:r>
      <w:r w:rsidDel="00000000" w:rsidR="00000000" w:rsidRPr="00000000">
        <w:rPr>
          <w:rFonts w:ascii="Consolas" w:cs="Consolas" w:eastAsia="Consolas" w:hAnsi="Consolas"/>
          <w:color w:val="000000"/>
          <w:sz w:val="22"/>
          <w:szCs w:val="22"/>
          <w:rtl w:val="0"/>
        </w:rPr>
        <w:t xml:space="preserve">02_eda_visualizaciones.ipynb</w:t>
      </w:r>
      <w:r w:rsidDel="00000000" w:rsidR="00000000" w:rsidRPr="00000000">
        <w:rPr>
          <w:color w:val="000000"/>
          <w:rtl w:val="0"/>
        </w:rPr>
        <w:t xml:space="preserve">, y el dashboard y la infografía con Looker Studio. Las decisiones gráficas priorizaron la reducción de la carga cognitiva y el rápido escaneo visual por parte de los ejecutivos:</w:t>
      </w:r>
    </w:p>
    <w:p w:rsidR="00000000" w:rsidDel="00000000" w:rsidP="00000000" w:rsidRDefault="00000000" w:rsidRPr="00000000" w14:paraId="000001CA">
      <w:pPr>
        <w:numPr>
          <w:ilvl w:val="0"/>
          <w:numId w:val="5"/>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b w:val="1"/>
          <w:bCs w:val="1"/>
          <w:color w:val="000000"/>
          <w:rtl w:val="0"/>
        </w:rPr>
        <w:t xml:space="preserve">Codificación Visual (Accesibilidad):</w:t>
      </w:r>
      <w:r w:rsidDel="00000000" w:rsidR="00000000" w:rsidRPr="00000000">
        <w:rPr>
          <w:color w:val="000000"/>
          <w:rtl w:val="0"/>
        </w:rPr>
        <w:t xml:space="preserve"> Se implementó de forma transversal la paleta segura para daltónicos Okabe-Ito (azul </w:t>
      </w:r>
      <w:r w:rsidDel="00000000" w:rsidR="00000000" w:rsidRPr="00000000">
        <w:rPr>
          <w:rFonts w:ascii="Consolas" w:cs="Consolas" w:eastAsia="Consolas" w:hAnsi="Consolas"/>
          <w:color w:val="000000"/>
          <w:sz w:val="22"/>
          <w:szCs w:val="22"/>
          <w:rtl w:val="0"/>
        </w:rPr>
        <w:t xml:space="preserve">#0072B2</w:t>
      </w:r>
      <w:r w:rsidDel="00000000" w:rsidR="00000000" w:rsidRPr="00000000">
        <w:rPr>
          <w:color w:val="000000"/>
          <w:rtl w:val="0"/>
        </w:rPr>
        <w:t xml:space="preserve"> para películas, naranja </w:t>
      </w:r>
      <w:r w:rsidDel="00000000" w:rsidR="00000000" w:rsidRPr="00000000">
        <w:rPr>
          <w:rFonts w:ascii="Consolas" w:cs="Consolas" w:eastAsia="Consolas" w:hAnsi="Consolas"/>
          <w:color w:val="000000"/>
          <w:sz w:val="22"/>
          <w:szCs w:val="22"/>
          <w:rtl w:val="0"/>
        </w:rPr>
        <w:t xml:space="preserve">#E69F00</w:t>
      </w:r>
      <w:r w:rsidDel="00000000" w:rsidR="00000000" w:rsidRPr="00000000">
        <w:rPr>
          <w:color w:val="000000"/>
          <w:rtl w:val="0"/>
        </w:rPr>
        <w:t xml:space="preserve"> para series) y gris para lo no destacado. Se evitaron los gráficos circulares con la categoría residual "Otros" para no distorsionar la interpretación proporcional del negocio.</w:t>
      </w:r>
    </w:p>
    <w:p w:rsidR="00000000" w:rsidDel="00000000" w:rsidP="00000000" w:rsidRDefault="00000000" w:rsidRPr="00000000" w14:paraId="000001CB">
      <w:pPr>
        <w:numPr>
          <w:ilvl w:val="0"/>
          <w:numId w:val="5"/>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b w:val="1"/>
          <w:bCs w:val="1"/>
          <w:color w:val="000000"/>
          <w:rtl w:val="0"/>
        </w:rPr>
        <w:t xml:space="preserve">Criterios de representación:</w:t>
      </w:r>
      <w:r w:rsidDel="00000000" w:rsidR="00000000" w:rsidRPr="00000000">
        <w:rPr>
          <w:color w:val="000000"/>
          <w:rtl w:val="0"/>
        </w:rPr>
        <w:t xml:space="preserve"> Una métrica corresponde a un solo criterio (el orden, el largo y el título de un gráfico usan la misma medida), los porcentajes se calculan sobre una base fija y los gráficos de categorías muestran solo categorías reales, con el Top N rotulado en el título.</w:t>
      </w:r>
    </w:p>
    <w:p w:rsidR="00000000" w:rsidDel="00000000" w:rsidP="00000000" w:rsidRDefault="00000000" w:rsidRPr="00000000" w14:paraId="000001CC">
      <w:pPr>
        <w:numPr>
          <w:ilvl w:val="0"/>
          <w:numId w:val="5"/>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b w:val="1"/>
          <w:bCs w:val="1"/>
          <w:color w:val="000000"/>
          <w:rtl w:val="0"/>
        </w:rPr>
        <w:t xml:space="preserve">Barras (G1, G4, G6, G8):</w:t>
      </w:r>
      <w:r w:rsidDel="00000000" w:rsidR="00000000" w:rsidRPr="00000000">
        <w:rPr>
          <w:color w:val="000000"/>
          <w:rtl w:val="0"/>
        </w:rPr>
        <w:t xml:space="preserve"> Permiten comparar valores por categoría desde cero. En G1 muestran dos valores por tipo; en G4, barras agrupadas permiten comparar película y serie por género; en G6 ordenan países con nombres largos; en G8 ordenan el ROI con una línea de 1× como punto de equilibrio.</w:t>
      </w:r>
    </w:p>
    <w:p w:rsidR="00000000" w:rsidDel="00000000" w:rsidP="00000000" w:rsidRDefault="00000000" w:rsidRPr="00000000" w14:paraId="000001CD">
      <w:pPr>
        <w:numPr>
          <w:ilvl w:val="0"/>
          <w:numId w:val="5"/>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b w:val="1"/>
          <w:bCs w:val="1"/>
          <w:color w:val="000000"/>
          <w:rtl w:val="0"/>
        </w:rPr>
        <w:t xml:space="preserve">Boxplot para Riesgo (G2):</w:t>
      </w:r>
      <w:r w:rsidDel="00000000" w:rsidR="00000000" w:rsidRPr="00000000">
        <w:rPr>
          <w:color w:val="000000"/>
          <w:rtl w:val="0"/>
        </w:rPr>
        <w:t xml:space="preserve"> Se reemplazó el tradicional gráfico de barras de promedio por Diagramas de Caja (Boxplot) para exponer la severa concentración de la popularidad y el riesgo de apostar por promedios engañosos.</w:t>
      </w:r>
    </w:p>
    <w:p w:rsidR="00000000" w:rsidDel="00000000" w:rsidP="00000000" w:rsidRDefault="00000000" w:rsidRPr="00000000" w14:paraId="000001CE">
      <w:pPr>
        <w:numPr>
          <w:ilvl w:val="0"/>
          <w:numId w:val="5"/>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b w:val="1"/>
          <w:bCs w:val="1"/>
          <w:color w:val="000000"/>
          <w:rtl w:val="0"/>
        </w:rPr>
        <w:t xml:space="preserve">Dispersión Estratégica (G3):</w:t>
      </w:r>
      <w:r w:rsidDel="00000000" w:rsidR="00000000" w:rsidRPr="00000000">
        <w:rPr>
          <w:color w:val="000000"/>
          <w:rtl w:val="0"/>
        </w:rPr>
        <w:t xml:space="preserve"> En el mapeo de calidad vs engagement por género, el algoritmo de etiquetado se condicionó para rotular de forma inteligente únicamente los nichos más extremos y el de mayor tamaño, salvaguardando el área central de superposiciones de texto.</w:t>
      </w:r>
    </w:p>
    <w:p w:rsidR="00000000" w:rsidDel="00000000" w:rsidP="00000000" w:rsidRDefault="00000000" w:rsidRPr="00000000" w14:paraId="000001CF">
      <w:pPr>
        <w:numPr>
          <w:ilvl w:val="0"/>
          <w:numId w:val="5"/>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b w:val="1"/>
          <w:bCs w:val="1"/>
          <w:color w:val="000000"/>
          <w:rtl w:val="0"/>
        </w:rPr>
        <w:t xml:space="preserve">Líneas (G5):</w:t>
      </w:r>
      <w:r w:rsidDel="00000000" w:rsidR="00000000" w:rsidRPr="00000000">
        <w:rPr>
          <w:color w:val="000000"/>
          <w:rtl w:val="0"/>
        </w:rPr>
        <w:t xml:space="preserve"> Muestran la tendencia temporal, con etiquetas directas al final de cada línea y una franja gris en el año reciente, cuya nota aún no es fiable.</w:t>
      </w:r>
    </w:p>
    <w:p w:rsidR="00000000" w:rsidDel="00000000" w:rsidP="00000000" w:rsidRDefault="00000000" w:rsidRPr="00000000" w14:paraId="000001D0">
      <w:pPr>
        <w:numPr>
          <w:ilvl w:val="0"/>
          <w:numId w:val="5"/>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b w:val="1"/>
          <w:bCs w:val="1"/>
          <w:color w:val="000000"/>
          <w:rtl w:val="0"/>
        </w:rPr>
        <w:t xml:space="preserve">Hexbin Logarítmico (G7):</w:t>
      </w:r>
      <w:r w:rsidDel="00000000" w:rsidR="00000000" w:rsidRPr="00000000">
        <w:rPr>
          <w:color w:val="000000"/>
          <w:rtl w:val="0"/>
        </w:rPr>
        <w:t xml:space="preserve"> Ante la superposición masiva (</w:t>
      </w:r>
      <w:r w:rsidDel="00000000" w:rsidR="00000000" w:rsidRPr="00000000">
        <w:rPr>
          <w:i w:val="1"/>
          <w:iCs w:val="1"/>
          <w:color w:val="000000"/>
          <w:rtl w:val="0"/>
        </w:rPr>
        <w:t xml:space="preserve">overplotting</w:t>
      </w:r>
      <w:r w:rsidDel="00000000" w:rsidR="00000000" w:rsidRPr="00000000">
        <w:rPr>
          <w:color w:val="000000"/>
          <w:rtl w:val="0"/>
        </w:rPr>
        <w:t xml:space="preserve">) de </w:t>
      </w:r>
      <w:r w:rsidDel="00000000" w:rsidR="00000000" w:rsidRPr="00000000">
        <w:rPr>
          <w:rtl w:val="0"/>
        </w:rPr>
        <w:t xml:space="preserve">más de 14.000 títulos en películas </w:t>
      </w:r>
      <w:r w:rsidDel="00000000" w:rsidR="00000000" w:rsidRPr="00000000">
        <w:rPr>
          <w:color w:val="000000"/>
          <w:rtl w:val="0"/>
        </w:rPr>
        <w:t xml:space="preserve">al cruzar popularidad contra calificación, se optó por un agrupamiento hexagonal de densidad, revelando el verdadero "núcleo" del catálogo, invisible en una gráfica de dispersión regular.</w:t>
      </w:r>
    </w:p>
    <w:p w:rsidR="00000000" w:rsidDel="00000000" w:rsidP="00000000" w:rsidRDefault="00000000" w:rsidRPr="00000000" w14:paraId="000001D1">
      <w:pPr>
        <w:pStyle w:val="Heading2"/>
        <w:rPr/>
      </w:pPr>
      <w:bookmarkStart w:colFirst="0" w:colLast="0" w:name="_ado9hn104y6d" w:id="55"/>
      <w:bookmarkEnd w:id="55"/>
      <w:r w:rsidDel="00000000" w:rsidR="00000000" w:rsidRPr="00000000">
        <w:rPr>
          <w:rtl w:val="0"/>
        </w:rPr>
        <w:t xml:space="preserve">2.5 Construcción del dashboard interactivo</w:t>
      </w:r>
    </w:p>
    <w:p w:rsidR="00000000" w:rsidDel="00000000" w:rsidP="00000000" w:rsidRDefault="00000000" w:rsidRPr="00000000" w14:paraId="000001D2">
      <w:pPr>
        <w:pBdr>
          <w:top w:space="0" w:sz="0" w:val="nil"/>
          <w:left w:space="0" w:sz="0" w:val="nil"/>
          <w:bottom w:space="0" w:sz="0" w:val="nil"/>
          <w:right w:space="0" w:sz="0" w:val="nil"/>
          <w:between w:space="0" w:sz="0" w:val="nil"/>
        </w:pBdr>
        <w:spacing w:after="180" w:before="180" w:lineRule="auto"/>
        <w:rPr>
          <w:color w:val="000000"/>
        </w:rPr>
      </w:pPr>
      <w:r w:rsidDel="00000000" w:rsidR="00000000" w:rsidRPr="00000000">
        <w:rPr>
          <w:color w:val="000000"/>
          <w:rtl w:val="0"/>
        </w:rPr>
        <w:t xml:space="preserve">El núcleo operacional del proyecto es un dashboard interactivo en Looker Studio, diseñado como una "ventana única" de toma de decisiones, al cual se puede acceder mediante el siguiente enlace: </w:t>
      </w:r>
      <w:hyperlink r:id="rId16">
        <w:r w:rsidDel="00000000" w:rsidR="00000000" w:rsidRPr="00000000">
          <w:rPr>
            <w:color w:val="4f81bd"/>
            <w:rtl w:val="0"/>
          </w:rPr>
          <w:t xml:space="preserve">Dashboard</w:t>
        </w:r>
      </w:hyperlink>
      <w:r w:rsidDel="00000000" w:rsidR="00000000" w:rsidRPr="00000000">
        <w:rPr>
          <w:rtl w:val="0"/>
        </w:rPr>
      </w:r>
    </w:p>
    <w:p w:rsidR="00000000" w:rsidDel="00000000" w:rsidP="00000000" w:rsidRDefault="00000000" w:rsidRPr="00000000" w14:paraId="000001D3">
      <w:pPr>
        <w:numPr>
          <w:ilvl w:val="0"/>
          <w:numId w:val="5"/>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b w:val="1"/>
          <w:bCs w:val="1"/>
          <w:color w:val="000000"/>
          <w:rtl w:val="0"/>
        </w:rPr>
        <w:t xml:space="preserve">Tarjetas KPI (Overview):</w:t>
      </w:r>
      <w:r w:rsidDel="00000000" w:rsidR="00000000" w:rsidRPr="00000000">
        <w:rPr>
          <w:color w:val="000000"/>
          <w:rtl w:val="0"/>
        </w:rPr>
        <w:t xml:space="preserve"> Panel dinámico de rápido consumo que reacciona a todos los filtros activos y consolida seis indicadores: total de títulos, peso en el catálogo, calificación promedio, porcentaje con votos suficientes, porcentaje de alto engagement (percentil ≥ 75 dentro de su tipo) y porcentaje de títulos estrella (percentil ≥ 75, nota ≥ 7 y al menos 10 votos).</w:t>
      </w:r>
    </w:p>
    <w:p w:rsidR="00000000" w:rsidDel="00000000" w:rsidP="00000000" w:rsidRDefault="00000000" w:rsidRPr="00000000" w14:paraId="000001D4">
      <w:pPr>
        <w:numPr>
          <w:ilvl w:val="0"/>
          <w:numId w:val="5"/>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b w:val="1"/>
          <w:bCs w:val="1"/>
          <w:color w:val="000000"/>
          <w:rtl w:val="0"/>
        </w:rPr>
        <w:t xml:space="preserve">Filtros y navegación:</w:t>
      </w:r>
      <w:r w:rsidDel="00000000" w:rsidR="00000000" w:rsidRPr="00000000">
        <w:rPr>
          <w:color w:val="000000"/>
          <w:rtl w:val="0"/>
        </w:rPr>
        <w:t xml:space="preserve"> Panel de filtros globales (Tipo, Año, Género, País, Idioma) en la parte superior de cada página, y menú de navegación entre las cinco páginas del dashboard.</w:t>
      </w:r>
    </w:p>
    <w:p w:rsidR="00000000" w:rsidDel="00000000" w:rsidP="00000000" w:rsidRDefault="00000000" w:rsidRPr="00000000" w14:paraId="000001D5">
      <w:pPr>
        <w:numPr>
          <w:ilvl w:val="0"/>
          <w:numId w:val="5"/>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b w:val="1"/>
          <w:bCs w:val="1"/>
          <w:color w:val="000000"/>
          <w:rtl w:val="0"/>
        </w:rPr>
        <w:t xml:space="preserve">Interactividad y Navegación cruzada:</w:t>
      </w:r>
      <w:r w:rsidDel="00000000" w:rsidR="00000000" w:rsidRPr="00000000">
        <w:rPr>
          <w:color w:val="000000"/>
          <w:rtl w:val="0"/>
        </w:rPr>
        <w:t xml:space="preserve"> Los filtros operan en red con todos los componentes, garantizando consistencia técnica en el cálculo de KPIs al profundizar (</w:t>
      </w:r>
      <w:r w:rsidDel="00000000" w:rsidR="00000000" w:rsidRPr="00000000">
        <w:rPr>
          <w:i w:val="1"/>
          <w:iCs w:val="1"/>
          <w:color w:val="000000"/>
          <w:rtl w:val="0"/>
        </w:rPr>
        <w:t xml:space="preserve">drill-down</w:t>
      </w:r>
      <w:r w:rsidDel="00000000" w:rsidR="00000000" w:rsidRPr="00000000">
        <w:rPr>
          <w:color w:val="000000"/>
          <w:rtl w:val="0"/>
        </w:rPr>
        <w:t xml:space="preserve">) en micro-nichos.</w:t>
      </w:r>
    </w:p>
    <w:p w:rsidR="00000000" w:rsidDel="00000000" w:rsidP="00000000" w:rsidRDefault="00000000" w:rsidRPr="00000000" w14:paraId="000001D6">
      <w:pPr>
        <w:pBdr>
          <w:top w:space="0" w:sz="0" w:val="nil"/>
          <w:left w:space="0" w:sz="0" w:val="nil"/>
          <w:bottom w:space="0" w:sz="0" w:val="nil"/>
          <w:right w:space="0" w:sz="0" w:val="nil"/>
          <w:between w:space="0" w:sz="0" w:val="nil"/>
        </w:pBdr>
        <w:spacing w:after="180" w:before="180" w:lineRule="auto"/>
        <w:rPr>
          <w:color w:val="000000"/>
        </w:rPr>
      </w:pPr>
      <w:r w:rsidDel="00000000" w:rsidR="00000000" w:rsidRPr="00000000">
        <w:rPr>
          <w:color w:val="000000"/>
          <w:rtl w:val="0"/>
        </w:rPr>
        <w:t xml:space="preserve">La estructura del dashboard se organiza en cinco páginas estratégicas:</w:t>
      </w:r>
    </w:p>
    <w:p w:rsidR="00000000" w:rsidDel="00000000" w:rsidP="00000000" w:rsidRDefault="00000000" w:rsidRPr="00000000" w14:paraId="000001D7">
      <w:pPr>
        <w:numPr>
          <w:ilvl w:val="0"/>
          <w:numId w:val="5"/>
        </w:numPr>
        <w:pBdr>
          <w:top w:space="0" w:sz="0" w:val="nil"/>
          <w:left w:space="0" w:sz="0" w:val="nil"/>
          <w:bottom w:space="0" w:sz="0" w:val="nil"/>
          <w:right w:space="0" w:sz="0" w:val="nil"/>
          <w:between w:space="0" w:sz="0" w:val="nil"/>
        </w:pBdr>
        <w:spacing w:after="36" w:before="36" w:lineRule="auto"/>
        <w:ind w:left="720" w:hanging="480"/>
        <w:rPr/>
      </w:pPr>
      <w:r w:rsidDel="00000000" w:rsidR="00000000" w:rsidRPr="00000000">
        <w:rPr>
          <w:b w:val="1"/>
          <w:bCs w:val="1"/>
          <w:rtl w:val="0"/>
        </w:rPr>
        <w:t xml:space="preserve">Página 1, Resumen y Tendencias</w:t>
      </w:r>
      <w:r w:rsidDel="00000000" w:rsidR="00000000" w:rsidRPr="00000000">
        <w:rPr>
          <w:rtl w:val="0"/>
        </w:rPr>
        <w:t xml:space="preserve">: Incluye una dispersión de calidad (solo títulos con al menos 10 votos) frente a engagement mediano por género principal, para películas y series, que muestra qué géneros combinan ambos atributos. La asociación débil a nivel de título (r = 0,25 en películas y 0,13 en series) se calcula en el análisis exploratorio (G7). Además, tres líneas de tiempo por año de estreno y tipo (engagement promedio, calificación promedio y % de títulos con al menos 10 votos), con la paleta para daltónicos (azul películas, naranja series). Una nota aclara que el engagement es un percentil dentro de cada tipo, por lo que no se comparan niveles entre películas y series, y que el valor de 2025 cae de forma marcada. Esto se debe a que los títulos de 2025 casi no tienen votos todavía.  (Figura 9, a y b) </w:t>
      </w:r>
    </w:p>
    <w:p w:rsidR="00000000" w:rsidDel="00000000" w:rsidP="00000000" w:rsidRDefault="00000000" w:rsidRPr="00000000" w14:paraId="000001D8">
      <w:pPr>
        <w:pBdr>
          <w:top w:space="0" w:sz="0" w:val="nil"/>
          <w:left w:space="0" w:sz="0" w:val="nil"/>
          <w:bottom w:space="0" w:sz="0" w:val="nil"/>
          <w:right w:space="0" w:sz="0" w:val="nil"/>
          <w:between w:space="0" w:sz="0" w:val="nil"/>
        </w:pBdr>
        <w:spacing w:after="36" w:before="36" w:lineRule="auto"/>
        <w:rPr/>
      </w:pPr>
      <w:r w:rsidDel="00000000" w:rsidR="00000000" w:rsidRPr="00000000">
        <w:rPr/>
        <w:drawing>
          <wp:inline distB="114300" distT="114300" distL="114300" distR="114300">
            <wp:extent cx="6457950" cy="3849430"/>
            <wp:effectExtent b="0" l="0" r="0" t="0"/>
            <wp:docPr id="12" name="image7.png"/>
            <a:graphic>
              <a:graphicData uri="http://schemas.openxmlformats.org/drawingml/2006/picture">
                <pic:pic>
                  <pic:nvPicPr>
                    <pic:cNvPr id="0" name="image7.png"/>
                    <pic:cNvPicPr preferRelativeResize="0"/>
                  </pic:nvPicPr>
                  <pic:blipFill>
                    <a:blip r:embed="rId17"/>
                    <a:srcRect b="0" l="0" r="-828" t="0"/>
                    <a:stretch>
                      <a:fillRect/>
                    </a:stretch>
                  </pic:blipFill>
                  <pic:spPr>
                    <a:xfrm>
                      <a:off x="0" y="0"/>
                      <a:ext cx="6457950" cy="3849430"/>
                    </a:xfrm>
                    <a:prstGeom prst="rect"/>
                    <a:ln/>
                  </pic:spPr>
                </pic:pic>
              </a:graphicData>
            </a:graphic>
          </wp:inline>
        </w:drawing>
      </w:r>
      <w:r w:rsidDel="00000000" w:rsidR="00000000" w:rsidRPr="00000000">
        <w:rPr>
          <w:rtl w:val="0"/>
        </w:rPr>
      </w:r>
    </w:p>
    <w:p w:rsidR="00000000" w:rsidDel="00000000" w:rsidP="00000000" w:rsidRDefault="00000000" w:rsidRPr="00000000" w14:paraId="000001D9">
      <w:pPr>
        <w:spacing w:after="120" w:before="40" w:line="276" w:lineRule="auto"/>
        <w:rPr/>
      </w:pPr>
      <w:r w:rsidDel="00000000" w:rsidR="00000000" w:rsidRPr="00000000">
        <w:rPr>
          <w:b w:val="1"/>
          <w:bCs w:val="1"/>
          <w:sz w:val="21"/>
          <w:szCs w:val="21"/>
          <w:rtl w:val="0"/>
        </w:rPr>
        <w:t xml:space="preserve">Figura 9a. </w:t>
      </w:r>
      <w:r w:rsidDel="00000000" w:rsidR="00000000" w:rsidRPr="00000000">
        <w:rPr>
          <w:i w:val="1"/>
          <w:iCs w:val="1"/>
          <w:sz w:val="21"/>
          <w:szCs w:val="21"/>
          <w:rtl w:val="0"/>
        </w:rPr>
        <w:t xml:space="preserve">Dashboard, página 1: Resumen y Tendencias (filtros globales, KPIs del catálogo y evolución temporal).</w:t>
      </w:r>
      <w:r w:rsidDel="00000000" w:rsidR="00000000" w:rsidRPr="00000000">
        <w:rPr>
          <w:rtl w:val="0"/>
        </w:rPr>
      </w:r>
    </w:p>
    <w:p w:rsidR="00000000" w:rsidDel="00000000" w:rsidP="00000000" w:rsidRDefault="00000000" w:rsidRPr="00000000" w14:paraId="000001DA">
      <w:pPr>
        <w:pBdr>
          <w:top w:space="0" w:sz="0" w:val="nil"/>
          <w:left w:space="0" w:sz="0" w:val="nil"/>
          <w:bottom w:space="0" w:sz="0" w:val="nil"/>
          <w:right w:space="0" w:sz="0" w:val="nil"/>
          <w:between w:space="0" w:sz="0" w:val="nil"/>
        </w:pBdr>
        <w:spacing w:after="36" w:before="36" w:lineRule="auto"/>
        <w:rPr/>
      </w:pPr>
      <w:r w:rsidDel="00000000" w:rsidR="00000000" w:rsidRPr="00000000">
        <w:rPr/>
        <w:drawing>
          <wp:inline distB="114300" distT="114300" distL="114300" distR="114300">
            <wp:extent cx="5477827" cy="3619500"/>
            <wp:effectExtent b="0" l="0" r="0" t="0"/>
            <wp:docPr id="13" name="image18.png"/>
            <a:graphic>
              <a:graphicData uri="http://schemas.openxmlformats.org/drawingml/2006/picture">
                <pic:pic>
                  <pic:nvPicPr>
                    <pic:cNvPr id="0" name="image18.png"/>
                    <pic:cNvPicPr preferRelativeResize="0"/>
                  </pic:nvPicPr>
                  <pic:blipFill>
                    <a:blip r:embed="rId18"/>
                    <a:srcRect b="2252" l="0" r="6075" t="0"/>
                    <a:stretch>
                      <a:fillRect/>
                    </a:stretch>
                  </pic:blipFill>
                  <pic:spPr>
                    <a:xfrm>
                      <a:off x="0" y="0"/>
                      <a:ext cx="5477827" cy="3619500"/>
                    </a:xfrm>
                    <a:prstGeom prst="rect"/>
                    <a:ln/>
                  </pic:spPr>
                </pic:pic>
              </a:graphicData>
            </a:graphic>
          </wp:inline>
        </w:drawing>
      </w:r>
      <w:r w:rsidDel="00000000" w:rsidR="00000000" w:rsidRPr="00000000">
        <w:rPr>
          <w:rtl w:val="0"/>
        </w:rPr>
      </w:r>
    </w:p>
    <w:p w:rsidR="00000000" w:rsidDel="00000000" w:rsidP="00000000" w:rsidRDefault="00000000" w:rsidRPr="00000000" w14:paraId="000001DB">
      <w:pPr>
        <w:spacing w:after="120" w:before="40" w:line="276" w:lineRule="auto"/>
        <w:rPr/>
      </w:pPr>
      <w:r w:rsidDel="00000000" w:rsidR="00000000" w:rsidRPr="00000000">
        <w:rPr>
          <w:b w:val="1"/>
          <w:bCs w:val="1"/>
          <w:sz w:val="21"/>
          <w:szCs w:val="21"/>
          <w:rtl w:val="0"/>
        </w:rPr>
        <w:t xml:space="preserve">Figura 9b. </w:t>
      </w:r>
      <w:r w:rsidDel="00000000" w:rsidR="00000000" w:rsidRPr="00000000">
        <w:rPr>
          <w:i w:val="1"/>
          <w:iCs w:val="1"/>
          <w:sz w:val="21"/>
          <w:szCs w:val="21"/>
          <w:rtl w:val="0"/>
        </w:rPr>
        <w:t xml:space="preserve">Dashboard, página 1: Resumen y Tendencias (cobertura por año y dispersión de engagement mediano vs. calidad por género).</w:t>
      </w:r>
      <w:r w:rsidDel="00000000" w:rsidR="00000000" w:rsidRPr="00000000">
        <w:rPr>
          <w:rtl w:val="0"/>
        </w:rPr>
      </w:r>
    </w:p>
    <w:p w:rsidR="00000000" w:rsidDel="00000000" w:rsidP="00000000" w:rsidRDefault="00000000" w:rsidRPr="00000000" w14:paraId="000001DC">
      <w:pPr>
        <w:numPr>
          <w:ilvl w:val="0"/>
          <w:numId w:val="5"/>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b w:val="1"/>
          <w:bCs w:val="1"/>
          <w:rtl w:val="0"/>
        </w:rPr>
        <w:t xml:space="preserve">Página 2, Película vs. Serie</w:t>
      </w:r>
      <w:r w:rsidDel="00000000" w:rsidR="00000000" w:rsidRPr="00000000">
        <w:rPr>
          <w:rtl w:val="0"/>
        </w:rPr>
        <w:t xml:space="preserve">: Comparativa volumétrica y cualitativa. Incorpora la cobertura de votos fiables para advertir que el 7,02 de promedio de las series está apoyado en menos del 40 % de su catálogo. (Figura 10)</w:t>
      </w:r>
      <w:r w:rsidDel="00000000" w:rsidR="00000000" w:rsidRPr="00000000">
        <w:rPr>
          <w:rtl w:val="0"/>
        </w:rPr>
      </w:r>
    </w:p>
    <w:p w:rsidR="00000000" w:rsidDel="00000000" w:rsidP="00000000" w:rsidRDefault="00000000" w:rsidRPr="00000000" w14:paraId="000001DD">
      <w:pPr>
        <w:pBdr>
          <w:top w:space="0" w:sz="0" w:val="nil"/>
          <w:left w:space="0" w:sz="0" w:val="nil"/>
          <w:bottom w:space="0" w:sz="0" w:val="nil"/>
          <w:right w:space="0" w:sz="0" w:val="nil"/>
          <w:between w:space="0" w:sz="0" w:val="nil"/>
        </w:pBdr>
        <w:spacing w:after="36" w:before="36" w:lineRule="auto"/>
        <w:rPr>
          <w:color w:val="000000"/>
        </w:rPr>
      </w:pPr>
      <w:r w:rsidDel="00000000" w:rsidR="00000000" w:rsidRPr="00000000">
        <w:rPr/>
        <w:drawing>
          <wp:inline distB="114300" distT="114300" distL="114300" distR="114300">
            <wp:extent cx="5612130" cy="3111500"/>
            <wp:effectExtent b="0" l="0" r="0" t="0"/>
            <wp:docPr id="15" name="image2.png"/>
            <a:graphic>
              <a:graphicData uri="http://schemas.openxmlformats.org/drawingml/2006/picture">
                <pic:pic>
                  <pic:nvPicPr>
                    <pic:cNvPr id="0" name="image2.png"/>
                    <pic:cNvPicPr preferRelativeResize="0"/>
                  </pic:nvPicPr>
                  <pic:blipFill>
                    <a:blip r:embed="rId19"/>
                    <a:srcRect b="0" l="0" r="0" t="0"/>
                    <a:stretch>
                      <a:fillRect/>
                    </a:stretch>
                  </pic:blipFill>
                  <pic:spPr>
                    <a:xfrm>
                      <a:off x="0" y="0"/>
                      <a:ext cx="5612130" cy="3111500"/>
                    </a:xfrm>
                    <a:prstGeom prst="rect"/>
                    <a:ln/>
                  </pic:spPr>
                </pic:pic>
              </a:graphicData>
            </a:graphic>
          </wp:inline>
        </w:drawing>
      </w:r>
      <w:r w:rsidDel="00000000" w:rsidR="00000000" w:rsidRPr="00000000">
        <w:rPr>
          <w:rtl w:val="0"/>
        </w:rPr>
      </w:r>
    </w:p>
    <w:p w:rsidR="00000000" w:rsidDel="00000000" w:rsidP="00000000" w:rsidRDefault="00000000" w:rsidRPr="00000000" w14:paraId="000001DE">
      <w:pPr>
        <w:spacing w:after="120" w:before="40" w:line="276" w:lineRule="auto"/>
        <w:rPr/>
      </w:pPr>
      <w:r w:rsidDel="00000000" w:rsidR="00000000" w:rsidRPr="00000000">
        <w:rPr>
          <w:b w:val="1"/>
          <w:bCs w:val="1"/>
          <w:sz w:val="21"/>
          <w:szCs w:val="21"/>
          <w:rtl w:val="0"/>
        </w:rPr>
        <w:t xml:space="preserve">Figura 10. </w:t>
      </w:r>
      <w:r w:rsidDel="00000000" w:rsidR="00000000" w:rsidRPr="00000000">
        <w:rPr>
          <w:i w:val="1"/>
          <w:iCs w:val="1"/>
          <w:sz w:val="21"/>
          <w:szCs w:val="21"/>
          <w:rtl w:val="0"/>
        </w:rPr>
        <w:t xml:space="preserve">Dashboard, página 2: Película vs. Serie (volumen de títulos, calificación promedio y cobertura de votos fiables).</w:t>
      </w:r>
      <w:r w:rsidDel="00000000" w:rsidR="00000000" w:rsidRPr="00000000">
        <w:rPr>
          <w:rtl w:val="0"/>
        </w:rPr>
      </w:r>
    </w:p>
    <w:p w:rsidR="00000000" w:rsidDel="00000000" w:rsidP="00000000" w:rsidRDefault="00000000" w:rsidRPr="00000000" w14:paraId="000001DF">
      <w:pPr>
        <w:keepNext w:val="1"/>
        <w:keepLines w:val="1"/>
        <w:numPr>
          <w:ilvl w:val="0"/>
          <w:numId w:val="5"/>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b w:val="1"/>
          <w:bCs w:val="1"/>
          <w:rtl w:val="0"/>
        </w:rPr>
        <w:t xml:space="preserve">Página 3, Exploración de Categorías</w:t>
      </w:r>
      <w:r w:rsidDel="00000000" w:rsidR="00000000" w:rsidRPr="00000000">
        <w:rPr>
          <w:rtl w:val="0"/>
        </w:rPr>
        <w:t xml:space="preserve">: Top 7 de géneros por número de títulos (excluyendo "No especificado"), y Top 7 de países también por volumen (los 7 primeros son EE. UU., Japón, China, Corea del Sur, Reino Unido, Canadá y Francia), junto a una tabla con la calificación (con cualquier voto y con al menos 10 votos) y el porcentaje de títulos con votos suficientes de esos países. Incluye además cuatro tarjetas, por tipo de contenido (películas y series), con el porcentaje de títulos que incluyen Drama y EE. UU. entre todos sus géneros y países. (Figura 11)</w:t>
      </w:r>
      <w:r w:rsidDel="00000000" w:rsidR="00000000" w:rsidRPr="00000000">
        <w:rPr>
          <w:rtl w:val="0"/>
        </w:rPr>
      </w:r>
    </w:p>
    <w:p w:rsidR="00000000" w:rsidDel="00000000" w:rsidP="00000000" w:rsidRDefault="00000000" w:rsidRPr="00000000" w14:paraId="000001E0">
      <w:pPr>
        <w:pBdr>
          <w:top w:space="0" w:sz="0" w:val="nil"/>
          <w:left w:space="0" w:sz="0" w:val="nil"/>
          <w:bottom w:space="0" w:sz="0" w:val="nil"/>
          <w:right w:space="0" w:sz="0" w:val="nil"/>
          <w:between w:space="0" w:sz="0" w:val="nil"/>
        </w:pBdr>
        <w:spacing w:after="36" w:before="36" w:lineRule="auto"/>
        <w:rPr/>
      </w:pPr>
      <w:r w:rsidDel="00000000" w:rsidR="00000000" w:rsidRPr="00000000">
        <w:rPr/>
        <w:drawing>
          <wp:inline distB="114300" distT="114300" distL="114300" distR="114300">
            <wp:extent cx="5612130" cy="4889500"/>
            <wp:effectExtent b="0" l="0" r="0" t="0"/>
            <wp:docPr id="16" name="image8.png"/>
            <a:graphic>
              <a:graphicData uri="http://schemas.openxmlformats.org/drawingml/2006/picture">
                <pic:pic>
                  <pic:nvPicPr>
                    <pic:cNvPr id="0" name="image8.png"/>
                    <pic:cNvPicPr preferRelativeResize="0"/>
                  </pic:nvPicPr>
                  <pic:blipFill>
                    <a:blip r:embed="rId20"/>
                    <a:srcRect b="0" l="0" r="0" t="0"/>
                    <a:stretch>
                      <a:fillRect/>
                    </a:stretch>
                  </pic:blipFill>
                  <pic:spPr>
                    <a:xfrm>
                      <a:off x="0" y="0"/>
                      <a:ext cx="5612130" cy="4889500"/>
                    </a:xfrm>
                    <a:prstGeom prst="rect"/>
                    <a:ln/>
                  </pic:spPr>
                </pic:pic>
              </a:graphicData>
            </a:graphic>
          </wp:inline>
        </w:drawing>
      </w:r>
      <w:r w:rsidDel="00000000" w:rsidR="00000000" w:rsidRPr="00000000">
        <w:rPr>
          <w:rtl w:val="0"/>
        </w:rPr>
      </w:r>
    </w:p>
    <w:p w:rsidR="00000000" w:rsidDel="00000000" w:rsidP="00000000" w:rsidRDefault="00000000" w:rsidRPr="00000000" w14:paraId="000001E1">
      <w:pPr>
        <w:spacing w:after="120" w:before="40" w:line="276" w:lineRule="auto"/>
        <w:rPr/>
      </w:pPr>
      <w:r w:rsidDel="00000000" w:rsidR="00000000" w:rsidRPr="00000000">
        <w:rPr>
          <w:b w:val="1"/>
          <w:bCs w:val="1"/>
          <w:sz w:val="21"/>
          <w:szCs w:val="21"/>
          <w:rtl w:val="0"/>
        </w:rPr>
        <w:t xml:space="preserve">Figura 11. </w:t>
      </w:r>
      <w:r w:rsidDel="00000000" w:rsidR="00000000" w:rsidRPr="00000000">
        <w:rPr>
          <w:i w:val="1"/>
          <w:iCs w:val="1"/>
          <w:sz w:val="21"/>
          <w:szCs w:val="21"/>
          <w:rtl w:val="0"/>
        </w:rPr>
        <w:t xml:space="preserve">Dashboard, página 3: Exploración de Categorías (top 7 géneros, top 7 países, tarjetas de cobertura y tabla por país).</w:t>
      </w:r>
      <w:r w:rsidDel="00000000" w:rsidR="00000000" w:rsidRPr="00000000">
        <w:rPr>
          <w:rtl w:val="0"/>
        </w:rPr>
      </w:r>
    </w:p>
    <w:p w:rsidR="00000000" w:rsidDel="00000000" w:rsidP="00000000" w:rsidRDefault="00000000" w:rsidRPr="00000000" w14:paraId="000001E2">
      <w:pPr>
        <w:keepNext w:val="1"/>
        <w:numPr>
          <w:ilvl w:val="0"/>
          <w:numId w:val="5"/>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b w:val="1"/>
          <w:bCs w:val="1"/>
          <w:rtl w:val="0"/>
        </w:rPr>
        <w:t xml:space="preserve">Página 4, Desempeño Financiero</w:t>
      </w:r>
      <w:r w:rsidDel="00000000" w:rsidR="00000000" w:rsidRPr="00000000">
        <w:rPr>
          <w:rtl w:val="0"/>
        </w:rPr>
        <w:t xml:space="preserve">: Foco en directores con mínimo 5 películas con datos financieros, exponiendo recaudación total y ROI agregado. Incluye tarjetas de cobertura financiera (% de las películas) y ROI agregado (×), y una nota con el criterio del ROI. (Figura 12).</w:t>
      </w:r>
      <w:r w:rsidDel="00000000" w:rsidR="00000000" w:rsidRPr="00000000">
        <w:rPr>
          <w:rtl w:val="0"/>
        </w:rPr>
      </w:r>
    </w:p>
    <w:p w:rsidR="00000000" w:rsidDel="00000000" w:rsidP="00000000" w:rsidRDefault="00000000" w:rsidRPr="00000000" w14:paraId="000001E3">
      <w:pPr>
        <w:keepNext w:val="1"/>
        <w:pBdr>
          <w:top w:space="0" w:sz="0" w:val="nil"/>
          <w:left w:space="0" w:sz="0" w:val="nil"/>
          <w:bottom w:space="0" w:sz="0" w:val="nil"/>
          <w:right w:space="0" w:sz="0" w:val="nil"/>
          <w:between w:space="0" w:sz="0" w:val="nil"/>
        </w:pBdr>
        <w:spacing w:after="36" w:before="36" w:lineRule="auto"/>
        <w:rPr/>
      </w:pPr>
      <w:r w:rsidDel="00000000" w:rsidR="00000000" w:rsidRPr="00000000">
        <w:rPr/>
        <w:drawing>
          <wp:inline distB="114300" distT="114300" distL="114300" distR="114300">
            <wp:extent cx="6190382" cy="3442315"/>
            <wp:effectExtent b="0" l="0" r="0" t="0"/>
            <wp:docPr id="17" name="image9.png"/>
            <a:graphic>
              <a:graphicData uri="http://schemas.openxmlformats.org/drawingml/2006/picture">
                <pic:pic>
                  <pic:nvPicPr>
                    <pic:cNvPr id="0" name="image9.png"/>
                    <pic:cNvPicPr preferRelativeResize="0"/>
                  </pic:nvPicPr>
                  <pic:blipFill>
                    <a:blip r:embed="rId21"/>
                    <a:srcRect b="0" l="0" r="0" t="0"/>
                    <a:stretch>
                      <a:fillRect/>
                    </a:stretch>
                  </pic:blipFill>
                  <pic:spPr>
                    <a:xfrm>
                      <a:off x="0" y="0"/>
                      <a:ext cx="6190382" cy="3442315"/>
                    </a:xfrm>
                    <a:prstGeom prst="rect"/>
                    <a:ln/>
                  </pic:spPr>
                </pic:pic>
              </a:graphicData>
            </a:graphic>
          </wp:inline>
        </w:drawing>
      </w:r>
      <w:r w:rsidDel="00000000" w:rsidR="00000000" w:rsidRPr="00000000">
        <w:rPr>
          <w:rtl w:val="0"/>
        </w:rPr>
      </w:r>
    </w:p>
    <w:p w:rsidR="00000000" w:rsidDel="00000000" w:rsidP="00000000" w:rsidRDefault="00000000" w:rsidRPr="00000000" w14:paraId="000001E4">
      <w:pPr>
        <w:spacing w:after="120" w:before="40" w:line="276" w:lineRule="auto"/>
        <w:rPr/>
      </w:pPr>
      <w:r w:rsidDel="00000000" w:rsidR="00000000" w:rsidRPr="00000000">
        <w:rPr>
          <w:b w:val="1"/>
          <w:bCs w:val="1"/>
          <w:sz w:val="21"/>
          <w:szCs w:val="21"/>
          <w:rtl w:val="0"/>
        </w:rPr>
        <w:t xml:space="preserve">Figura 12. </w:t>
      </w:r>
      <w:r w:rsidDel="00000000" w:rsidR="00000000" w:rsidRPr="00000000">
        <w:rPr>
          <w:i w:val="1"/>
          <w:iCs w:val="1"/>
          <w:sz w:val="21"/>
          <w:szCs w:val="21"/>
          <w:rtl w:val="0"/>
        </w:rPr>
        <w:t xml:space="preserve">Dashboard, página 4: Desempeño Financiero (cobertura financiera, ROI agregado y tabla de directores con mayor recaudación).</w:t>
      </w:r>
      <w:r w:rsidDel="00000000" w:rsidR="00000000" w:rsidRPr="00000000">
        <w:rPr>
          <w:rtl w:val="0"/>
        </w:rPr>
      </w:r>
    </w:p>
    <w:p w:rsidR="00000000" w:rsidDel="00000000" w:rsidP="00000000" w:rsidRDefault="00000000" w:rsidRPr="00000000" w14:paraId="000001E5">
      <w:pPr>
        <w:numPr>
          <w:ilvl w:val="0"/>
          <w:numId w:val="5"/>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b w:val="1"/>
          <w:bCs w:val="1"/>
          <w:rtl w:val="0"/>
        </w:rPr>
        <w:t xml:space="preserve">Página 5, Metodología y Limitaciones:</w:t>
      </w:r>
      <w:r w:rsidDel="00000000" w:rsidR="00000000" w:rsidRPr="00000000">
        <w:rPr>
          <w:rtl w:val="0"/>
        </w:rPr>
        <w:t xml:space="preserve"> Sección declarativa para transparentar las decisiones y sesgos de visualización adoptados. (Figura 13).</w:t>
      </w:r>
      <w:r w:rsidDel="00000000" w:rsidR="00000000" w:rsidRPr="00000000">
        <w:rPr>
          <w:rtl w:val="0"/>
        </w:rPr>
      </w:r>
    </w:p>
    <w:p w:rsidR="00000000" w:rsidDel="00000000" w:rsidP="00000000" w:rsidRDefault="00000000" w:rsidRPr="00000000" w14:paraId="000001E6">
      <w:pPr>
        <w:pBdr>
          <w:top w:space="0" w:sz="0" w:val="nil"/>
          <w:left w:space="0" w:sz="0" w:val="nil"/>
          <w:bottom w:space="0" w:sz="0" w:val="nil"/>
          <w:right w:space="0" w:sz="0" w:val="nil"/>
          <w:between w:space="0" w:sz="0" w:val="nil"/>
        </w:pBdr>
        <w:spacing w:after="36" w:before="36" w:lineRule="auto"/>
        <w:rPr/>
      </w:pPr>
      <w:r w:rsidDel="00000000" w:rsidR="00000000" w:rsidRPr="00000000">
        <w:rPr/>
        <w:drawing>
          <wp:inline distB="114300" distT="114300" distL="114300" distR="114300">
            <wp:extent cx="6433806" cy="2942817"/>
            <wp:effectExtent b="0" l="0" r="0" t="0"/>
            <wp:docPr id="1" name="image4.png"/>
            <a:graphic>
              <a:graphicData uri="http://schemas.openxmlformats.org/drawingml/2006/picture">
                <pic:pic>
                  <pic:nvPicPr>
                    <pic:cNvPr id="0" name="image4.png"/>
                    <pic:cNvPicPr preferRelativeResize="0"/>
                  </pic:nvPicPr>
                  <pic:blipFill>
                    <a:blip r:embed="rId22"/>
                    <a:srcRect b="0" l="0" r="0" t="0"/>
                    <a:stretch>
                      <a:fillRect/>
                    </a:stretch>
                  </pic:blipFill>
                  <pic:spPr>
                    <a:xfrm>
                      <a:off x="0" y="0"/>
                      <a:ext cx="6433806" cy="2942817"/>
                    </a:xfrm>
                    <a:prstGeom prst="rect"/>
                    <a:ln/>
                  </pic:spPr>
                </pic:pic>
              </a:graphicData>
            </a:graphic>
          </wp:inline>
        </w:drawing>
      </w:r>
      <w:r w:rsidDel="00000000" w:rsidR="00000000" w:rsidRPr="00000000">
        <w:rPr>
          <w:rtl w:val="0"/>
        </w:rPr>
      </w:r>
    </w:p>
    <w:p w:rsidR="00000000" w:rsidDel="00000000" w:rsidP="00000000" w:rsidRDefault="00000000" w:rsidRPr="00000000" w14:paraId="000001E7">
      <w:pPr>
        <w:spacing w:after="120" w:before="40" w:line="276" w:lineRule="auto"/>
        <w:rPr/>
      </w:pPr>
      <w:r w:rsidDel="00000000" w:rsidR="00000000" w:rsidRPr="00000000">
        <w:rPr>
          <w:b w:val="1"/>
          <w:bCs w:val="1"/>
          <w:sz w:val="21"/>
          <w:szCs w:val="21"/>
          <w:rtl w:val="0"/>
        </w:rPr>
        <w:t xml:space="preserve">Figura 13. </w:t>
      </w:r>
      <w:r w:rsidDel="00000000" w:rsidR="00000000" w:rsidRPr="00000000">
        <w:rPr>
          <w:i w:val="1"/>
          <w:iCs w:val="1"/>
          <w:sz w:val="21"/>
          <w:szCs w:val="21"/>
          <w:rtl w:val="0"/>
        </w:rPr>
        <w:t xml:space="preserve">Dashboard, página 5: Metodología y Limitaciones (declaración explícita de sesgos, exclusiones y representatividad).</w:t>
      </w:r>
      <w:r w:rsidDel="00000000" w:rsidR="00000000" w:rsidRPr="00000000">
        <w:rPr>
          <w:rtl w:val="0"/>
        </w:rPr>
      </w:r>
    </w:p>
    <w:p w:rsidR="00000000" w:rsidDel="00000000" w:rsidP="00000000" w:rsidRDefault="00000000" w:rsidRPr="00000000" w14:paraId="000001E8">
      <w:pPr>
        <w:pStyle w:val="Heading2"/>
        <w:rPr/>
      </w:pPr>
      <w:bookmarkStart w:colFirst="0" w:colLast="0" w:name="_de3vj183ffwp" w:id="56"/>
      <w:bookmarkEnd w:id="56"/>
      <w:r w:rsidDel="00000000" w:rsidR="00000000" w:rsidRPr="00000000">
        <w:rPr>
          <w:rtl w:val="0"/>
        </w:rPr>
        <w:t xml:space="preserve">2.6 Narrativa Visual (Data Storytelling)</w:t>
      </w:r>
    </w:p>
    <w:p w:rsidR="00000000" w:rsidDel="00000000" w:rsidP="00000000" w:rsidRDefault="00000000" w:rsidRPr="00000000" w14:paraId="000001E9">
      <w:pPr>
        <w:pBdr>
          <w:top w:space="0" w:sz="0" w:val="nil"/>
          <w:left w:space="0" w:sz="0" w:val="nil"/>
          <w:bottom w:space="0" w:sz="0" w:val="nil"/>
          <w:right w:space="0" w:sz="0" w:val="nil"/>
          <w:between w:space="0" w:sz="0" w:val="nil"/>
        </w:pBdr>
        <w:spacing w:after="180" w:before="180" w:lineRule="auto"/>
        <w:rPr/>
      </w:pPr>
      <w:r w:rsidDel="00000000" w:rsidR="00000000" w:rsidRPr="00000000">
        <w:rPr>
          <w:color w:val="000000"/>
          <w:rtl w:val="0"/>
        </w:rPr>
        <w:t xml:space="preserve">La historia que cuentan los datos desafía los supuestos tradicionales de StreamView, </w:t>
      </w:r>
      <w:r w:rsidDel="00000000" w:rsidR="00000000" w:rsidRPr="00000000">
        <w:rPr>
          <w:rtl w:val="0"/>
        </w:rPr>
        <w:t xml:space="preserve">organizándose en tres mensajes:</w:t>
      </w:r>
    </w:p>
    <w:p w:rsidR="00000000" w:rsidDel="00000000" w:rsidP="00000000" w:rsidRDefault="00000000" w:rsidRPr="00000000" w14:paraId="000001EA">
      <w:pPr>
        <w:numPr>
          <w:ilvl w:val="0"/>
          <w:numId w:val="8"/>
        </w:numPr>
        <w:pBdr>
          <w:top w:space="0" w:sz="0" w:val="nil"/>
          <w:left w:space="0" w:sz="0" w:val="nil"/>
          <w:bottom w:space="0" w:sz="0" w:val="nil"/>
          <w:right w:space="0" w:sz="0" w:val="nil"/>
          <w:between w:space="0" w:sz="0" w:val="nil"/>
        </w:pBdr>
        <w:spacing w:after="0" w:afterAutospacing="0" w:before="180" w:lineRule="auto"/>
        <w:ind w:left="720" w:hanging="360"/>
        <w:rPr>
          <w:u w:val="none"/>
        </w:rPr>
      </w:pPr>
      <w:r w:rsidDel="00000000" w:rsidR="00000000" w:rsidRPr="00000000">
        <w:rPr>
          <w:b w:val="1"/>
          <w:bCs w:val="1"/>
          <w:rtl w:val="0"/>
        </w:rPr>
        <w:t xml:space="preserve">Muy visto no garantiza buena nota:</w:t>
      </w:r>
      <w:r w:rsidDel="00000000" w:rsidR="00000000" w:rsidRPr="00000000">
        <w:rPr>
          <w:rtl w:val="0"/>
        </w:rPr>
        <w:t xml:space="preserve"> Popularidad y calidad se asocian débilmente (r = 0,25 en películas y 0,13 en series, con 10 o más votos): un título muy visto no necesariamente tiene buena nota. Por género principal (películas) ocurre lo mismo:  Documental y Música combinan buena nota con poco engagement, mientras Acción y Aventura y Ciencia ficción y Fantasía tienen alto engagement con notas más bajas.</w:t>
      </w:r>
    </w:p>
    <w:p w:rsidR="00000000" w:rsidDel="00000000" w:rsidP="00000000" w:rsidRDefault="00000000" w:rsidRPr="00000000" w14:paraId="000001EB">
      <w:pPr>
        <w:numPr>
          <w:ilvl w:val="0"/>
          <w:numId w:val="8"/>
        </w:numPr>
        <w:pBdr>
          <w:top w:space="0" w:sz="0" w:val="nil"/>
          <w:left w:space="0" w:sz="0" w:val="nil"/>
          <w:bottom w:space="0" w:sz="0" w:val="nil"/>
          <w:right w:space="0" w:sz="0" w:val="nil"/>
          <w:between w:space="0" w:sz="0" w:val="nil"/>
        </w:pBdr>
        <w:spacing w:after="0" w:afterAutospacing="0" w:before="0" w:beforeAutospacing="0" w:lineRule="auto"/>
        <w:ind w:left="720" w:hanging="360"/>
        <w:rPr>
          <w:u w:val="none"/>
        </w:rPr>
      </w:pPr>
      <w:r w:rsidDel="00000000" w:rsidR="00000000" w:rsidRPr="00000000">
        <w:rPr>
          <w:b w:val="1"/>
          <w:bCs w:val="1"/>
          <w:rtl w:val="0"/>
        </w:rPr>
        <w:t xml:space="preserve">La paradoja del Drama y el espectáculo:</w:t>
      </w:r>
      <w:r w:rsidDel="00000000" w:rsidR="00000000" w:rsidRPr="00000000">
        <w:rPr>
          <w:color w:val="000000"/>
          <w:rtl w:val="0"/>
        </w:rPr>
        <w:t xml:space="preserve"> </w:t>
      </w:r>
      <w:r w:rsidDel="00000000" w:rsidR="00000000" w:rsidRPr="00000000">
        <w:rPr>
          <w:rtl w:val="0"/>
        </w:rPr>
        <w:t xml:space="preserve">El catálogo concentra lo seguro, pero la audiencia consume espectáculo. Como género principal, el Drama es el 22,9 % de las películas (43,2 % contando todos sus géneros) y tiene un engagement promedio de 45. Acción y Aventura, Ciencia ficción y Fantasía y Animación rondan los 60 (60,6; 60,4 y 60,3), con solo 14,2 %, 4,2 % y 7,0 % de las películas</w:t>
      </w:r>
      <w:r w:rsidDel="00000000" w:rsidR="00000000" w:rsidRPr="00000000">
        <w:rPr>
          <w:color w:val="000000"/>
          <w:rtl w:val="0"/>
        </w:rPr>
        <w:t xml:space="preserve">.</w:t>
      </w:r>
    </w:p>
    <w:p w:rsidR="00000000" w:rsidDel="00000000" w:rsidP="00000000" w:rsidRDefault="00000000" w:rsidRPr="00000000" w14:paraId="000001EC">
      <w:pPr>
        <w:numPr>
          <w:ilvl w:val="0"/>
          <w:numId w:val="8"/>
        </w:numPr>
        <w:pBdr>
          <w:top w:space="0" w:sz="0" w:val="nil"/>
          <w:left w:space="0" w:sz="0" w:val="nil"/>
          <w:bottom w:space="0" w:sz="0" w:val="nil"/>
          <w:right w:space="0" w:sz="0" w:val="nil"/>
          <w:between w:space="0" w:sz="0" w:val="nil"/>
        </w:pBdr>
        <w:spacing w:after="36" w:before="0" w:beforeAutospacing="0" w:lineRule="auto"/>
        <w:ind w:left="720" w:hanging="360"/>
        <w:rPr>
          <w:color w:val="000000"/>
          <w:u w:val="none"/>
        </w:rPr>
      </w:pPr>
      <w:r w:rsidDel="00000000" w:rsidR="00000000" w:rsidRPr="00000000">
        <w:rPr>
          <w:b w:val="1"/>
          <w:bCs w:val="1"/>
          <w:color w:val="000000"/>
          <w:rtl w:val="0"/>
        </w:rPr>
        <w:t xml:space="preserve">Rentabilidad Quirúrgica:</w:t>
      </w:r>
      <w:r w:rsidDel="00000000" w:rsidR="00000000" w:rsidRPr="00000000">
        <w:rPr>
          <w:color w:val="000000"/>
          <w:rtl w:val="0"/>
        </w:rPr>
        <w:t xml:space="preserve"> </w:t>
      </w:r>
      <w:r w:rsidDel="00000000" w:rsidR="00000000" w:rsidRPr="00000000">
        <w:rPr>
          <w:rtl w:val="0"/>
        </w:rPr>
        <w:t xml:space="preserve">Solo el 22,1 % de las películas permite medir finanzas (las series no reportan este dato). En ese grupo, los mayores ingresos absolutos no coinciden con la mayor eficiencia: Anthony y Joe Russo, entre los directores de mayores ingresos, tienen un ROI agregado de 5,3×. Entre los directores con al menos 5 películas con datos financieros, lidera Chris Renaud (animación familiar) con un ROI agregado de 8,8× (mediana 8,8×), y su mayor película aporta solo el 23 % de sus ingresos. Le siguen Christopher Landon (8,0×) y Bill Condon (6,6×); James Wan (terror) tiene 6,2× y una mediana de 8,0×, bien sobre el ROI agregado del catálogo (2,92×) [G8]. En el dashboard y la infografía, que usan solo el primer director listado, Renaud aparece con 8,96× (5 películas) frente a 8,80× en G8 (6 películas); el ROI de Wan coincide (6,18×). </w:t>
      </w:r>
      <w:r w:rsidDel="00000000" w:rsidR="00000000" w:rsidRPr="00000000">
        <w:rPr>
          <w:rtl w:val="0"/>
        </w:rPr>
      </w:r>
    </w:p>
    <w:p w:rsidR="00000000" w:rsidDel="00000000" w:rsidP="00000000" w:rsidRDefault="00000000" w:rsidRPr="00000000" w14:paraId="000001ED">
      <w:pPr>
        <w:pBdr>
          <w:top w:space="0" w:sz="0" w:val="nil"/>
          <w:left w:space="0" w:sz="0" w:val="nil"/>
          <w:bottom w:space="0" w:sz="0" w:val="nil"/>
          <w:right w:space="0" w:sz="0" w:val="nil"/>
          <w:between w:space="0" w:sz="0" w:val="nil"/>
        </w:pBdr>
        <w:spacing w:after="180" w:before="180" w:lineRule="auto"/>
        <w:rPr>
          <w:color w:val="000000"/>
        </w:rPr>
      </w:pPr>
      <w:r w:rsidDel="00000000" w:rsidR="00000000" w:rsidRPr="00000000">
        <w:rPr>
          <w:b w:val="1"/>
          <w:bCs w:val="1"/>
          <w:color w:val="000000"/>
          <w:rtl w:val="0"/>
        </w:rPr>
        <w:t xml:space="preserve">Adaptación del mensaje a la audiencia y recursos de comunicación:</w:t>
      </w:r>
      <w:r w:rsidDel="00000000" w:rsidR="00000000" w:rsidRPr="00000000">
        <w:rPr>
          <w:rtl w:val="0"/>
        </w:rPr>
      </w:r>
    </w:p>
    <w:p w:rsidR="00000000" w:rsidDel="00000000" w:rsidP="00000000" w:rsidRDefault="00000000" w:rsidRPr="00000000" w14:paraId="000001EE">
      <w:pPr>
        <w:numPr>
          <w:ilvl w:val="0"/>
          <w:numId w:val="5"/>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b w:val="1"/>
          <w:bCs w:val="1"/>
          <w:color w:val="000000"/>
          <w:rtl w:val="0"/>
        </w:rPr>
        <w:t xml:space="preserve">Gerencia de Contenido</w:t>
      </w:r>
      <w:r w:rsidDel="00000000" w:rsidR="00000000" w:rsidRPr="00000000">
        <w:rPr>
          <w:color w:val="000000"/>
          <w:rtl w:val="0"/>
        </w:rPr>
        <w:t xml:space="preserve"> (qué géneros y países priorizar): </w:t>
      </w:r>
      <w:r w:rsidDel="00000000" w:rsidR="00000000" w:rsidRPr="00000000">
        <w:rPr>
          <w:rtl w:val="0"/>
        </w:rPr>
        <w:t xml:space="preserve">recibe los mensajes 1 y 2 </w:t>
      </w:r>
      <w:r w:rsidDel="00000000" w:rsidR="00000000" w:rsidRPr="00000000">
        <w:rPr>
          <w:color w:val="000000"/>
          <w:rtl w:val="0"/>
        </w:rPr>
        <w:t xml:space="preserve">, apoyados en las páginas 1 a 3 del dashboard.</w:t>
      </w:r>
    </w:p>
    <w:p w:rsidR="00000000" w:rsidDel="00000000" w:rsidP="00000000" w:rsidRDefault="00000000" w:rsidRPr="00000000" w14:paraId="000001EF">
      <w:pPr>
        <w:numPr>
          <w:ilvl w:val="0"/>
          <w:numId w:val="5"/>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b w:val="1"/>
          <w:bCs w:val="1"/>
          <w:color w:val="000000"/>
          <w:rtl w:val="0"/>
        </w:rPr>
        <w:t xml:space="preserve">Dirección Ejecutiva</w:t>
      </w:r>
      <w:r w:rsidDel="00000000" w:rsidR="00000000" w:rsidRPr="00000000">
        <w:rPr>
          <w:color w:val="000000"/>
          <w:rtl w:val="0"/>
        </w:rPr>
        <w:t xml:space="preserve"> (presupuestos, rentabilidad y riesgos de los datos): </w:t>
      </w:r>
      <w:r w:rsidDel="00000000" w:rsidR="00000000" w:rsidRPr="00000000">
        <w:rPr>
          <w:rtl w:val="0"/>
        </w:rPr>
        <w:t xml:space="preserve">recibe el mensaje 3 y las limitaciones</w:t>
      </w:r>
      <w:r w:rsidDel="00000000" w:rsidR="00000000" w:rsidRPr="00000000">
        <w:rPr>
          <w:color w:val="000000"/>
          <w:rtl w:val="0"/>
        </w:rPr>
        <w:t xml:space="preserve">, apoyados en las páginas 4 y 5 del dashboard.</w:t>
      </w:r>
    </w:p>
    <w:p w:rsidR="00000000" w:rsidDel="00000000" w:rsidP="00000000" w:rsidRDefault="00000000" w:rsidRPr="00000000" w14:paraId="000001F0">
      <w:pPr>
        <w:numPr>
          <w:ilvl w:val="0"/>
          <w:numId w:val="5"/>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rtl w:val="0"/>
        </w:rPr>
        <w:t xml:space="preserve">Recursos escritos, visuales y orales: el informe entrega el detalle con cifras y notas metodológicas; el dashboard permite explorar los datos; y la infografía de una página, con la paleta accesible y la conclusión escrita junto a cada gráfico, resume los hallazgos y sirve de apoyo para la exposición oral (Figura 14, a y b).</w:t>
      </w:r>
      <w:r w:rsidDel="00000000" w:rsidR="00000000" w:rsidRPr="00000000">
        <w:rPr>
          <w:rtl w:val="0"/>
        </w:rPr>
      </w:r>
    </w:p>
    <w:p w:rsidR="00000000" w:rsidDel="00000000" w:rsidP="00000000" w:rsidRDefault="00000000" w:rsidRPr="00000000" w14:paraId="000001F1">
      <w:pPr>
        <w:pBdr>
          <w:top w:space="0" w:sz="0" w:val="nil"/>
          <w:left w:space="0" w:sz="0" w:val="nil"/>
          <w:bottom w:space="0" w:sz="0" w:val="nil"/>
          <w:right w:space="0" w:sz="0" w:val="nil"/>
          <w:between w:space="0" w:sz="0" w:val="nil"/>
        </w:pBdr>
        <w:spacing w:after="36" w:before="36" w:lineRule="auto"/>
        <w:rPr/>
      </w:pPr>
      <w:r w:rsidDel="00000000" w:rsidR="00000000" w:rsidRPr="00000000">
        <w:rPr/>
        <w:drawing>
          <wp:inline distB="114300" distT="114300" distL="114300" distR="114300">
            <wp:extent cx="5612130" cy="2959100"/>
            <wp:effectExtent b="0" l="0" r="0" t="0"/>
            <wp:docPr id="18" name="image15.png"/>
            <a:graphic>
              <a:graphicData uri="http://schemas.openxmlformats.org/drawingml/2006/picture">
                <pic:pic>
                  <pic:nvPicPr>
                    <pic:cNvPr id="0" name="image15.png"/>
                    <pic:cNvPicPr preferRelativeResize="0"/>
                  </pic:nvPicPr>
                  <pic:blipFill>
                    <a:blip r:embed="rId23"/>
                    <a:srcRect b="0" l="0" r="0" t="0"/>
                    <a:stretch>
                      <a:fillRect/>
                    </a:stretch>
                  </pic:blipFill>
                  <pic:spPr>
                    <a:xfrm>
                      <a:off x="0" y="0"/>
                      <a:ext cx="561213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1F2">
      <w:pPr>
        <w:spacing w:after="120" w:before="40" w:line="276" w:lineRule="auto"/>
        <w:rPr/>
      </w:pPr>
      <w:r w:rsidDel="00000000" w:rsidR="00000000" w:rsidRPr="00000000">
        <w:rPr>
          <w:b w:val="1"/>
          <w:bCs w:val="1"/>
          <w:sz w:val="21"/>
          <w:szCs w:val="21"/>
          <w:rtl w:val="0"/>
        </w:rPr>
        <w:t xml:space="preserve">Figura 14a. </w:t>
      </w:r>
      <w:r w:rsidDel="00000000" w:rsidR="00000000" w:rsidRPr="00000000">
        <w:rPr>
          <w:i w:val="1"/>
          <w:iCs w:val="1"/>
          <w:sz w:val="21"/>
          <w:szCs w:val="21"/>
          <w:rtl w:val="0"/>
        </w:rPr>
        <w:t xml:space="preserve">Infografía ejecutiva, panel superior: Muy visto no garantiza buena nota (dispersión de engagement mediano vs. calidad por género).</w:t>
      </w:r>
      <w:r w:rsidDel="00000000" w:rsidR="00000000" w:rsidRPr="00000000">
        <w:rPr>
          <w:rtl w:val="0"/>
        </w:rPr>
      </w:r>
    </w:p>
    <w:p w:rsidR="00000000" w:rsidDel="00000000" w:rsidP="00000000" w:rsidRDefault="00000000" w:rsidRPr="00000000" w14:paraId="000001F3">
      <w:pPr>
        <w:pBdr>
          <w:top w:space="0" w:sz="0" w:val="nil"/>
          <w:left w:space="0" w:sz="0" w:val="nil"/>
          <w:bottom w:space="0" w:sz="0" w:val="nil"/>
          <w:right w:space="0" w:sz="0" w:val="nil"/>
          <w:between w:space="0" w:sz="0" w:val="nil"/>
        </w:pBdr>
        <w:spacing w:after="36" w:before="36" w:lineRule="auto"/>
        <w:rPr/>
      </w:pPr>
      <w:r w:rsidDel="00000000" w:rsidR="00000000" w:rsidRPr="00000000">
        <w:rPr/>
        <w:drawing>
          <wp:inline distB="114300" distT="114300" distL="114300" distR="114300">
            <wp:extent cx="5612130" cy="4292600"/>
            <wp:effectExtent b="0" l="0" r="0" t="0"/>
            <wp:docPr id="19" name="image13.png"/>
            <a:graphic>
              <a:graphicData uri="http://schemas.openxmlformats.org/drawingml/2006/picture">
                <pic:pic>
                  <pic:nvPicPr>
                    <pic:cNvPr id="0" name="image13.png"/>
                    <pic:cNvPicPr preferRelativeResize="0"/>
                  </pic:nvPicPr>
                  <pic:blipFill>
                    <a:blip r:embed="rId24"/>
                    <a:srcRect b="0" l="0" r="0" t="0"/>
                    <a:stretch>
                      <a:fillRect/>
                    </a:stretch>
                  </pic:blipFill>
                  <pic:spPr>
                    <a:xfrm>
                      <a:off x="0" y="0"/>
                      <a:ext cx="5612130" cy="4292600"/>
                    </a:xfrm>
                    <a:prstGeom prst="rect"/>
                    <a:ln/>
                  </pic:spPr>
                </pic:pic>
              </a:graphicData>
            </a:graphic>
          </wp:inline>
        </w:drawing>
      </w:r>
      <w:r w:rsidDel="00000000" w:rsidR="00000000" w:rsidRPr="00000000">
        <w:rPr>
          <w:rtl w:val="0"/>
        </w:rPr>
      </w:r>
    </w:p>
    <w:p w:rsidR="00000000" w:rsidDel="00000000" w:rsidP="00000000" w:rsidRDefault="00000000" w:rsidRPr="00000000" w14:paraId="000001F4">
      <w:pPr>
        <w:spacing w:after="120" w:before="40" w:line="276" w:lineRule="auto"/>
        <w:rPr/>
      </w:pPr>
      <w:r w:rsidDel="00000000" w:rsidR="00000000" w:rsidRPr="00000000">
        <w:rPr>
          <w:b w:val="1"/>
          <w:bCs w:val="1"/>
          <w:sz w:val="21"/>
          <w:szCs w:val="21"/>
          <w:rtl w:val="0"/>
        </w:rPr>
        <w:t xml:space="preserve">Figura 14b. </w:t>
      </w:r>
      <w:r w:rsidDel="00000000" w:rsidR="00000000" w:rsidRPr="00000000">
        <w:rPr>
          <w:i w:val="1"/>
          <w:iCs w:val="1"/>
          <w:sz w:val="21"/>
          <w:szCs w:val="21"/>
          <w:rtl w:val="0"/>
        </w:rPr>
        <w:t xml:space="preserve">Infografía ejecutiva, panel inferior: La paradoja del Drama y el espectáculo y directores de mayor eficiencia financiera.</w:t>
      </w:r>
      <w:r w:rsidDel="00000000" w:rsidR="00000000" w:rsidRPr="00000000">
        <w:rPr>
          <w:rtl w:val="0"/>
        </w:rPr>
      </w:r>
    </w:p>
    <w:p w:rsidR="00000000" w:rsidDel="00000000" w:rsidP="00000000" w:rsidRDefault="00000000" w:rsidRPr="00000000" w14:paraId="000001F5">
      <w:pPr>
        <w:pStyle w:val="Heading2"/>
        <w:rPr/>
      </w:pPr>
      <w:bookmarkStart w:colFirst="0" w:colLast="0" w:name="_r25ar5o4xddz" w:id="57"/>
      <w:bookmarkEnd w:id="57"/>
      <w:r w:rsidDel="00000000" w:rsidR="00000000" w:rsidRPr="00000000">
        <w:rPr>
          <w:rtl w:val="0"/>
        </w:rPr>
      </w:r>
    </w:p>
    <w:p w:rsidR="00000000" w:rsidDel="00000000" w:rsidP="00000000" w:rsidRDefault="00000000" w:rsidRPr="00000000" w14:paraId="000001F6">
      <w:pPr>
        <w:pStyle w:val="Heading2"/>
        <w:rPr/>
      </w:pPr>
      <w:bookmarkStart w:colFirst="0" w:colLast="0" w:name="_6dtbuzlzul65" w:id="58"/>
      <w:bookmarkEnd w:id="58"/>
      <w:r w:rsidDel="00000000" w:rsidR="00000000" w:rsidRPr="00000000">
        <w:rPr>
          <w:rtl w:val="0"/>
        </w:rPr>
        <w:t xml:space="preserve">2.7 Evaluación crítica de la solución</w:t>
      </w:r>
    </w:p>
    <w:p w:rsidR="00000000" w:rsidDel="00000000" w:rsidP="00000000" w:rsidRDefault="00000000" w:rsidRPr="00000000" w14:paraId="000001F7">
      <w:pPr>
        <w:pBdr>
          <w:top w:space="0" w:sz="0" w:val="nil"/>
          <w:left w:space="0" w:sz="0" w:val="nil"/>
          <w:bottom w:space="0" w:sz="0" w:val="nil"/>
          <w:right w:space="0" w:sz="0" w:val="nil"/>
          <w:between w:space="0" w:sz="0" w:val="nil"/>
        </w:pBdr>
        <w:spacing w:after="180" w:before="180" w:lineRule="auto"/>
        <w:rPr>
          <w:color w:val="000000"/>
        </w:rPr>
      </w:pPr>
      <w:r w:rsidDel="00000000" w:rsidR="00000000" w:rsidRPr="00000000">
        <w:rPr>
          <w:b w:val="1"/>
          <w:bCs w:val="1"/>
          <w:color w:val="000000"/>
          <w:rtl w:val="0"/>
        </w:rPr>
        <w:t xml:space="preserve">Fortalezas Metodológicas:</w:t>
      </w:r>
      <w:r w:rsidDel="00000000" w:rsidR="00000000" w:rsidRPr="00000000">
        <w:rPr>
          <w:rtl w:val="0"/>
        </w:rPr>
      </w:r>
    </w:p>
    <w:p w:rsidR="00000000" w:rsidDel="00000000" w:rsidP="00000000" w:rsidRDefault="00000000" w:rsidRPr="00000000" w14:paraId="000001F8">
      <w:pPr>
        <w:pBdr>
          <w:top w:space="0" w:sz="0" w:val="nil"/>
          <w:left w:space="0" w:sz="0" w:val="nil"/>
          <w:bottom w:space="0" w:sz="0" w:val="nil"/>
          <w:right w:space="0" w:sz="0" w:val="nil"/>
          <w:between w:space="0" w:sz="0" w:val="nil"/>
        </w:pBdr>
        <w:spacing w:after="180" w:before="180" w:lineRule="auto"/>
        <w:rPr>
          <w:color w:val="000000"/>
        </w:rPr>
      </w:pPr>
      <w:r w:rsidDel="00000000" w:rsidR="00000000" w:rsidRPr="00000000">
        <w:rPr>
          <w:color w:val="000000"/>
          <w:rtl w:val="0"/>
        </w:rPr>
        <w:t xml:space="preserve">La principal solidez del proyecto es la rigurosidad estadística aplicada a la limpieza. Aislar las calificaciones "cero" sin sustento de votos y utilizar medianas/percentiles intragrupos redujo sustancialmente el sesgo inflacionario en películas (88,6 % con votos fiables). En series, el sesgo persiste: solo el 38,4 % tiene votos suficientes y la mediana es de apenas 4 votos por título (frente a 138 en películas), por lo que sus promedios de calificación deben leerse con reserva. Además, cada indicador se calculó por dos vías independientes (pandas y un cálculo al estilo Looker) </w:t>
      </w:r>
      <w:r w:rsidDel="00000000" w:rsidR="00000000" w:rsidRPr="00000000">
        <w:rPr>
          <w:rtl w:val="0"/>
        </w:rPr>
        <w:t xml:space="preserve">y se contrastó en 30 selecciones de datos (la base completa, cada tipo y 27 combinaciones aleatorias de año, géneros y países; 360 comparaciones en total, todas coincidentes), y las cifras del EDA, del dashboard y del informe se contrastaron entre sí.</w:t>
      </w:r>
      <w:r w:rsidDel="00000000" w:rsidR="00000000" w:rsidRPr="00000000">
        <w:rPr>
          <w:rtl w:val="0"/>
        </w:rPr>
      </w:r>
    </w:p>
    <w:p w:rsidR="00000000" w:rsidDel="00000000" w:rsidP="00000000" w:rsidRDefault="00000000" w:rsidRPr="00000000" w14:paraId="000001F9">
      <w:pPr>
        <w:pBdr>
          <w:top w:space="0" w:sz="0" w:val="nil"/>
          <w:left w:space="0" w:sz="0" w:val="nil"/>
          <w:bottom w:space="0" w:sz="0" w:val="nil"/>
          <w:right w:space="0" w:sz="0" w:val="nil"/>
          <w:between w:space="0" w:sz="0" w:val="nil"/>
        </w:pBdr>
        <w:spacing w:after="180" w:before="180" w:lineRule="auto"/>
        <w:rPr>
          <w:color w:val="000000"/>
        </w:rPr>
      </w:pPr>
      <w:r w:rsidDel="00000000" w:rsidR="00000000" w:rsidRPr="00000000">
        <w:rPr>
          <w:b w:val="1"/>
          <w:bCs w:val="1"/>
          <w:color w:val="000000"/>
          <w:rtl w:val="0"/>
        </w:rPr>
        <w:t xml:space="preserve">Limitaciones y Decisiones Críticas:</w:t>
      </w:r>
      <w:r w:rsidDel="00000000" w:rsidR="00000000" w:rsidRPr="00000000">
        <w:rPr>
          <w:rtl w:val="0"/>
        </w:rPr>
      </w:r>
    </w:p>
    <w:p w:rsidR="00000000" w:rsidDel="00000000" w:rsidP="00000000" w:rsidRDefault="00000000" w:rsidRPr="00000000" w14:paraId="000001FA">
      <w:pPr>
        <w:numPr>
          <w:ilvl w:val="0"/>
          <w:numId w:val="5"/>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b w:val="1"/>
          <w:bCs w:val="1"/>
          <w:color w:val="000000"/>
          <w:rtl w:val="0"/>
        </w:rPr>
        <w:t xml:space="preserve">Integridad vs. Granularidad (El Trade-Off del Dashboard):</w:t>
      </w:r>
      <w:r w:rsidDel="00000000" w:rsidR="00000000" w:rsidRPr="00000000">
        <w:rPr>
          <w:color w:val="000000"/>
          <w:rtl w:val="0"/>
        </w:rPr>
        <w:t xml:space="preserve"> Dado que un porcentaje mayoritario del catálogo pertenece a múltiples géneros (75 % de películas), la visualización interactiva enfrentaba el riesgo de multiplicar los títulos base en la sumatoria de KPIs. Para salvaguardar la exactitud (haciendo que 1 título = 1 conteo de ingresos), </w:t>
      </w:r>
      <w:r w:rsidDel="00000000" w:rsidR="00000000" w:rsidRPr="00000000">
        <w:rPr>
          <w:b w:val="1"/>
          <w:bCs w:val="1"/>
          <w:color w:val="000000"/>
          <w:rtl w:val="0"/>
        </w:rPr>
        <w:t xml:space="preserve">se limitó el dashboard a utilizar exclusivamente la primera categoría listada (género, país y director principal)</w:t>
      </w:r>
      <w:r w:rsidDel="00000000" w:rsidR="00000000" w:rsidRPr="00000000">
        <w:rPr>
          <w:color w:val="000000"/>
          <w:rtl w:val="0"/>
        </w:rPr>
        <w:t xml:space="preserve">. Esto subestima las apariciones secundarias y asume, sin verificación, que el primer elemento listado es el dominante (ej. el "Drama" baja del 43,2 % de participación real al 22,9 % en películas por este efecto). El mismo efecto ocurre con el país: EE. UU. pasa de 48,5 % de las películas (contando todos los países de producción) a 35,6 % como país principal. Para no perder el valor real en estos dos hallazgos centrales, el dashboard incluye tarjetas que cuentan todos los géneros y países de cada título (Drama y EE. UU.) sin duplicar el conteo de títulos.</w:t>
      </w:r>
    </w:p>
    <w:p w:rsidR="00000000" w:rsidDel="00000000" w:rsidP="00000000" w:rsidRDefault="00000000" w:rsidRPr="00000000" w14:paraId="000001FB">
      <w:pPr>
        <w:numPr>
          <w:ilvl w:val="0"/>
          <w:numId w:val="5"/>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b w:val="1"/>
          <w:bCs w:val="1"/>
          <w:color w:val="000000"/>
          <w:rtl w:val="0"/>
        </w:rPr>
        <w:t xml:space="preserve">Ausencias ("No especificado") y Exclusiones:</w:t>
      </w:r>
      <w:r w:rsidDel="00000000" w:rsidR="00000000" w:rsidRPr="00000000">
        <w:rPr>
          <w:color w:val="000000"/>
          <w:rtl w:val="0"/>
        </w:rPr>
        <w:t xml:space="preserve"> Se aislaron volúmenes sustanciales de información ausente: 1.088 títulos sin género, 2.261 sin país, y 11.092 sin director (este último afectando al 68,5 % del catálogo de series). Adicionalmente, 628 películas para televisión ("TV Movie") fueron excluidas del listado de géneros por ser un formato de distribución, no un género narrativo .</w:t>
      </w:r>
    </w:p>
    <w:p w:rsidR="00000000" w:rsidDel="00000000" w:rsidP="00000000" w:rsidRDefault="00000000" w:rsidRPr="00000000" w14:paraId="000001FC">
      <w:pPr>
        <w:numPr>
          <w:ilvl w:val="0"/>
          <w:numId w:val="5"/>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b w:val="1"/>
          <w:bCs w:val="1"/>
          <w:color w:val="000000"/>
          <w:rtl w:val="0"/>
        </w:rPr>
        <w:t xml:space="preserve">Corte Artificial de Volumen Temporal:</w:t>
      </w:r>
      <w:r w:rsidDel="00000000" w:rsidR="00000000" w:rsidRPr="00000000">
        <w:rPr>
          <w:color w:val="000000"/>
          <w:rtl w:val="0"/>
        </w:rPr>
        <w:t xml:space="preserve"> Se detectó que el dataset fue muestreado artificialmente para contener 1.000 títulos por año y tipo (991 en series de 2025). Esta restricción invalidó por completo el análisis de volúmenes de producción a lo largo del tiempo, forzando a estudiar únicamente los promedios de las variables.</w:t>
      </w:r>
    </w:p>
    <w:p w:rsidR="00000000" w:rsidDel="00000000" w:rsidP="00000000" w:rsidRDefault="00000000" w:rsidRPr="00000000" w14:paraId="000001FD">
      <w:pPr>
        <w:numPr>
          <w:ilvl w:val="0"/>
          <w:numId w:val="5"/>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b w:val="1"/>
          <w:bCs w:val="1"/>
          <w:color w:val="000000"/>
          <w:rtl w:val="0"/>
        </w:rPr>
        <w:t xml:space="preserve">Ceguera Financiera de las Series:</w:t>
      </w:r>
      <w:r w:rsidDel="00000000" w:rsidR="00000000" w:rsidRPr="00000000">
        <w:rPr>
          <w:color w:val="000000"/>
          <w:rtl w:val="0"/>
        </w:rPr>
        <w:t xml:space="preserve"> La nulidad absoluta de ingresos y costos en el ecosistema de series restringe severamente el cálculo de un ROI unificado para la plataforma.</w:t>
      </w:r>
    </w:p>
    <w:p w:rsidR="00000000" w:rsidDel="00000000" w:rsidP="00000000" w:rsidRDefault="00000000" w:rsidRPr="00000000" w14:paraId="000001FE">
      <w:pPr>
        <w:pBdr>
          <w:top w:space="0" w:sz="0" w:val="nil"/>
          <w:left w:space="0" w:sz="0" w:val="nil"/>
          <w:bottom w:space="0" w:sz="0" w:val="nil"/>
          <w:right w:space="0" w:sz="0" w:val="nil"/>
          <w:between w:space="0" w:sz="0" w:val="nil"/>
        </w:pBdr>
        <w:spacing w:after="180" w:before="180" w:lineRule="auto"/>
        <w:rPr>
          <w:color w:val="000000"/>
        </w:rPr>
      </w:pPr>
      <w:r w:rsidDel="00000000" w:rsidR="00000000" w:rsidRPr="00000000">
        <w:rPr>
          <w:b w:val="1"/>
          <w:bCs w:val="1"/>
          <w:color w:val="000000"/>
          <w:rtl w:val="0"/>
        </w:rPr>
        <w:t xml:space="preserve">Justificación de las principales decisiones de diseño:</w:t>
      </w:r>
      <w:r w:rsidDel="00000000" w:rsidR="00000000" w:rsidRPr="00000000">
        <w:rPr>
          <w:rtl w:val="0"/>
        </w:rPr>
      </w:r>
    </w:p>
    <w:p w:rsidR="00000000" w:rsidDel="00000000" w:rsidP="00000000" w:rsidRDefault="00000000" w:rsidRPr="00000000" w14:paraId="000001FF">
      <w:pPr>
        <w:numPr>
          <w:ilvl w:val="0"/>
          <w:numId w:val="5"/>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b w:val="1"/>
          <w:bCs w:val="1"/>
          <w:color w:val="000000"/>
          <w:rtl w:val="0"/>
        </w:rPr>
        <w:t xml:space="preserve">Ceros de calificación:</w:t>
      </w:r>
      <w:r w:rsidDel="00000000" w:rsidR="00000000" w:rsidRPr="00000000">
        <w:rPr>
          <w:color w:val="000000"/>
          <w:rtl w:val="0"/>
        </w:rPr>
        <w:t xml:space="preserve"> un cero con cero votos significa "sin votos" y no una mala nota; por eso se excluyó de los promedios </w:t>
      </w:r>
      <w:r w:rsidDel="00000000" w:rsidR="00000000" w:rsidRPr="00000000">
        <w:rPr>
          <w:rtl w:val="0"/>
        </w:rPr>
        <w:t xml:space="preserve">y esta decisión se declara en la página 5 del dashboard</w:t>
      </w:r>
      <w:r w:rsidDel="00000000" w:rsidR="00000000" w:rsidRPr="00000000">
        <w:rPr>
          <w:color w:val="000000"/>
          <w:rtl w:val="0"/>
        </w:rPr>
        <w:t xml:space="preserve">.</w:t>
      </w:r>
    </w:p>
    <w:p w:rsidR="00000000" w:rsidDel="00000000" w:rsidP="00000000" w:rsidRDefault="00000000" w:rsidRPr="00000000" w14:paraId="00000200">
      <w:pPr>
        <w:numPr>
          <w:ilvl w:val="0"/>
          <w:numId w:val="5"/>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b w:val="1"/>
          <w:bCs w:val="1"/>
          <w:color w:val="000000"/>
          <w:rtl w:val="0"/>
        </w:rPr>
        <w:t xml:space="preserve">Fuente única con una fila por título:</w:t>
      </w:r>
      <w:r w:rsidDel="00000000" w:rsidR="00000000" w:rsidRPr="00000000">
        <w:rPr>
          <w:color w:val="000000"/>
          <w:rtl w:val="0"/>
        </w:rPr>
        <w:t xml:space="preserve"> garantiza que los filtros cruzados y los KPIs sean consistentes; su costo es el uso del género, país y director principal, declarado en las limitaciones.</w:t>
      </w:r>
    </w:p>
    <w:p w:rsidR="00000000" w:rsidDel="00000000" w:rsidP="00000000" w:rsidRDefault="00000000" w:rsidRPr="00000000" w14:paraId="00000201">
      <w:pPr>
        <w:numPr>
          <w:ilvl w:val="0"/>
          <w:numId w:val="5"/>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b w:val="1"/>
          <w:bCs w:val="1"/>
          <w:color w:val="000000"/>
          <w:rtl w:val="0"/>
        </w:rPr>
        <w:t xml:space="preserve">Porcentajes sobre base fija:</w:t>
      </w:r>
      <w:r w:rsidDel="00000000" w:rsidR="00000000" w:rsidRPr="00000000">
        <w:rPr>
          <w:color w:val="000000"/>
          <w:rtl w:val="0"/>
        </w:rPr>
        <w:t xml:space="preserve"> todo porcentaje es la suma del numerador dividida por la cuenta de registros, y el peso en el catálogo usa el total fijo de 31.991 títulos; así las cifras no cambian de significado al filtrar.</w:t>
      </w:r>
    </w:p>
    <w:p w:rsidR="00000000" w:rsidDel="00000000" w:rsidP="00000000" w:rsidRDefault="00000000" w:rsidRPr="00000000" w14:paraId="00000202">
      <w:pPr>
        <w:numPr>
          <w:ilvl w:val="0"/>
          <w:numId w:val="5"/>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b w:val="1"/>
          <w:bCs w:val="1"/>
          <w:rtl w:val="0"/>
        </w:rPr>
        <w:t xml:space="preserve">Sin "engagement promedio" como indicador global: </w:t>
      </w:r>
      <w:r w:rsidDel="00000000" w:rsidR="00000000" w:rsidRPr="00000000">
        <w:rPr>
          <w:rtl w:val="0"/>
        </w:rPr>
        <w:t xml:space="preserve">Por construcción vale 50 en cada tipo (comprobado: 50,0 en películas y en series) y no informa; por eso los KPIs usan el porcentaje de alto engagement y el de títulos estrella. Por año y por género sí se grafica, porque ahí varía.</w:t>
      </w:r>
      <w:r w:rsidDel="00000000" w:rsidR="00000000" w:rsidRPr="00000000">
        <w:rPr>
          <w:rtl w:val="0"/>
        </w:rPr>
      </w:r>
    </w:p>
    <w:p w:rsidR="00000000" w:rsidDel="00000000" w:rsidP="00000000" w:rsidRDefault="00000000" w:rsidRPr="00000000" w14:paraId="00000203">
      <w:pPr>
        <w:numPr>
          <w:ilvl w:val="0"/>
          <w:numId w:val="5"/>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b w:val="1"/>
          <w:bCs w:val="1"/>
          <w:color w:val="000000"/>
          <w:rtl w:val="0"/>
        </w:rPr>
        <w:t xml:space="preserve">Gráficos de categorías:</w:t>
      </w:r>
      <w:r w:rsidDel="00000000" w:rsidR="00000000" w:rsidRPr="00000000">
        <w:rPr>
          <w:color w:val="000000"/>
          <w:rtl w:val="0"/>
        </w:rPr>
        <w:t xml:space="preserve"> solo categorías reales, con el Top N en el título y sin "Otros" ni "No especificado", para no distorsionar la lectura proporcional.</w:t>
      </w:r>
    </w:p>
    <w:p w:rsidR="00000000" w:rsidDel="00000000" w:rsidP="00000000" w:rsidRDefault="00000000" w:rsidRPr="00000000" w14:paraId="00000204">
      <w:pPr>
        <w:numPr>
          <w:ilvl w:val="0"/>
          <w:numId w:val="5"/>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b w:val="1"/>
          <w:bCs w:val="1"/>
          <w:color w:val="000000"/>
          <w:rtl w:val="0"/>
        </w:rPr>
        <w:t xml:space="preserve">Telefilms:</w:t>
      </w:r>
      <w:r w:rsidDel="00000000" w:rsidR="00000000" w:rsidRPr="00000000">
        <w:rPr>
          <w:color w:val="000000"/>
          <w:rtl w:val="0"/>
        </w:rPr>
        <w:t xml:space="preserve"> "TV Movie" es un formato y no un género, por lo que se marca con </w:t>
      </w:r>
      <w:r w:rsidDel="00000000" w:rsidR="00000000" w:rsidRPr="00000000">
        <w:rPr>
          <w:rFonts w:ascii="Consolas" w:cs="Consolas" w:eastAsia="Consolas" w:hAnsi="Consolas"/>
          <w:color w:val="000000"/>
          <w:sz w:val="22"/>
          <w:szCs w:val="22"/>
          <w:rtl w:val="0"/>
        </w:rPr>
        <w:t xml:space="preserve">es_telefilm</w:t>
      </w:r>
      <w:r w:rsidDel="00000000" w:rsidR="00000000" w:rsidRPr="00000000">
        <w:rPr>
          <w:color w:val="000000"/>
          <w:rtl w:val="0"/>
        </w:rPr>
        <w:t xml:space="preserve"> y se excluye de la dimensión de género.</w:t>
      </w:r>
    </w:p>
    <w:p w:rsidR="00000000" w:rsidDel="00000000" w:rsidP="00000000" w:rsidRDefault="00000000" w:rsidRPr="00000000" w14:paraId="00000205">
      <w:pPr>
        <w:numPr>
          <w:ilvl w:val="0"/>
          <w:numId w:val="5"/>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b w:val="1"/>
          <w:bCs w:val="1"/>
          <w:color w:val="000000"/>
          <w:rtl w:val="0"/>
        </w:rPr>
        <w:t xml:space="preserve">Marcas </w:t>
      </w:r>
      <w:r w:rsidDel="00000000" w:rsidR="00000000" w:rsidRPr="00000000">
        <w:rPr>
          <w:rFonts w:ascii="Consolas" w:cs="Consolas" w:eastAsia="Consolas" w:hAnsi="Consolas"/>
          <w:b w:val="1"/>
          <w:bCs w:val="1"/>
          <w:color w:val="000000"/>
          <w:sz w:val="22"/>
          <w:szCs w:val="22"/>
          <w:rtl w:val="0"/>
        </w:rPr>
        <w:t xml:space="preserve">es_drama</w:t>
      </w:r>
      <w:r w:rsidDel="00000000" w:rsidR="00000000" w:rsidRPr="00000000">
        <w:rPr>
          <w:b w:val="1"/>
          <w:bCs w:val="1"/>
          <w:color w:val="000000"/>
          <w:rtl w:val="0"/>
        </w:rPr>
        <w:t xml:space="preserve"> y </w:t>
      </w:r>
      <w:r w:rsidDel="00000000" w:rsidR="00000000" w:rsidRPr="00000000">
        <w:rPr>
          <w:rFonts w:ascii="Consolas" w:cs="Consolas" w:eastAsia="Consolas" w:hAnsi="Consolas"/>
          <w:b w:val="1"/>
          <w:bCs w:val="1"/>
          <w:color w:val="000000"/>
          <w:sz w:val="22"/>
          <w:szCs w:val="22"/>
          <w:rtl w:val="0"/>
        </w:rPr>
        <w:t xml:space="preserve">es_eeuu</w:t>
      </w:r>
      <w:r w:rsidDel="00000000" w:rsidR="00000000" w:rsidRPr="00000000">
        <w:rPr>
          <w:b w:val="1"/>
          <w:bCs w:val="1"/>
          <w:color w:val="000000"/>
          <w:rtl w:val="0"/>
        </w:rPr>
        <w:t xml:space="preserve">:</w:t>
      </w:r>
      <w:r w:rsidDel="00000000" w:rsidR="00000000" w:rsidRPr="00000000">
        <w:rPr>
          <w:color w:val="000000"/>
          <w:rtl w:val="0"/>
        </w:rPr>
        <w:t xml:space="preserve"> recuperan el valor real de los dos hallazgos centrales sin duplicar títulos.</w:t>
      </w:r>
    </w:p>
    <w:p w:rsidR="00000000" w:rsidDel="00000000" w:rsidP="00000000" w:rsidRDefault="00000000" w:rsidRPr="00000000" w14:paraId="00000206">
      <w:pPr>
        <w:pBdr>
          <w:top w:space="0" w:sz="0" w:val="nil"/>
          <w:left w:space="0" w:sz="0" w:val="nil"/>
          <w:bottom w:space="0" w:sz="0" w:val="nil"/>
          <w:right w:space="0" w:sz="0" w:val="nil"/>
          <w:between w:space="0" w:sz="0" w:val="nil"/>
        </w:pBdr>
        <w:spacing w:after="180" w:before="180" w:lineRule="auto"/>
        <w:rPr>
          <w:color w:val="000000"/>
        </w:rPr>
      </w:pPr>
      <w:r w:rsidDel="00000000" w:rsidR="00000000" w:rsidRPr="00000000">
        <w:rPr>
          <w:b w:val="1"/>
          <w:bCs w:val="1"/>
          <w:color w:val="000000"/>
          <w:rtl w:val="0"/>
        </w:rPr>
        <w:t xml:space="preserve">Oportunidades de mejora:</w:t>
      </w:r>
      <w:r w:rsidDel="00000000" w:rsidR="00000000" w:rsidRPr="00000000">
        <w:rPr>
          <w:rtl w:val="0"/>
        </w:rPr>
      </w:r>
    </w:p>
    <w:p w:rsidR="00000000" w:rsidDel="00000000" w:rsidP="00000000" w:rsidRDefault="00000000" w:rsidRPr="00000000" w14:paraId="00000207">
      <w:pPr>
        <w:numPr>
          <w:ilvl w:val="0"/>
          <w:numId w:val="5"/>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b w:val="1"/>
          <w:bCs w:val="1"/>
          <w:color w:val="000000"/>
          <w:rtl w:val="0"/>
        </w:rPr>
        <w:t xml:space="preserve">Completar los datos financieros:</w:t>
      </w:r>
      <w:r w:rsidDel="00000000" w:rsidR="00000000" w:rsidRPr="00000000">
        <w:rPr>
          <w:color w:val="000000"/>
          <w:rtl w:val="0"/>
        </w:rPr>
        <w:t xml:space="preserve"> integrar fuentes externas (por ejemplo IMDbPro) para ampliar la cobertura del 22,1 % de las películas y obtener ROI también para las series.</w:t>
      </w:r>
    </w:p>
    <w:p w:rsidR="00000000" w:rsidDel="00000000" w:rsidP="00000000" w:rsidRDefault="00000000" w:rsidRPr="00000000" w14:paraId="00000208">
      <w:pPr>
        <w:numPr>
          <w:ilvl w:val="0"/>
          <w:numId w:val="5"/>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b w:val="1"/>
          <w:bCs w:val="1"/>
          <w:color w:val="000000"/>
          <w:rtl w:val="0"/>
        </w:rPr>
        <w:t xml:space="preserve">Contar todas las apariciones sin duplicar:</w:t>
      </w:r>
      <w:r w:rsidDel="00000000" w:rsidR="00000000" w:rsidRPr="00000000">
        <w:rPr>
          <w:color w:val="000000"/>
          <w:rtl w:val="0"/>
        </w:rPr>
        <w:t xml:space="preserve"> modelar género, país y director como relaciones de muchos a muchos (por ejemplo, combinando la tabla larga con la de títulos en Looker) o validar si el primer elemento listado es realmente el dominante.</w:t>
      </w:r>
    </w:p>
    <w:p w:rsidR="00000000" w:rsidDel="00000000" w:rsidP="00000000" w:rsidRDefault="00000000" w:rsidRPr="00000000" w14:paraId="00000209">
      <w:pPr>
        <w:numPr>
          <w:ilvl w:val="0"/>
          <w:numId w:val="5"/>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b w:val="1"/>
          <w:bCs w:val="1"/>
          <w:color w:val="000000"/>
          <w:rtl w:val="0"/>
        </w:rPr>
        <w:t xml:space="preserve">Sumar datos de comportamiento:</w:t>
      </w:r>
      <w:r w:rsidDel="00000000" w:rsidR="00000000" w:rsidRPr="00000000">
        <w:rPr>
          <w:color w:val="000000"/>
          <w:rtl w:val="0"/>
        </w:rPr>
        <w:t xml:space="preserve"> reproducciones, suscripciones o abandono permitirían medir la retención de forma directa, y no solo la popularidad y la calificación.</w:t>
      </w:r>
    </w:p>
    <w:p w:rsidR="00000000" w:rsidDel="00000000" w:rsidP="00000000" w:rsidRDefault="00000000" w:rsidRPr="00000000" w14:paraId="0000020A">
      <w:pPr>
        <w:numPr>
          <w:ilvl w:val="0"/>
          <w:numId w:val="5"/>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b w:val="1"/>
          <w:bCs w:val="1"/>
          <w:color w:val="000000"/>
          <w:rtl w:val="0"/>
        </w:rPr>
        <w:t xml:space="preserve">Calificaciones más robustas:</w:t>
      </w:r>
      <w:r w:rsidDel="00000000" w:rsidR="00000000" w:rsidRPr="00000000">
        <w:rPr>
          <w:color w:val="000000"/>
          <w:rtl w:val="0"/>
        </w:rPr>
        <w:t xml:space="preserve"> ponderar la nota por número de votos y reevaluar los títulos de 2025 cuando acumulen votos.</w:t>
      </w:r>
    </w:p>
    <w:p w:rsidR="00000000" w:rsidDel="00000000" w:rsidP="00000000" w:rsidRDefault="00000000" w:rsidRPr="00000000" w14:paraId="0000020B">
      <w:pPr>
        <w:numPr>
          <w:ilvl w:val="0"/>
          <w:numId w:val="5"/>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b w:val="1"/>
          <w:bCs w:val="1"/>
          <w:color w:val="000000"/>
          <w:rtl w:val="0"/>
        </w:rPr>
        <w:t xml:space="preserve">ROI mediano por director:</w:t>
      </w:r>
      <w:r w:rsidDel="00000000" w:rsidR="00000000" w:rsidRPr="00000000">
        <w:rPr>
          <w:color w:val="000000"/>
          <w:rtl w:val="0"/>
        </w:rPr>
        <w:t xml:space="preserve"> incorporarlo al dashboard junto al ROI agregado, como ya se hace en el análisis exploratorio.</w:t>
      </w:r>
    </w:p>
    <w:p w:rsidR="00000000" w:rsidDel="00000000" w:rsidP="00000000" w:rsidRDefault="00000000" w:rsidRPr="00000000" w14:paraId="0000020C">
      <w:pPr>
        <w:numPr>
          <w:ilvl w:val="0"/>
          <w:numId w:val="5"/>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b w:val="1"/>
          <w:bCs w:val="1"/>
          <w:color w:val="000000"/>
          <w:rtl w:val="0"/>
        </w:rPr>
        <w:t xml:space="preserve">Actualización automática:</w:t>
      </w:r>
      <w:r w:rsidDel="00000000" w:rsidR="00000000" w:rsidRPr="00000000">
        <w:rPr>
          <w:color w:val="000000"/>
          <w:rtl w:val="0"/>
        </w:rPr>
        <w:t xml:space="preserve"> conectar el dashboard a una fuente que se actualice sola, en lugar de un archivo CSV estático.</w:t>
      </w:r>
    </w:p>
    <w:p w:rsidR="00000000" w:rsidDel="00000000" w:rsidP="00000000" w:rsidRDefault="00000000" w:rsidRPr="00000000" w14:paraId="0000020D">
      <w:pPr>
        <w:pStyle w:val="Heading2"/>
        <w:rPr/>
      </w:pPr>
      <w:r w:rsidDel="00000000" w:rsidR="00000000" w:rsidRPr="00000000">
        <w:rPr>
          <w:rtl w:val="0"/>
        </w:rPr>
      </w:r>
    </w:p>
    <w:p w:rsidR="00000000" w:rsidDel="00000000" w:rsidP="00000000" w:rsidRDefault="00000000" w:rsidRPr="00000000" w14:paraId="0000020E">
      <w:pPr>
        <w:rPr/>
      </w:pPr>
      <w:r w:rsidDel="00000000" w:rsidR="00000000" w:rsidRPr="00000000">
        <w:rPr>
          <w:rtl w:val="0"/>
        </w:rPr>
      </w:r>
    </w:p>
    <w:p w:rsidR="00000000" w:rsidDel="00000000" w:rsidP="00000000" w:rsidRDefault="00000000" w:rsidRPr="00000000" w14:paraId="0000020F">
      <w:pPr>
        <w:rPr/>
      </w:pPr>
      <w:r w:rsidDel="00000000" w:rsidR="00000000" w:rsidRPr="00000000">
        <w:rPr>
          <w:rtl w:val="0"/>
        </w:rPr>
      </w:r>
    </w:p>
    <w:p w:rsidR="00000000" w:rsidDel="00000000" w:rsidP="00000000" w:rsidRDefault="00000000" w:rsidRPr="00000000" w14:paraId="00000210">
      <w:pPr>
        <w:pStyle w:val="Heading2"/>
        <w:rPr/>
      </w:pPr>
      <w:bookmarkStart w:colFirst="0" w:colLast="0" w:name="_54ta7f1774ct" w:id="59"/>
      <w:bookmarkEnd w:id="59"/>
      <w:r w:rsidDel="00000000" w:rsidR="00000000" w:rsidRPr="00000000">
        <w:rPr>
          <w:rtl w:val="0"/>
        </w:rPr>
        <w:t xml:space="preserve">2.8 Conclusiones y recomendaciones</w:t>
      </w:r>
      <w:r w:rsidDel="00000000" w:rsidR="00000000" w:rsidRPr="00000000">
        <w:rPr>
          <w:rtl w:val="0"/>
        </w:rPr>
      </w:r>
    </w:p>
    <w:p w:rsidR="00000000" w:rsidDel="00000000" w:rsidP="00000000" w:rsidRDefault="00000000" w:rsidRPr="00000000" w14:paraId="00000211">
      <w:pPr>
        <w:pBdr>
          <w:top w:space="0" w:sz="0" w:val="nil"/>
          <w:left w:space="0" w:sz="0" w:val="nil"/>
          <w:bottom w:space="0" w:sz="0" w:val="nil"/>
          <w:right w:space="0" w:sz="0" w:val="nil"/>
          <w:between w:space="0" w:sz="0" w:val="nil"/>
        </w:pBdr>
        <w:spacing w:after="180" w:before="180" w:lineRule="auto"/>
        <w:rPr>
          <w:color w:val="000000"/>
        </w:rPr>
      </w:pPr>
      <w:r w:rsidDel="00000000" w:rsidR="00000000" w:rsidRPr="00000000">
        <w:rPr>
          <w:color w:val="000000"/>
          <w:rtl w:val="0"/>
        </w:rPr>
        <w:t xml:space="preserve">Para traducir estos hallazgos analíticos en impacto real, el equipo consultor eleva al directorio las siguientes recomendaciones:</w:t>
      </w:r>
    </w:p>
    <w:p w:rsidR="00000000" w:rsidDel="00000000" w:rsidP="00000000" w:rsidRDefault="00000000" w:rsidRPr="00000000" w14:paraId="00000212">
      <w:pPr>
        <w:numPr>
          <w:ilvl w:val="0"/>
          <w:numId w:val="5"/>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b w:val="1"/>
          <w:bCs w:val="1"/>
          <w:color w:val="000000"/>
          <w:rtl w:val="0"/>
        </w:rPr>
        <w:t xml:space="preserve">Conclusión 1:</w:t>
      </w:r>
      <w:r w:rsidDel="00000000" w:rsidR="00000000" w:rsidRPr="00000000">
        <w:rPr>
          <w:color w:val="000000"/>
          <w:rtl w:val="0"/>
        </w:rPr>
        <w:t xml:space="preserve"> El engagement y la calidad responden a necesidades diferentes de la audiencia. La estrategia de curación no puede apoyarse en una única métrica maestra.</w:t>
      </w:r>
    </w:p>
    <w:p w:rsidR="00000000" w:rsidDel="00000000" w:rsidP="00000000" w:rsidRDefault="00000000" w:rsidRPr="00000000" w14:paraId="00000213">
      <w:pPr>
        <w:numPr>
          <w:ilvl w:val="0"/>
          <w:numId w:val="5"/>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b w:val="1"/>
          <w:bCs w:val="1"/>
          <w:color w:val="000000"/>
          <w:rtl w:val="0"/>
        </w:rPr>
        <w:t xml:space="preserve">Recomendación Alta (Estrategia Bífida):</w:t>
      </w:r>
      <w:r w:rsidDel="00000000" w:rsidR="00000000" w:rsidRPr="00000000">
        <w:rPr>
          <w:color w:val="000000"/>
          <w:rtl w:val="0"/>
        </w:rPr>
        <w:t xml:space="preserve"> </w:t>
      </w:r>
      <w:r w:rsidDel="00000000" w:rsidR="00000000" w:rsidRPr="00000000">
        <w:rPr>
          <w:rtl w:val="0"/>
        </w:rPr>
        <w:t xml:space="preserve">Diversificar los presupuestos. Destinar “budget” de alto riesgo a películas de </w:t>
      </w:r>
      <w:r w:rsidDel="00000000" w:rsidR="00000000" w:rsidRPr="00000000">
        <w:rPr>
          <w:i w:val="1"/>
          <w:iCs w:val="1"/>
          <w:rtl w:val="0"/>
        </w:rPr>
        <w:t xml:space="preserve">Acción y Aventura</w:t>
      </w:r>
      <w:r w:rsidDel="00000000" w:rsidR="00000000" w:rsidRPr="00000000">
        <w:rPr>
          <w:rtl w:val="0"/>
        </w:rPr>
        <w:t xml:space="preserve"> o </w:t>
      </w:r>
      <w:r w:rsidDel="00000000" w:rsidR="00000000" w:rsidRPr="00000000">
        <w:rPr>
          <w:i w:val="1"/>
          <w:iCs w:val="1"/>
          <w:rtl w:val="0"/>
        </w:rPr>
        <w:t xml:space="preserve">Ciencia ficción y Fantasía</w:t>
      </w:r>
      <w:r w:rsidDel="00000000" w:rsidR="00000000" w:rsidRPr="00000000">
        <w:rPr>
          <w:rtl w:val="0"/>
        </w:rPr>
        <w:t xml:space="preserve">, géneros con el mayor engagement promedio por género principal (60,6 y 60,4; ver infografía), exclusivamente para impulsar la tracción de nuevos usuarios (Engagement), mientras se reserva inversión constante para </w:t>
      </w:r>
      <w:r w:rsidDel="00000000" w:rsidR="00000000" w:rsidRPr="00000000">
        <w:rPr>
          <w:i w:val="1"/>
          <w:iCs w:val="1"/>
          <w:rtl w:val="0"/>
        </w:rPr>
        <w:t xml:space="preserve">Documentales</w:t>
      </w:r>
      <w:r w:rsidDel="00000000" w:rsidR="00000000" w:rsidRPr="00000000">
        <w:rPr>
          <w:rtl w:val="0"/>
        </w:rPr>
        <w:t xml:space="preserve"> y </w:t>
      </w:r>
      <w:r w:rsidDel="00000000" w:rsidR="00000000" w:rsidRPr="00000000">
        <w:rPr>
          <w:i w:val="1"/>
          <w:iCs w:val="1"/>
          <w:rtl w:val="0"/>
        </w:rPr>
        <w:t xml:space="preserve">Animación</w:t>
      </w:r>
      <w:r w:rsidDel="00000000" w:rsidR="00000000" w:rsidRPr="00000000">
        <w:rPr>
          <w:rtl w:val="0"/>
        </w:rPr>
        <w:t xml:space="preserve"> (calificación promedio de 7,11 y 6,97, con 10 o más votos) a fin de blindar el prestigio de la plataforma y apoyar la retención del suscriptor a largo plazo. </w:t>
      </w:r>
      <w:r w:rsidDel="00000000" w:rsidR="00000000" w:rsidRPr="00000000">
        <w:rPr>
          <w:rtl w:val="0"/>
        </w:rPr>
      </w:r>
    </w:p>
    <w:p w:rsidR="00000000" w:rsidDel="00000000" w:rsidP="00000000" w:rsidRDefault="00000000" w:rsidRPr="00000000" w14:paraId="00000214">
      <w:pPr>
        <w:numPr>
          <w:ilvl w:val="0"/>
          <w:numId w:val="5"/>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b w:val="1"/>
          <w:bCs w:val="1"/>
          <w:color w:val="000000"/>
          <w:rtl w:val="0"/>
        </w:rPr>
        <w:t xml:space="preserve">Conclusión 2:</w:t>
      </w:r>
      <w:r w:rsidDel="00000000" w:rsidR="00000000" w:rsidRPr="00000000">
        <w:rPr>
          <w:color w:val="000000"/>
          <w:rtl w:val="0"/>
        </w:rPr>
        <w:t xml:space="preserve"> Los mercados angloparlantes saturan el catálogo, ocultando el excelente desempeño cualitativo de otras regiones.</w:t>
      </w:r>
    </w:p>
    <w:p w:rsidR="00000000" w:rsidDel="00000000" w:rsidP="00000000" w:rsidRDefault="00000000" w:rsidRPr="00000000" w14:paraId="00000215">
      <w:pPr>
        <w:numPr>
          <w:ilvl w:val="0"/>
          <w:numId w:val="5"/>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b w:val="1"/>
          <w:bCs w:val="1"/>
          <w:color w:val="000000"/>
          <w:rtl w:val="0"/>
        </w:rPr>
        <w:t xml:space="preserve">Recomendación Media (Diversificación Geográfica):</w:t>
      </w:r>
      <w:r w:rsidDel="00000000" w:rsidR="00000000" w:rsidRPr="00000000">
        <w:rPr>
          <w:color w:val="000000"/>
          <w:rtl w:val="0"/>
        </w:rPr>
        <w:t xml:space="preserve"> </w:t>
      </w:r>
      <w:r w:rsidDel="00000000" w:rsidR="00000000" w:rsidRPr="00000000">
        <w:rPr>
          <w:rtl w:val="0"/>
        </w:rPr>
        <w:t xml:space="preserve">Priorizar adquisiciones selectivas de contenido japonés, chino y coreano. Medidos por calificación promedio, solo con títulos de al menos 10 votos, por país principal y separando por tipo de contenido, estos mercados superan a EE. UU.: en películas (Japón 6,92, Corea 6,85, China 6,53 vs. EE. UU. 6,21) y en series (China 7,53, Japón 7,46, Corea 7,34 vs. EE. UU. 7,19). La comparación a nivel global mezcla tipos y debe leerse con cautela, dado que los mercados asiáticos concentran mayor proporción de series, que puntúan más en promedio. China (28 %) y Corea del Sur (51 %), además, tienen una proporción menor de títulos con votos suficientes que Japón (71 %), por lo que su ventaja debe leerse con cautela. (Nota: la tabla del dashboard mezcla películas y series, por lo que sus valores difieren; por ejemplo, con al menos 10 votos muestra Japón 7,24, Corea del Sur 7,12 y EE. UU. 6,46.) </w:t>
      </w:r>
      <w:r w:rsidDel="00000000" w:rsidR="00000000" w:rsidRPr="00000000">
        <w:rPr>
          <w:rtl w:val="0"/>
        </w:rPr>
      </w:r>
    </w:p>
    <w:p w:rsidR="00000000" w:rsidDel="00000000" w:rsidP="00000000" w:rsidRDefault="00000000" w:rsidRPr="00000000" w14:paraId="00000216">
      <w:pPr>
        <w:numPr>
          <w:ilvl w:val="0"/>
          <w:numId w:val="5"/>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b w:val="1"/>
          <w:bCs w:val="1"/>
          <w:color w:val="000000"/>
          <w:rtl w:val="0"/>
        </w:rPr>
        <w:t xml:space="preserve">Conclusión 3:</w:t>
      </w:r>
      <w:r w:rsidDel="00000000" w:rsidR="00000000" w:rsidRPr="00000000">
        <w:rPr>
          <w:color w:val="000000"/>
          <w:rtl w:val="0"/>
        </w:rPr>
        <w:t xml:space="preserve"> Las lagunas de recolección de datos amenazan la Inteligencia de Negocios futura.</w:t>
      </w:r>
    </w:p>
    <w:p w:rsidR="00000000" w:rsidDel="00000000" w:rsidP="00000000" w:rsidRDefault="00000000" w:rsidRPr="00000000" w14:paraId="00000217">
      <w:pPr>
        <w:numPr>
          <w:ilvl w:val="0"/>
          <w:numId w:val="5"/>
        </w:numPr>
        <w:pBdr>
          <w:top w:space="0" w:sz="0" w:val="nil"/>
          <w:left w:space="0" w:sz="0" w:val="nil"/>
          <w:bottom w:space="0" w:sz="0" w:val="nil"/>
          <w:right w:space="0" w:sz="0" w:val="nil"/>
          <w:between w:space="0" w:sz="0" w:val="nil"/>
        </w:pBdr>
        <w:spacing w:after="36" w:before="36" w:lineRule="auto"/>
        <w:ind w:left="720" w:hanging="480"/>
        <w:rPr>
          <w:color w:val="000000"/>
        </w:rPr>
      </w:pPr>
      <w:r w:rsidDel="00000000" w:rsidR="00000000" w:rsidRPr="00000000">
        <w:rPr>
          <w:b w:val="1"/>
          <w:bCs w:val="1"/>
          <w:color w:val="000000"/>
          <w:rtl w:val="0"/>
        </w:rPr>
        <w:t xml:space="preserve">Recomendación Urgente (Auditoría de Datos):</w:t>
      </w:r>
      <w:r w:rsidDel="00000000" w:rsidR="00000000" w:rsidRPr="00000000">
        <w:rPr>
          <w:color w:val="000000"/>
          <w:rtl w:val="0"/>
        </w:rPr>
        <w:t xml:space="preserve"> Intervenir inmediatamente el pipeline de captura de datos financieros. La imposibilidad de conocer presupuesto e ingresos simultáneamente para el 77,9 % de las películas (sin presupuesto solo: 69,7 %; en series: 100 %) inhabilita a la Dirección Ejecutiva de medir el éxito del grueso de su inversión, haciendo vital la integración urgente con herramientas de terceros (ej. IMDbPro) para enriquecer el repositorio histórico.</w:t>
      </w:r>
    </w:p>
    <w:p w:rsidR="00000000" w:rsidDel="00000000" w:rsidP="00000000" w:rsidRDefault="00000000" w:rsidRPr="00000000" w14:paraId="00000218">
      <w:pPr>
        <w:rPr/>
      </w:pPr>
      <w:r w:rsidDel="00000000" w:rsidR="00000000" w:rsidRPr="00000000">
        <w:br w:type="page"/>
      </w:r>
      <w:r w:rsidDel="00000000" w:rsidR="00000000" w:rsidRPr="00000000">
        <w:rPr>
          <w:rtl w:val="0"/>
        </w:rPr>
      </w:r>
    </w:p>
    <w:bookmarkStart w:colFirst="0" w:colLast="0" w:name="twfy9hqe7he5" w:id="60"/>
    <w:bookmarkEnd w:id="60"/>
    <w:p w:rsidR="00000000" w:rsidDel="00000000" w:rsidP="00000000" w:rsidRDefault="00000000" w:rsidRPr="00000000" w14:paraId="00000219">
      <w:pPr>
        <w:pStyle w:val="Heading1"/>
        <w:rPr/>
      </w:pPr>
      <w:bookmarkStart w:colFirst="0" w:colLast="0" w:name="_yqpjao3oe1i" w:id="61"/>
      <w:bookmarkEnd w:id="61"/>
      <w:r w:rsidDel="00000000" w:rsidR="00000000" w:rsidRPr="00000000">
        <w:rPr>
          <w:rtl w:val="0"/>
        </w:rPr>
        <w:t xml:space="preserve">Anexos</w:t>
      </w:r>
    </w:p>
    <w:bookmarkStart w:colFirst="0" w:colLast="0" w:name="z0zos15cv8aa" w:id="62"/>
    <w:bookmarkEnd w:id="62"/>
    <w:p w:rsidR="00000000" w:rsidDel="00000000" w:rsidP="00000000" w:rsidRDefault="00000000" w:rsidRPr="00000000" w14:paraId="0000021A">
      <w:pPr>
        <w:pStyle w:val="Heading2"/>
        <w:rPr/>
      </w:pPr>
      <w:bookmarkStart w:colFirst="0" w:colLast="0" w:name="_vvl9w17vqv8d" w:id="63"/>
      <w:bookmarkEnd w:id="63"/>
      <w:r w:rsidDel="00000000" w:rsidR="00000000" w:rsidRPr="00000000">
        <w:rPr>
          <w:rtl w:val="0"/>
        </w:rPr>
        <w:t xml:space="preserve">Anexo A — Estructura del repositorio (capítulo 1)</w:t>
      </w:r>
    </w:p>
    <w:p w:rsidR="00000000" w:rsidDel="00000000" w:rsidP="00000000" w:rsidRDefault="00000000" w:rsidRPr="00000000" w14:paraId="0000021B">
      <w:pPr>
        <w:pBdr>
          <w:top w:space="0" w:sz="0" w:val="nil"/>
          <w:left w:space="0" w:sz="0" w:val="nil"/>
          <w:bottom w:space="0" w:sz="0" w:val="nil"/>
          <w:right w:space="0" w:sz="0" w:val="nil"/>
          <w:between w:space="0" w:sz="0" w:val="nil"/>
        </w:pBdr>
        <w:rPr>
          <w:color w:val="000000"/>
        </w:rPr>
      </w:pPr>
      <w:r w:rsidDel="00000000" w:rsidR="00000000" w:rsidRPr="00000000">
        <w:rPr>
          <w:rFonts w:ascii="Consolas" w:cs="Consolas" w:eastAsia="Consolas" w:hAnsi="Consolas"/>
          <w:color w:val="000000"/>
          <w:sz w:val="22"/>
          <w:szCs w:val="22"/>
          <w:rtl w:val="0"/>
        </w:rPr>
        <w:t xml:space="preserve">EV1_visualizacion_datos/</w:t>
      </w:r>
      <w:r w:rsidDel="00000000" w:rsidR="00000000" w:rsidRPr="00000000">
        <w:rPr>
          <w:color w:val="000000"/>
          <w:rtl w:val="0"/>
        </w:rPr>
        <w:br w:type="textWrapping"/>
      </w:r>
      <w:r w:rsidDel="00000000" w:rsidR="00000000" w:rsidRPr="00000000">
        <w:rPr>
          <w:rFonts w:ascii="Consolas" w:cs="Consolas" w:eastAsia="Consolas" w:hAnsi="Consolas"/>
          <w:color w:val="000000"/>
          <w:sz w:val="22"/>
          <w:szCs w:val="22"/>
          <w:rtl w:val="0"/>
        </w:rPr>
        <w:t xml:space="preserve">├── data/</w:t>
      </w:r>
      <w:r w:rsidDel="00000000" w:rsidR="00000000" w:rsidRPr="00000000">
        <w:rPr>
          <w:color w:val="000000"/>
          <w:rtl w:val="0"/>
        </w:rPr>
        <w:br w:type="textWrapping"/>
      </w:r>
      <w:r w:rsidDel="00000000" w:rsidR="00000000" w:rsidRPr="00000000">
        <w:rPr>
          <w:rFonts w:ascii="Consolas" w:cs="Consolas" w:eastAsia="Consolas" w:hAnsi="Consolas"/>
          <w:color w:val="000000"/>
          <w:sz w:val="22"/>
          <w:szCs w:val="22"/>
          <w:rtl w:val="0"/>
        </w:rPr>
        <w:t xml:space="preserve">│   ├── raw/                          # Dataset original</w:t>
      </w:r>
      <w:r w:rsidDel="00000000" w:rsidR="00000000" w:rsidRPr="00000000">
        <w:rPr>
          <w:color w:val="000000"/>
          <w:rtl w:val="0"/>
        </w:rPr>
        <w:br w:type="textWrapping"/>
      </w:r>
      <w:r w:rsidDel="00000000" w:rsidR="00000000" w:rsidRPr="00000000">
        <w:rPr>
          <w:rFonts w:ascii="Consolas" w:cs="Consolas" w:eastAsia="Consolas" w:hAnsi="Consolas"/>
          <w:color w:val="000000"/>
          <w:sz w:val="22"/>
          <w:szCs w:val="22"/>
          <w:rtl w:val="0"/>
        </w:rPr>
        <w:t xml:space="preserve">│   └── processed/                    # Tablas exportadas para Looker Studio</w:t>
      </w:r>
      <w:r w:rsidDel="00000000" w:rsidR="00000000" w:rsidRPr="00000000">
        <w:rPr>
          <w:color w:val="000000"/>
          <w:rtl w:val="0"/>
        </w:rPr>
        <w:br w:type="textWrapping"/>
      </w:r>
      <w:r w:rsidDel="00000000" w:rsidR="00000000" w:rsidRPr="00000000">
        <w:rPr>
          <w:rFonts w:ascii="Consolas" w:cs="Consolas" w:eastAsia="Consolas" w:hAnsi="Consolas"/>
          <w:color w:val="000000"/>
          <w:sz w:val="22"/>
          <w:szCs w:val="22"/>
          <w:rtl w:val="0"/>
        </w:rPr>
        <w:t xml:space="preserve">│       ├── kpis_generales.csv        (KPIs + total_registros_base)</w:t>
      </w:r>
      <w:r w:rsidDel="00000000" w:rsidR="00000000" w:rsidRPr="00000000">
        <w:rPr>
          <w:color w:val="000000"/>
          <w:rtl w:val="0"/>
        </w:rPr>
        <w:br w:type="textWrapping"/>
      </w:r>
      <w:r w:rsidDel="00000000" w:rsidR="00000000" w:rsidRPr="00000000">
        <w:rPr>
          <w:rFonts w:ascii="Consolas" w:cs="Consolas" w:eastAsia="Consolas" w:hAnsi="Consolas"/>
          <w:color w:val="000000"/>
          <w:sz w:val="22"/>
          <w:szCs w:val="22"/>
          <w:rtl w:val="0"/>
        </w:rPr>
        <w:t xml:space="preserve">│       ├── agg_por_anio.csv          (incluye anio_fecha tipo Fecha para Looker)</w:t>
      </w:r>
      <w:r w:rsidDel="00000000" w:rsidR="00000000" w:rsidRPr="00000000">
        <w:rPr>
          <w:color w:val="000000"/>
          <w:rtl w:val="0"/>
        </w:rPr>
        <w:br w:type="textWrapping"/>
      </w:r>
      <w:r w:rsidDel="00000000" w:rsidR="00000000" w:rsidRPr="00000000">
        <w:rPr>
          <w:rFonts w:ascii="Consolas" w:cs="Consolas" w:eastAsia="Consolas" w:hAnsi="Consolas"/>
          <w:color w:val="000000"/>
          <w:sz w:val="22"/>
          <w:szCs w:val="22"/>
          <w:rtl w:val="0"/>
        </w:rPr>
        <w:t xml:space="preserve">│       ├── agg_por_genero.csv        (incluye columna densidad, ordenado por ella)</w:t>
      </w:r>
      <w:r w:rsidDel="00000000" w:rsidR="00000000" w:rsidRPr="00000000">
        <w:rPr>
          <w:color w:val="000000"/>
          <w:rtl w:val="0"/>
        </w:rPr>
        <w:br w:type="textWrapping"/>
      </w:r>
      <w:r w:rsidDel="00000000" w:rsidR="00000000" w:rsidRPr="00000000">
        <w:rPr>
          <w:rFonts w:ascii="Consolas" w:cs="Consolas" w:eastAsia="Consolas" w:hAnsi="Consolas"/>
          <w:color w:val="000000"/>
          <w:sz w:val="22"/>
          <w:szCs w:val="22"/>
          <w:rtl w:val="0"/>
        </w:rPr>
        <w:t xml:space="preserve">│       ├── agg_por_pais.csv</w:t>
      </w:r>
      <w:r w:rsidDel="00000000" w:rsidR="00000000" w:rsidRPr="00000000">
        <w:rPr>
          <w:color w:val="000000"/>
          <w:rtl w:val="0"/>
        </w:rPr>
        <w:br w:type="textWrapping"/>
      </w:r>
      <w:r w:rsidDel="00000000" w:rsidR="00000000" w:rsidRPr="00000000">
        <w:rPr>
          <w:rFonts w:ascii="Consolas" w:cs="Consolas" w:eastAsia="Consolas" w:hAnsi="Consolas"/>
          <w:color w:val="000000"/>
          <w:sz w:val="22"/>
          <w:szCs w:val="22"/>
          <w:rtl w:val="0"/>
        </w:rPr>
        <w:t xml:space="preserve">│       ├── agg_financiero.csv</w:t>
      </w:r>
      <w:r w:rsidDel="00000000" w:rsidR="00000000" w:rsidRPr="00000000">
        <w:rPr>
          <w:color w:val="000000"/>
          <w:rtl w:val="0"/>
        </w:rPr>
        <w:br w:type="textWrapping"/>
      </w:r>
      <w:r w:rsidDel="00000000" w:rsidR="00000000" w:rsidRPr="00000000">
        <w:rPr>
          <w:rFonts w:ascii="Consolas" w:cs="Consolas" w:eastAsia="Consolas" w:hAnsi="Consolas"/>
          <w:color w:val="000000"/>
          <w:sz w:val="22"/>
          <w:szCs w:val="22"/>
          <w:rtl w:val="0"/>
        </w:rPr>
        <w:t xml:space="preserve">│       ├── agg_por_director.csv      (ingresos totales + pct del repositorio)</w:t>
      </w:r>
      <w:r w:rsidDel="00000000" w:rsidR="00000000" w:rsidRPr="00000000">
        <w:rPr>
          <w:color w:val="000000"/>
          <w:rtl w:val="0"/>
        </w:rPr>
        <w:br w:type="textWrapping"/>
      </w:r>
      <w:r w:rsidDel="00000000" w:rsidR="00000000" w:rsidRPr="00000000">
        <w:rPr>
          <w:rFonts w:ascii="Consolas" w:cs="Consolas" w:eastAsia="Consolas" w:hAnsi="Consolas"/>
          <w:color w:val="000000"/>
          <w:sz w:val="22"/>
          <w:szCs w:val="22"/>
          <w:rtl w:val="0"/>
        </w:rPr>
        <w:t xml:space="preserve">│       ├── netflix_clean.csv         (dataset limpio completo, 1 fila por título)</w:t>
      </w:r>
      <w:r w:rsidDel="00000000" w:rsidR="00000000" w:rsidRPr="00000000">
        <w:rPr>
          <w:color w:val="000000"/>
          <w:rtl w:val="0"/>
        </w:rPr>
        <w:br w:type="textWrapping"/>
      </w:r>
      <w:r w:rsidDel="00000000" w:rsidR="00000000" w:rsidRPr="00000000">
        <w:rPr>
          <w:rFonts w:ascii="Consolas" w:cs="Consolas" w:eastAsia="Consolas" w:hAnsi="Consolas"/>
          <w:color w:val="000000"/>
          <w:sz w:val="22"/>
          <w:szCs w:val="22"/>
          <w:rtl w:val="0"/>
        </w:rPr>
        <w:t xml:space="preserve">│       ├── netflix_por_genero.csv    (formato largo: 1 fila por título x género)</w:t>
      </w:r>
      <w:r w:rsidDel="00000000" w:rsidR="00000000" w:rsidRPr="00000000">
        <w:rPr>
          <w:color w:val="000000"/>
          <w:rtl w:val="0"/>
        </w:rPr>
        <w:br w:type="textWrapping"/>
      </w:r>
      <w:r w:rsidDel="00000000" w:rsidR="00000000" w:rsidRPr="00000000">
        <w:rPr>
          <w:rFonts w:ascii="Consolas" w:cs="Consolas" w:eastAsia="Consolas" w:hAnsi="Consolas"/>
          <w:color w:val="000000"/>
          <w:sz w:val="22"/>
          <w:szCs w:val="22"/>
          <w:rtl w:val="0"/>
        </w:rPr>
        <w:t xml:space="preserve">│       └── netflix_por_pais.csv      (formato largo: 1 fila por título x país)</w:t>
      </w:r>
      <w:r w:rsidDel="00000000" w:rsidR="00000000" w:rsidRPr="00000000">
        <w:rPr>
          <w:color w:val="000000"/>
          <w:rtl w:val="0"/>
        </w:rPr>
        <w:br w:type="textWrapping"/>
      </w:r>
      <w:r w:rsidDel="00000000" w:rsidR="00000000" w:rsidRPr="00000000">
        <w:rPr>
          <w:rFonts w:ascii="Consolas" w:cs="Consolas" w:eastAsia="Consolas" w:hAnsi="Consolas"/>
          <w:color w:val="000000"/>
          <w:sz w:val="22"/>
          <w:szCs w:val="22"/>
          <w:rtl w:val="0"/>
        </w:rPr>
        <w:t xml:space="preserve">├── notebooks/</w:t>
      </w:r>
      <w:r w:rsidDel="00000000" w:rsidR="00000000" w:rsidRPr="00000000">
        <w:rPr>
          <w:color w:val="000000"/>
          <w:rtl w:val="0"/>
        </w:rPr>
        <w:br w:type="textWrapping"/>
      </w:r>
      <w:r w:rsidDel="00000000" w:rsidR="00000000" w:rsidRPr="00000000">
        <w:rPr>
          <w:rFonts w:ascii="Consolas" w:cs="Consolas" w:eastAsia="Consolas" w:hAnsi="Consolas"/>
          <w:color w:val="000000"/>
          <w:sz w:val="22"/>
          <w:szCs w:val="22"/>
          <w:rtl w:val="0"/>
        </w:rPr>
        <w:t xml:space="preserve">│   └── 01_limpieza_y_eda_streamview.ipynb</w:t>
      </w:r>
      <w:r w:rsidDel="00000000" w:rsidR="00000000" w:rsidRPr="00000000">
        <w:rPr>
          <w:color w:val="000000"/>
          <w:rtl w:val="0"/>
        </w:rPr>
        <w:br w:type="textWrapping"/>
      </w:r>
      <w:r w:rsidDel="00000000" w:rsidR="00000000" w:rsidRPr="00000000">
        <w:rPr>
          <w:rFonts w:ascii="Consolas" w:cs="Consolas" w:eastAsia="Consolas" w:hAnsi="Consolas"/>
          <w:color w:val="000000"/>
          <w:sz w:val="22"/>
          <w:szCs w:val="22"/>
          <w:rtl w:val="0"/>
        </w:rPr>
        <w:t xml:space="preserve">├── images/                           # 7 gráficos exportados en PNG</w:t>
      </w:r>
      <w:r w:rsidDel="00000000" w:rsidR="00000000" w:rsidRPr="00000000">
        <w:rPr>
          <w:color w:val="000000"/>
          <w:rtl w:val="0"/>
        </w:rPr>
        <w:br w:type="textWrapping"/>
      </w:r>
      <w:r w:rsidDel="00000000" w:rsidR="00000000" w:rsidRPr="00000000">
        <w:rPr>
          <w:rFonts w:ascii="Consolas" w:cs="Consolas" w:eastAsia="Consolas" w:hAnsi="Consolas"/>
          <w:color w:val="000000"/>
          <w:sz w:val="22"/>
          <w:szCs w:val="22"/>
          <w:rtl w:val="0"/>
        </w:rPr>
        <w:t xml:space="preserve">├── dashboard/                        # Capturas / enlace del dashboard en Looker Studio</w:t>
      </w:r>
      <w:r w:rsidDel="00000000" w:rsidR="00000000" w:rsidRPr="00000000">
        <w:rPr>
          <w:color w:val="000000"/>
          <w:rtl w:val="0"/>
        </w:rPr>
        <w:br w:type="textWrapping"/>
      </w:r>
      <w:r w:rsidDel="00000000" w:rsidR="00000000" w:rsidRPr="00000000">
        <w:rPr>
          <w:rFonts w:ascii="Consolas" w:cs="Consolas" w:eastAsia="Consolas" w:hAnsi="Consolas"/>
          <w:color w:val="000000"/>
          <w:sz w:val="22"/>
          <w:szCs w:val="22"/>
          <w:rtl w:val="0"/>
        </w:rPr>
        <w:t xml:space="preserve">├── informe_ejecutivo.md              # Este documento</w:t>
      </w:r>
      <w:r w:rsidDel="00000000" w:rsidR="00000000" w:rsidRPr="00000000">
        <w:rPr>
          <w:color w:val="000000"/>
          <w:rtl w:val="0"/>
        </w:rPr>
        <w:br w:type="textWrapping"/>
      </w:r>
      <w:r w:rsidDel="00000000" w:rsidR="00000000" w:rsidRPr="00000000">
        <w:rPr>
          <w:rFonts w:ascii="Consolas" w:cs="Consolas" w:eastAsia="Consolas" w:hAnsi="Consolas"/>
          <w:color w:val="000000"/>
          <w:sz w:val="22"/>
          <w:szCs w:val="22"/>
          <w:rtl w:val="0"/>
        </w:rPr>
        <w:t xml:space="preserve">├── hallazgos.md                      # Hallazgos clave con cifras verificadas</w:t>
      </w:r>
      <w:r w:rsidDel="00000000" w:rsidR="00000000" w:rsidRPr="00000000">
        <w:rPr>
          <w:color w:val="000000"/>
          <w:rtl w:val="0"/>
        </w:rPr>
        <w:br w:type="textWrapping"/>
      </w:r>
      <w:r w:rsidDel="00000000" w:rsidR="00000000" w:rsidRPr="00000000">
        <w:rPr>
          <w:rFonts w:ascii="Consolas" w:cs="Consolas" w:eastAsia="Consolas" w:hAnsi="Consolas"/>
          <w:color w:val="000000"/>
          <w:sz w:val="22"/>
          <w:szCs w:val="22"/>
          <w:rtl w:val="0"/>
        </w:rPr>
        <w:t xml:space="preserve">├── requirements.txt</w:t>
      </w:r>
      <w:r w:rsidDel="00000000" w:rsidR="00000000" w:rsidRPr="00000000">
        <w:rPr>
          <w:color w:val="000000"/>
          <w:rtl w:val="0"/>
        </w:rPr>
        <w:br w:type="textWrapping"/>
      </w:r>
      <w:r w:rsidDel="00000000" w:rsidR="00000000" w:rsidRPr="00000000">
        <w:rPr>
          <w:rFonts w:ascii="Consolas" w:cs="Consolas" w:eastAsia="Consolas" w:hAnsi="Consolas"/>
          <w:color w:val="000000"/>
          <w:sz w:val="22"/>
          <w:szCs w:val="22"/>
          <w:rtl w:val="0"/>
        </w:rPr>
        <w:t xml:space="preserve">└── README.md</w:t>
      </w:r>
      <w:r w:rsidDel="00000000" w:rsidR="00000000" w:rsidRPr="00000000">
        <w:rPr>
          <w:rtl w:val="0"/>
        </w:rPr>
      </w:r>
    </w:p>
    <w:bookmarkStart w:colFirst="0" w:colLast="0" w:name="qlymbrzb48fm" w:id="64"/>
    <w:bookmarkEnd w:id="64"/>
    <w:p w:rsidR="00000000" w:rsidDel="00000000" w:rsidP="00000000" w:rsidRDefault="00000000" w:rsidRPr="00000000" w14:paraId="0000021C">
      <w:pPr>
        <w:pStyle w:val="Heading2"/>
        <w:rPr/>
      </w:pPr>
      <w:bookmarkStart w:colFirst="0" w:colLast="0" w:name="_y65zn5c862mq" w:id="65"/>
      <w:bookmarkEnd w:id="65"/>
      <w:r w:rsidDel="00000000" w:rsidR="00000000" w:rsidRPr="00000000">
        <w:rPr>
          <w:rtl w:val="0"/>
        </w:rPr>
        <w:t xml:space="preserve">Anexo B — Glosario de Métricas (capítulo 1)</w:t>
      </w:r>
    </w:p>
    <w:tbl>
      <w:tblPr>
        <w:tblStyle w:val="Table16"/>
        <w:tblW w:w="9054.0" w:type="dxa"/>
        <w:jc w:val="left"/>
        <w:tblInd w:w="-108.0" w:type="dxa"/>
        <w:tblLayout w:type="fixed"/>
        <w:tblLook w:val="0020"/>
      </w:tblPr>
      <w:tblGrid>
        <w:gridCol w:w="3119"/>
        <w:gridCol w:w="5935"/>
        <w:tblGridChange w:id="0">
          <w:tblGrid>
            <w:gridCol w:w="3119"/>
            <w:gridCol w:w="5935"/>
          </w:tblGrid>
        </w:tblGridChange>
      </w:tblGrid>
      <w:tr>
        <w:trPr>
          <w:cantSplit w:val="0"/>
          <w:trHeight w:val="314.91992187499994" w:hRule="atLeast"/>
          <w:tblHeader w:val="1"/>
        </w:trPr>
        <w:tc>
          <w:tcPr/>
          <w:p w:rsidR="00000000" w:rsidDel="00000000" w:rsidP="00000000" w:rsidRDefault="00000000" w:rsidRPr="00000000" w14:paraId="0000021D">
            <w:pPr>
              <w:pBdr>
                <w:top w:space="0" w:sz="0" w:val="nil"/>
                <w:left w:space="0" w:sz="0" w:val="nil"/>
                <w:bottom w:space="0" w:sz="0" w:val="nil"/>
                <w:right w:space="0" w:sz="0" w:val="nil"/>
                <w:between w:space="0" w:sz="0" w:val="nil"/>
              </w:pBdr>
              <w:spacing w:after="36" w:before="36" w:lineRule="auto"/>
              <w:rPr>
                <w:b w:val="1"/>
                <w:bCs w:val="1"/>
                <w:color w:val="000000"/>
                <w:sz w:val="22"/>
                <w:szCs w:val="22"/>
              </w:rPr>
            </w:pPr>
            <w:r w:rsidDel="00000000" w:rsidR="00000000" w:rsidRPr="00000000">
              <w:rPr>
                <w:b w:val="1"/>
                <w:bCs w:val="1"/>
                <w:color w:val="000000"/>
                <w:sz w:val="22"/>
                <w:szCs w:val="22"/>
                <w:rtl w:val="0"/>
              </w:rPr>
              <w:t xml:space="preserve">Término</w:t>
            </w:r>
          </w:p>
        </w:tc>
        <w:tc>
          <w:tcPr/>
          <w:p w:rsidR="00000000" w:rsidDel="00000000" w:rsidP="00000000" w:rsidRDefault="00000000" w:rsidRPr="00000000" w14:paraId="0000021E">
            <w:pPr>
              <w:pBdr>
                <w:top w:space="0" w:sz="0" w:val="nil"/>
                <w:left w:space="0" w:sz="0" w:val="nil"/>
                <w:bottom w:space="0" w:sz="0" w:val="nil"/>
                <w:right w:space="0" w:sz="0" w:val="nil"/>
                <w:between w:space="0" w:sz="0" w:val="nil"/>
              </w:pBdr>
              <w:spacing w:after="36" w:before="36" w:lineRule="auto"/>
              <w:rPr>
                <w:b w:val="1"/>
                <w:bCs w:val="1"/>
                <w:color w:val="000000"/>
                <w:sz w:val="22"/>
                <w:szCs w:val="22"/>
              </w:rPr>
            </w:pPr>
            <w:r w:rsidDel="00000000" w:rsidR="00000000" w:rsidRPr="00000000">
              <w:rPr>
                <w:b w:val="1"/>
                <w:bCs w:val="1"/>
                <w:color w:val="000000"/>
                <w:sz w:val="22"/>
                <w:szCs w:val="22"/>
                <w:rtl w:val="0"/>
              </w:rPr>
              <w:t xml:space="preserve">Definición</w:t>
            </w:r>
          </w:p>
        </w:tc>
      </w:tr>
      <w:tr>
        <w:trPr>
          <w:cantSplit w:val="0"/>
          <w:tblHeader w:val="0"/>
        </w:trPr>
        <w:tc>
          <w:tcPr/>
          <w:p w:rsidR="00000000" w:rsidDel="00000000" w:rsidP="00000000" w:rsidRDefault="00000000" w:rsidRPr="00000000" w14:paraId="0000021F">
            <w:pPr>
              <w:pBdr>
                <w:top w:space="0" w:sz="0" w:val="nil"/>
                <w:left w:space="0" w:sz="0" w:val="nil"/>
                <w:bottom w:space="0" w:sz="0" w:val="nil"/>
                <w:right w:space="0" w:sz="0" w:val="nil"/>
                <w:between w:space="0" w:sz="0" w:val="nil"/>
              </w:pBdr>
              <w:spacing w:after="36" w:before="36" w:lineRule="auto"/>
              <w:rPr>
                <w:color w:val="000000"/>
                <w:sz w:val="22"/>
                <w:szCs w:val="22"/>
              </w:rPr>
            </w:pPr>
            <w:r w:rsidDel="00000000" w:rsidR="00000000" w:rsidRPr="00000000">
              <w:rPr>
                <w:rFonts w:ascii="Consolas" w:cs="Consolas" w:eastAsia="Consolas" w:hAnsi="Consolas"/>
                <w:color w:val="000000"/>
                <w:sz w:val="22"/>
                <w:szCs w:val="22"/>
                <w:rtl w:val="0"/>
              </w:rPr>
              <w:t xml:space="preserve">popularity</w:t>
            </w:r>
            <w:r w:rsidDel="00000000" w:rsidR="00000000" w:rsidRPr="00000000">
              <w:rPr>
                <w:rtl w:val="0"/>
              </w:rPr>
            </w:r>
          </w:p>
        </w:tc>
        <w:tc>
          <w:tcPr/>
          <w:p w:rsidR="00000000" w:rsidDel="00000000" w:rsidP="00000000" w:rsidRDefault="00000000" w:rsidRPr="00000000" w14:paraId="00000220">
            <w:pPr>
              <w:pBdr>
                <w:top w:space="0" w:sz="0" w:val="nil"/>
                <w:left w:space="0" w:sz="0" w:val="nil"/>
                <w:bottom w:space="0" w:sz="0" w:val="nil"/>
                <w:right w:space="0" w:sz="0" w:val="nil"/>
                <w:between w:space="0" w:sz="0" w:val="nil"/>
              </w:pBdr>
              <w:spacing w:after="36" w:before="36" w:lineRule="auto"/>
              <w:rPr>
                <w:color w:val="000000"/>
                <w:sz w:val="22"/>
                <w:szCs w:val="22"/>
              </w:rPr>
            </w:pPr>
            <w:r w:rsidDel="00000000" w:rsidR="00000000" w:rsidRPr="00000000">
              <w:rPr>
                <w:color w:val="000000"/>
                <w:sz w:val="22"/>
                <w:szCs w:val="22"/>
                <w:rtl w:val="0"/>
              </w:rPr>
              <w:t xml:space="preserve">Métrica de TMDb que refleja el nivel de actividad/interacción reciente de un título</w:t>
            </w:r>
          </w:p>
        </w:tc>
      </w:tr>
      <w:tr>
        <w:trPr>
          <w:cantSplit w:val="0"/>
          <w:tblHeader w:val="0"/>
        </w:trPr>
        <w:tc>
          <w:tcPr/>
          <w:p w:rsidR="00000000" w:rsidDel="00000000" w:rsidP="00000000" w:rsidRDefault="00000000" w:rsidRPr="00000000" w14:paraId="00000221">
            <w:pPr>
              <w:pBdr>
                <w:top w:space="0" w:sz="0" w:val="nil"/>
                <w:left w:space="0" w:sz="0" w:val="nil"/>
                <w:bottom w:space="0" w:sz="0" w:val="nil"/>
                <w:right w:space="0" w:sz="0" w:val="nil"/>
                <w:between w:space="0" w:sz="0" w:val="nil"/>
              </w:pBdr>
              <w:spacing w:after="36" w:before="36" w:lineRule="auto"/>
              <w:rPr>
                <w:color w:val="000000"/>
                <w:sz w:val="22"/>
                <w:szCs w:val="22"/>
              </w:rPr>
            </w:pPr>
            <w:r w:rsidDel="00000000" w:rsidR="00000000" w:rsidRPr="00000000">
              <w:rPr>
                <w:rFonts w:ascii="Consolas" w:cs="Consolas" w:eastAsia="Consolas" w:hAnsi="Consolas"/>
                <w:color w:val="000000"/>
                <w:sz w:val="22"/>
                <w:szCs w:val="22"/>
                <w:rtl w:val="0"/>
              </w:rPr>
              <w:t xml:space="preserve">vote_average</w:t>
            </w:r>
            <w:r w:rsidDel="00000000" w:rsidR="00000000" w:rsidRPr="00000000">
              <w:rPr>
                <w:rtl w:val="0"/>
              </w:rPr>
            </w:r>
          </w:p>
        </w:tc>
        <w:tc>
          <w:tcPr/>
          <w:p w:rsidR="00000000" w:rsidDel="00000000" w:rsidP="00000000" w:rsidRDefault="00000000" w:rsidRPr="00000000" w14:paraId="00000222">
            <w:pPr>
              <w:pBdr>
                <w:top w:space="0" w:sz="0" w:val="nil"/>
                <w:left w:space="0" w:sz="0" w:val="nil"/>
                <w:bottom w:space="0" w:sz="0" w:val="nil"/>
                <w:right w:space="0" w:sz="0" w:val="nil"/>
                <w:between w:space="0" w:sz="0" w:val="nil"/>
              </w:pBdr>
              <w:spacing w:after="36" w:before="36" w:lineRule="auto"/>
              <w:rPr>
                <w:color w:val="000000"/>
                <w:sz w:val="22"/>
                <w:szCs w:val="22"/>
              </w:rPr>
            </w:pPr>
            <w:r w:rsidDel="00000000" w:rsidR="00000000" w:rsidRPr="00000000">
              <w:rPr>
                <w:color w:val="000000"/>
                <w:sz w:val="22"/>
                <w:szCs w:val="22"/>
                <w:rtl w:val="0"/>
              </w:rPr>
              <w:t xml:space="preserve">Calificación promedio de usuarios en TMDb, escala 0–10</w:t>
            </w:r>
          </w:p>
        </w:tc>
      </w:tr>
      <w:tr>
        <w:trPr>
          <w:cantSplit w:val="0"/>
          <w:tblHeader w:val="0"/>
        </w:trPr>
        <w:tc>
          <w:tcPr/>
          <w:p w:rsidR="00000000" w:rsidDel="00000000" w:rsidP="00000000" w:rsidRDefault="00000000" w:rsidRPr="00000000" w14:paraId="00000223">
            <w:pPr>
              <w:pBdr>
                <w:top w:space="0" w:sz="0" w:val="nil"/>
                <w:left w:space="0" w:sz="0" w:val="nil"/>
                <w:bottom w:space="0" w:sz="0" w:val="nil"/>
                <w:right w:space="0" w:sz="0" w:val="nil"/>
                <w:between w:space="0" w:sz="0" w:val="nil"/>
              </w:pBdr>
              <w:spacing w:after="36" w:before="36" w:lineRule="auto"/>
              <w:rPr>
                <w:color w:val="000000"/>
                <w:sz w:val="22"/>
                <w:szCs w:val="22"/>
              </w:rPr>
            </w:pPr>
            <w:r w:rsidDel="00000000" w:rsidR="00000000" w:rsidRPr="00000000">
              <w:rPr>
                <w:rFonts w:ascii="Consolas" w:cs="Consolas" w:eastAsia="Consolas" w:hAnsi="Consolas"/>
                <w:color w:val="000000"/>
                <w:sz w:val="22"/>
                <w:szCs w:val="22"/>
                <w:rtl w:val="0"/>
              </w:rPr>
              <w:t xml:space="preserve">vote_count</w:t>
            </w:r>
            <w:r w:rsidDel="00000000" w:rsidR="00000000" w:rsidRPr="00000000">
              <w:rPr>
                <w:rtl w:val="0"/>
              </w:rPr>
            </w:r>
          </w:p>
        </w:tc>
        <w:tc>
          <w:tcPr/>
          <w:p w:rsidR="00000000" w:rsidDel="00000000" w:rsidP="00000000" w:rsidRDefault="00000000" w:rsidRPr="00000000" w14:paraId="00000224">
            <w:pPr>
              <w:pBdr>
                <w:top w:space="0" w:sz="0" w:val="nil"/>
                <w:left w:space="0" w:sz="0" w:val="nil"/>
                <w:bottom w:space="0" w:sz="0" w:val="nil"/>
                <w:right w:space="0" w:sz="0" w:val="nil"/>
                <w:between w:space="0" w:sz="0" w:val="nil"/>
              </w:pBdr>
              <w:spacing w:after="36" w:before="36" w:lineRule="auto"/>
              <w:rPr>
                <w:color w:val="000000"/>
                <w:sz w:val="22"/>
                <w:szCs w:val="22"/>
              </w:rPr>
            </w:pPr>
            <w:r w:rsidDel="00000000" w:rsidR="00000000" w:rsidRPr="00000000">
              <w:rPr>
                <w:color w:val="000000"/>
                <w:sz w:val="22"/>
                <w:szCs w:val="22"/>
                <w:rtl w:val="0"/>
              </w:rPr>
              <w:t xml:space="preserve">Cantidad de votos que sustenta el </w:t>
            </w:r>
            <w:r w:rsidDel="00000000" w:rsidR="00000000" w:rsidRPr="00000000">
              <w:rPr>
                <w:rFonts w:ascii="Consolas" w:cs="Consolas" w:eastAsia="Consolas" w:hAnsi="Consolas"/>
                <w:color w:val="000000"/>
                <w:sz w:val="22"/>
                <w:szCs w:val="22"/>
                <w:rtl w:val="0"/>
              </w:rPr>
              <w:t xml:space="preserve">vote_average</w:t>
            </w:r>
            <w:r w:rsidDel="00000000" w:rsidR="00000000" w:rsidRPr="00000000">
              <w:rPr>
                <w:rtl w:val="0"/>
              </w:rPr>
            </w:r>
          </w:p>
        </w:tc>
      </w:tr>
      <w:tr>
        <w:trPr>
          <w:cantSplit w:val="0"/>
          <w:tblHeader w:val="0"/>
        </w:trPr>
        <w:tc>
          <w:tcPr/>
          <w:p w:rsidR="00000000" w:rsidDel="00000000" w:rsidP="00000000" w:rsidRDefault="00000000" w:rsidRPr="00000000" w14:paraId="00000225">
            <w:pPr>
              <w:pBdr>
                <w:top w:space="0" w:sz="0" w:val="nil"/>
                <w:left w:space="0" w:sz="0" w:val="nil"/>
                <w:bottom w:space="0" w:sz="0" w:val="nil"/>
                <w:right w:space="0" w:sz="0" w:val="nil"/>
                <w:between w:space="0" w:sz="0" w:val="nil"/>
              </w:pBdr>
              <w:spacing w:after="36" w:before="36" w:lineRule="auto"/>
              <w:rPr>
                <w:color w:val="000000"/>
                <w:sz w:val="22"/>
                <w:szCs w:val="22"/>
              </w:rPr>
            </w:pPr>
            <w:r w:rsidDel="00000000" w:rsidR="00000000" w:rsidRPr="00000000">
              <w:rPr>
                <w:rFonts w:ascii="Consolas" w:cs="Consolas" w:eastAsia="Consolas" w:hAnsi="Consolas"/>
                <w:color w:val="000000"/>
                <w:sz w:val="22"/>
                <w:szCs w:val="22"/>
                <w:rtl w:val="0"/>
              </w:rPr>
              <w:t xml:space="preserve">budget_clean</w:t>
            </w:r>
            <w:r w:rsidDel="00000000" w:rsidR="00000000" w:rsidRPr="00000000">
              <w:rPr>
                <w:rtl w:val="0"/>
              </w:rPr>
            </w:r>
          </w:p>
        </w:tc>
        <w:tc>
          <w:tcPr/>
          <w:p w:rsidR="00000000" w:rsidDel="00000000" w:rsidP="00000000" w:rsidRDefault="00000000" w:rsidRPr="00000000" w14:paraId="00000226">
            <w:pPr>
              <w:pBdr>
                <w:top w:space="0" w:sz="0" w:val="nil"/>
                <w:left w:space="0" w:sz="0" w:val="nil"/>
                <w:bottom w:space="0" w:sz="0" w:val="nil"/>
                <w:right w:space="0" w:sz="0" w:val="nil"/>
                <w:between w:space="0" w:sz="0" w:val="nil"/>
              </w:pBdr>
              <w:spacing w:after="36" w:before="36" w:lineRule="auto"/>
              <w:rPr>
                <w:color w:val="000000"/>
                <w:sz w:val="22"/>
                <w:szCs w:val="22"/>
              </w:rPr>
            </w:pPr>
            <w:r w:rsidDel="00000000" w:rsidR="00000000" w:rsidRPr="00000000">
              <w:rPr>
                <w:color w:val="000000"/>
                <w:sz w:val="22"/>
                <w:szCs w:val="22"/>
                <w:rtl w:val="0"/>
              </w:rPr>
              <w:t xml:space="preserve">Presupuesto en USD; ceros reemplazados por NaN (dato no informado)</w:t>
            </w:r>
          </w:p>
        </w:tc>
      </w:tr>
      <w:tr>
        <w:trPr>
          <w:cantSplit w:val="0"/>
          <w:tblHeader w:val="0"/>
        </w:trPr>
        <w:tc>
          <w:tcPr/>
          <w:p w:rsidR="00000000" w:rsidDel="00000000" w:rsidP="00000000" w:rsidRDefault="00000000" w:rsidRPr="00000000" w14:paraId="00000227">
            <w:pPr>
              <w:pBdr>
                <w:top w:space="0" w:sz="0" w:val="nil"/>
                <w:left w:space="0" w:sz="0" w:val="nil"/>
                <w:bottom w:space="0" w:sz="0" w:val="nil"/>
                <w:right w:space="0" w:sz="0" w:val="nil"/>
                <w:between w:space="0" w:sz="0" w:val="nil"/>
              </w:pBdr>
              <w:spacing w:after="36" w:before="36" w:lineRule="auto"/>
              <w:rPr>
                <w:color w:val="000000"/>
                <w:sz w:val="22"/>
                <w:szCs w:val="22"/>
              </w:rPr>
            </w:pPr>
            <w:r w:rsidDel="00000000" w:rsidR="00000000" w:rsidRPr="00000000">
              <w:rPr>
                <w:rFonts w:ascii="Consolas" w:cs="Consolas" w:eastAsia="Consolas" w:hAnsi="Consolas"/>
                <w:color w:val="000000"/>
                <w:sz w:val="22"/>
                <w:szCs w:val="22"/>
                <w:rtl w:val="0"/>
              </w:rPr>
              <w:t xml:space="preserve">revenue_clean</w:t>
            </w:r>
            <w:r w:rsidDel="00000000" w:rsidR="00000000" w:rsidRPr="00000000">
              <w:rPr>
                <w:rtl w:val="0"/>
              </w:rPr>
            </w:r>
          </w:p>
        </w:tc>
        <w:tc>
          <w:tcPr/>
          <w:p w:rsidR="00000000" w:rsidDel="00000000" w:rsidP="00000000" w:rsidRDefault="00000000" w:rsidRPr="00000000" w14:paraId="00000228">
            <w:pPr>
              <w:pBdr>
                <w:top w:space="0" w:sz="0" w:val="nil"/>
                <w:left w:space="0" w:sz="0" w:val="nil"/>
                <w:bottom w:space="0" w:sz="0" w:val="nil"/>
                <w:right w:space="0" w:sz="0" w:val="nil"/>
                <w:between w:space="0" w:sz="0" w:val="nil"/>
              </w:pBdr>
              <w:spacing w:after="36" w:before="36" w:lineRule="auto"/>
              <w:rPr>
                <w:color w:val="000000"/>
                <w:sz w:val="22"/>
                <w:szCs w:val="22"/>
              </w:rPr>
            </w:pPr>
            <w:r w:rsidDel="00000000" w:rsidR="00000000" w:rsidRPr="00000000">
              <w:rPr>
                <w:color w:val="000000"/>
                <w:sz w:val="22"/>
                <w:szCs w:val="22"/>
                <w:rtl w:val="0"/>
              </w:rPr>
              <w:t xml:space="preserve">Ingresos en USD; ceros reemplazados por NaN</w:t>
            </w:r>
          </w:p>
        </w:tc>
      </w:tr>
      <w:tr>
        <w:trPr>
          <w:cantSplit w:val="0"/>
          <w:tblHeader w:val="0"/>
        </w:trPr>
        <w:tc>
          <w:tcPr/>
          <w:p w:rsidR="00000000" w:rsidDel="00000000" w:rsidP="00000000" w:rsidRDefault="00000000" w:rsidRPr="00000000" w14:paraId="00000229">
            <w:pPr>
              <w:pBdr>
                <w:top w:space="0" w:sz="0" w:val="nil"/>
                <w:left w:space="0" w:sz="0" w:val="nil"/>
                <w:bottom w:space="0" w:sz="0" w:val="nil"/>
                <w:right w:space="0" w:sz="0" w:val="nil"/>
                <w:between w:space="0" w:sz="0" w:val="nil"/>
              </w:pBdr>
              <w:spacing w:after="36" w:before="36" w:lineRule="auto"/>
              <w:rPr>
                <w:color w:val="000000"/>
                <w:sz w:val="22"/>
                <w:szCs w:val="22"/>
              </w:rPr>
            </w:pPr>
            <w:r w:rsidDel="00000000" w:rsidR="00000000" w:rsidRPr="00000000">
              <w:rPr>
                <w:rFonts w:ascii="Consolas" w:cs="Consolas" w:eastAsia="Consolas" w:hAnsi="Consolas"/>
                <w:color w:val="000000"/>
                <w:sz w:val="22"/>
                <w:szCs w:val="22"/>
                <w:rtl w:val="0"/>
              </w:rPr>
              <w:t xml:space="preserve">roi</w:t>
            </w:r>
            <w:r w:rsidDel="00000000" w:rsidR="00000000" w:rsidRPr="00000000">
              <w:rPr>
                <w:rtl w:val="0"/>
              </w:rPr>
            </w:r>
          </w:p>
        </w:tc>
        <w:tc>
          <w:tcPr/>
          <w:p w:rsidR="00000000" w:rsidDel="00000000" w:rsidP="00000000" w:rsidRDefault="00000000" w:rsidRPr="00000000" w14:paraId="0000022A">
            <w:pPr>
              <w:pBdr>
                <w:top w:space="0" w:sz="0" w:val="nil"/>
                <w:left w:space="0" w:sz="0" w:val="nil"/>
                <w:bottom w:space="0" w:sz="0" w:val="nil"/>
                <w:right w:space="0" w:sz="0" w:val="nil"/>
                <w:between w:space="0" w:sz="0" w:val="nil"/>
              </w:pBdr>
              <w:spacing w:after="36" w:before="36" w:lineRule="auto"/>
              <w:rPr>
                <w:color w:val="000000"/>
                <w:sz w:val="22"/>
                <w:szCs w:val="22"/>
              </w:rPr>
            </w:pPr>
            <w:r w:rsidDel="00000000" w:rsidR="00000000" w:rsidRPr="00000000">
              <w:rPr>
                <w:rFonts w:ascii="Consolas" w:cs="Consolas" w:eastAsia="Consolas" w:hAnsi="Consolas"/>
                <w:color w:val="000000"/>
                <w:sz w:val="22"/>
                <w:szCs w:val="22"/>
                <w:rtl w:val="0"/>
              </w:rPr>
              <w:t xml:space="preserve">revenue_clean / budget_clean</w:t>
            </w:r>
            <w:r w:rsidDel="00000000" w:rsidR="00000000" w:rsidRPr="00000000">
              <w:rPr>
                <w:color w:val="000000"/>
                <w:sz w:val="22"/>
                <w:szCs w:val="22"/>
                <w:rtl w:val="0"/>
              </w:rPr>
              <w:t xml:space="preserve">; solo para títulos con ambos valores &gt; 0</w:t>
            </w:r>
          </w:p>
        </w:tc>
      </w:tr>
      <w:tr>
        <w:trPr>
          <w:cantSplit w:val="0"/>
          <w:tblHeader w:val="0"/>
        </w:trPr>
        <w:tc>
          <w:tcPr/>
          <w:p w:rsidR="00000000" w:rsidDel="00000000" w:rsidP="00000000" w:rsidRDefault="00000000" w:rsidRPr="00000000" w14:paraId="0000022B">
            <w:pPr>
              <w:pBdr>
                <w:top w:space="0" w:sz="0" w:val="nil"/>
                <w:left w:space="0" w:sz="0" w:val="nil"/>
                <w:bottom w:space="0" w:sz="0" w:val="nil"/>
                <w:right w:space="0" w:sz="0" w:val="nil"/>
                <w:between w:space="0" w:sz="0" w:val="nil"/>
              </w:pBdr>
              <w:spacing w:after="36" w:before="36" w:lineRule="auto"/>
              <w:rPr>
                <w:color w:val="000000"/>
                <w:sz w:val="22"/>
                <w:szCs w:val="22"/>
              </w:rPr>
            </w:pPr>
            <w:r w:rsidDel="00000000" w:rsidR="00000000" w:rsidRPr="00000000">
              <w:rPr>
                <w:rFonts w:ascii="Consolas" w:cs="Consolas" w:eastAsia="Consolas" w:hAnsi="Consolas"/>
                <w:color w:val="000000"/>
                <w:sz w:val="22"/>
                <w:szCs w:val="22"/>
                <w:rtl w:val="0"/>
              </w:rPr>
              <w:t xml:space="preserve">anio_fecha</w:t>
            </w:r>
            <w:r w:rsidDel="00000000" w:rsidR="00000000" w:rsidRPr="00000000">
              <w:rPr>
                <w:rtl w:val="0"/>
              </w:rPr>
            </w:r>
          </w:p>
        </w:tc>
        <w:tc>
          <w:tcPr/>
          <w:p w:rsidR="00000000" w:rsidDel="00000000" w:rsidP="00000000" w:rsidRDefault="00000000" w:rsidRPr="00000000" w14:paraId="0000022C">
            <w:pPr>
              <w:pBdr>
                <w:top w:space="0" w:sz="0" w:val="nil"/>
                <w:left w:space="0" w:sz="0" w:val="nil"/>
                <w:bottom w:space="0" w:sz="0" w:val="nil"/>
                <w:right w:space="0" w:sz="0" w:val="nil"/>
                <w:between w:space="0" w:sz="0" w:val="nil"/>
              </w:pBdr>
              <w:spacing w:after="36" w:before="36" w:lineRule="auto"/>
              <w:rPr>
                <w:color w:val="000000"/>
                <w:sz w:val="22"/>
                <w:szCs w:val="22"/>
              </w:rPr>
            </w:pPr>
            <w:r w:rsidDel="00000000" w:rsidR="00000000" w:rsidRPr="00000000">
              <w:rPr>
                <w:color w:val="000000"/>
                <w:sz w:val="22"/>
                <w:szCs w:val="22"/>
                <w:rtl w:val="0"/>
              </w:rPr>
              <w:t xml:space="preserve">Fecha AAAAMMDD derivada de </w:t>
            </w:r>
            <w:r w:rsidDel="00000000" w:rsidR="00000000" w:rsidRPr="00000000">
              <w:rPr>
                <w:rFonts w:ascii="Consolas" w:cs="Consolas" w:eastAsia="Consolas" w:hAnsi="Consolas"/>
                <w:color w:val="000000"/>
                <w:sz w:val="22"/>
                <w:szCs w:val="22"/>
                <w:rtl w:val="0"/>
              </w:rPr>
              <w:t xml:space="preserve">release_year</w:t>
            </w:r>
            <w:r w:rsidDel="00000000" w:rsidR="00000000" w:rsidRPr="00000000">
              <w:rPr>
                <w:color w:val="000000"/>
                <w:sz w:val="22"/>
                <w:szCs w:val="22"/>
                <w:rtl w:val="0"/>
              </w:rPr>
              <w:t xml:space="preserve">; usada como dimensión Fecha en Looker Studio</w:t>
            </w:r>
          </w:p>
        </w:tc>
      </w:tr>
      <w:tr>
        <w:trPr>
          <w:cantSplit w:val="0"/>
          <w:tblHeader w:val="0"/>
        </w:trPr>
        <w:tc>
          <w:tcPr/>
          <w:p w:rsidR="00000000" w:rsidDel="00000000" w:rsidP="00000000" w:rsidRDefault="00000000" w:rsidRPr="00000000" w14:paraId="0000022D">
            <w:pPr>
              <w:pBdr>
                <w:top w:space="0" w:sz="0" w:val="nil"/>
                <w:left w:space="0" w:sz="0" w:val="nil"/>
                <w:bottom w:space="0" w:sz="0" w:val="nil"/>
                <w:right w:space="0" w:sz="0" w:val="nil"/>
                <w:between w:space="0" w:sz="0" w:val="nil"/>
              </w:pBdr>
              <w:spacing w:after="36" w:before="36" w:lineRule="auto"/>
              <w:rPr>
                <w:color w:val="000000"/>
                <w:sz w:val="22"/>
                <w:szCs w:val="22"/>
              </w:rPr>
            </w:pPr>
            <w:r w:rsidDel="00000000" w:rsidR="00000000" w:rsidRPr="00000000">
              <w:rPr>
                <w:rFonts w:ascii="Consolas" w:cs="Consolas" w:eastAsia="Consolas" w:hAnsi="Consolas"/>
                <w:color w:val="000000"/>
                <w:sz w:val="22"/>
                <w:szCs w:val="22"/>
                <w:rtl w:val="0"/>
              </w:rPr>
              <w:t xml:space="preserve">tiene_datos_financieros</w:t>
            </w:r>
            <w:r w:rsidDel="00000000" w:rsidR="00000000" w:rsidRPr="00000000">
              <w:rPr>
                <w:rtl w:val="0"/>
              </w:rPr>
            </w:r>
          </w:p>
        </w:tc>
        <w:tc>
          <w:tcPr/>
          <w:p w:rsidR="00000000" w:rsidDel="00000000" w:rsidP="00000000" w:rsidRDefault="00000000" w:rsidRPr="00000000" w14:paraId="0000022E">
            <w:pPr>
              <w:pBdr>
                <w:top w:space="0" w:sz="0" w:val="nil"/>
                <w:left w:space="0" w:sz="0" w:val="nil"/>
                <w:bottom w:space="0" w:sz="0" w:val="nil"/>
                <w:right w:space="0" w:sz="0" w:val="nil"/>
                <w:between w:space="0" w:sz="0" w:val="nil"/>
              </w:pBdr>
              <w:spacing w:after="36" w:before="36" w:lineRule="auto"/>
              <w:rPr>
                <w:color w:val="000000"/>
                <w:sz w:val="22"/>
                <w:szCs w:val="22"/>
              </w:rPr>
            </w:pPr>
            <w:r w:rsidDel="00000000" w:rsidR="00000000" w:rsidRPr="00000000">
              <w:rPr>
                <w:color w:val="000000"/>
                <w:sz w:val="22"/>
                <w:szCs w:val="22"/>
                <w:rtl w:val="0"/>
              </w:rPr>
              <w:t xml:space="preserve">Bandera booleana: verdadera solo si </w:t>
            </w:r>
            <w:r w:rsidDel="00000000" w:rsidR="00000000" w:rsidRPr="00000000">
              <w:rPr>
                <w:rFonts w:ascii="Consolas" w:cs="Consolas" w:eastAsia="Consolas" w:hAnsi="Consolas"/>
                <w:color w:val="000000"/>
                <w:sz w:val="22"/>
                <w:szCs w:val="22"/>
                <w:rtl w:val="0"/>
              </w:rPr>
              <w:t xml:space="preserve">budget</w:t>
            </w:r>
            <w:r w:rsidDel="00000000" w:rsidR="00000000" w:rsidRPr="00000000">
              <w:rPr>
                <w:color w:val="000000"/>
                <w:sz w:val="22"/>
                <w:szCs w:val="22"/>
                <w:rtl w:val="0"/>
              </w:rPr>
              <w:t xml:space="preserve"> y </w:t>
            </w:r>
            <w:r w:rsidDel="00000000" w:rsidR="00000000" w:rsidRPr="00000000">
              <w:rPr>
                <w:rFonts w:ascii="Consolas" w:cs="Consolas" w:eastAsia="Consolas" w:hAnsi="Consolas"/>
                <w:color w:val="000000"/>
                <w:sz w:val="22"/>
                <w:szCs w:val="22"/>
                <w:rtl w:val="0"/>
              </w:rPr>
              <w:t xml:space="preserve">revenue</w:t>
            </w:r>
            <w:r w:rsidDel="00000000" w:rsidR="00000000" w:rsidRPr="00000000">
              <w:rPr>
                <w:color w:val="000000"/>
                <w:sz w:val="22"/>
                <w:szCs w:val="22"/>
                <w:rtl w:val="0"/>
              </w:rPr>
              <w:t xml:space="preserve"> son ambos mayores a 0</w:t>
            </w:r>
          </w:p>
        </w:tc>
      </w:tr>
      <w:tr>
        <w:trPr>
          <w:cantSplit w:val="0"/>
          <w:tblHeader w:val="0"/>
        </w:trPr>
        <w:tc>
          <w:tcPr/>
          <w:p w:rsidR="00000000" w:rsidDel="00000000" w:rsidP="00000000" w:rsidRDefault="00000000" w:rsidRPr="00000000" w14:paraId="0000022F">
            <w:pPr>
              <w:pBdr>
                <w:top w:space="0" w:sz="0" w:val="nil"/>
                <w:left w:space="0" w:sz="0" w:val="nil"/>
                <w:bottom w:space="0" w:sz="0" w:val="nil"/>
                <w:right w:space="0" w:sz="0" w:val="nil"/>
                <w:between w:space="0" w:sz="0" w:val="nil"/>
              </w:pBdr>
              <w:spacing w:after="36" w:before="36" w:lineRule="auto"/>
              <w:rPr>
                <w:color w:val="000000"/>
                <w:sz w:val="22"/>
                <w:szCs w:val="22"/>
              </w:rPr>
            </w:pPr>
            <w:r w:rsidDel="00000000" w:rsidR="00000000" w:rsidRPr="00000000">
              <w:rPr>
                <w:rFonts w:ascii="Consolas" w:cs="Consolas" w:eastAsia="Consolas" w:hAnsi="Consolas"/>
                <w:color w:val="000000"/>
                <w:sz w:val="22"/>
                <w:szCs w:val="22"/>
                <w:rtl w:val="0"/>
              </w:rPr>
              <w:t xml:space="preserve">densidad</w:t>
            </w:r>
            <w:r w:rsidDel="00000000" w:rsidR="00000000" w:rsidRPr="00000000">
              <w:rPr>
                <w:rtl w:val="0"/>
              </w:rPr>
            </w:r>
          </w:p>
        </w:tc>
        <w:tc>
          <w:tcPr/>
          <w:p w:rsidR="00000000" w:rsidDel="00000000" w:rsidP="00000000" w:rsidRDefault="00000000" w:rsidRPr="00000000" w14:paraId="00000230">
            <w:pPr>
              <w:pBdr>
                <w:top w:space="0" w:sz="0" w:val="nil"/>
                <w:left w:space="0" w:sz="0" w:val="nil"/>
                <w:bottom w:space="0" w:sz="0" w:val="nil"/>
                <w:right w:space="0" w:sz="0" w:val="nil"/>
                <w:between w:space="0" w:sz="0" w:val="nil"/>
              </w:pBdr>
              <w:spacing w:after="36" w:before="36" w:lineRule="auto"/>
              <w:rPr>
                <w:color w:val="000000"/>
                <w:sz w:val="22"/>
                <w:szCs w:val="22"/>
              </w:rPr>
            </w:pPr>
            <w:r w:rsidDel="00000000" w:rsidR="00000000" w:rsidRPr="00000000">
              <w:rPr>
                <w:rFonts w:ascii="Consolas" w:cs="Consolas" w:eastAsia="Consolas" w:hAnsi="Consolas"/>
                <w:color w:val="000000"/>
                <w:sz w:val="22"/>
                <w:szCs w:val="22"/>
                <w:rtl w:val="0"/>
              </w:rPr>
              <w:t xml:space="preserve">calificacion_prom / popularidad_prom</w:t>
            </w:r>
            <w:r w:rsidDel="00000000" w:rsidR="00000000" w:rsidRPr="00000000">
              <w:rPr>
                <w:color w:val="000000"/>
                <w:sz w:val="22"/>
                <w:szCs w:val="22"/>
                <w:rtl w:val="0"/>
              </w:rPr>
              <w:t xml:space="preserve"> por categoría (género, director); valor alto = buena calificación sin depender de mucha popularidad</w:t>
            </w:r>
          </w:p>
        </w:tc>
      </w:tr>
      <w:tr>
        <w:trPr>
          <w:cantSplit w:val="0"/>
          <w:tblHeader w:val="0"/>
        </w:trPr>
        <w:tc>
          <w:tcPr/>
          <w:p w:rsidR="00000000" w:rsidDel="00000000" w:rsidP="00000000" w:rsidRDefault="00000000" w:rsidRPr="00000000" w14:paraId="00000231">
            <w:pPr>
              <w:pBdr>
                <w:top w:space="0" w:sz="0" w:val="nil"/>
                <w:left w:space="0" w:sz="0" w:val="nil"/>
                <w:bottom w:space="0" w:sz="0" w:val="nil"/>
                <w:right w:space="0" w:sz="0" w:val="nil"/>
                <w:between w:space="0" w:sz="0" w:val="nil"/>
              </w:pBdr>
              <w:spacing w:after="36" w:before="36" w:lineRule="auto"/>
              <w:rPr>
                <w:color w:val="000000"/>
                <w:sz w:val="22"/>
                <w:szCs w:val="22"/>
              </w:rPr>
            </w:pPr>
            <w:r w:rsidDel="00000000" w:rsidR="00000000" w:rsidRPr="00000000">
              <w:rPr>
                <w:rFonts w:ascii="Consolas" w:cs="Consolas" w:eastAsia="Consolas" w:hAnsi="Consolas"/>
                <w:color w:val="000000"/>
                <w:sz w:val="22"/>
                <w:szCs w:val="22"/>
                <w:rtl w:val="0"/>
              </w:rPr>
              <w:t xml:space="preserve">total_registros_base</w:t>
            </w:r>
            <w:r w:rsidDel="00000000" w:rsidR="00000000" w:rsidRPr="00000000">
              <w:rPr>
                <w:rtl w:val="0"/>
              </w:rPr>
            </w:r>
          </w:p>
        </w:tc>
        <w:tc>
          <w:tcPr/>
          <w:p w:rsidR="00000000" w:rsidDel="00000000" w:rsidP="00000000" w:rsidRDefault="00000000" w:rsidRPr="00000000" w14:paraId="00000232">
            <w:pPr>
              <w:pBdr>
                <w:top w:space="0" w:sz="0" w:val="nil"/>
                <w:left w:space="0" w:sz="0" w:val="nil"/>
                <w:bottom w:space="0" w:sz="0" w:val="nil"/>
                <w:right w:space="0" w:sz="0" w:val="nil"/>
                <w:between w:space="0" w:sz="0" w:val="nil"/>
              </w:pBdr>
              <w:spacing w:after="36" w:before="36" w:lineRule="auto"/>
              <w:rPr>
                <w:color w:val="000000"/>
                <w:sz w:val="22"/>
                <w:szCs w:val="22"/>
              </w:rPr>
            </w:pPr>
            <w:r w:rsidDel="00000000" w:rsidR="00000000" w:rsidRPr="00000000">
              <w:rPr>
                <w:color w:val="000000"/>
                <w:sz w:val="22"/>
                <w:szCs w:val="22"/>
                <w:rtl w:val="0"/>
              </w:rPr>
              <w:t xml:space="preserve">Denominador fijo (16.000, total de títulos del dataset) usado para cualquier cálculo de porcentaje de cobertura</w:t>
            </w:r>
          </w:p>
        </w:tc>
      </w:tr>
      <w:tr>
        <w:trPr>
          <w:cantSplit w:val="0"/>
          <w:tblHeader w:val="0"/>
        </w:trPr>
        <w:tc>
          <w:tcPr/>
          <w:p w:rsidR="00000000" w:rsidDel="00000000" w:rsidP="00000000" w:rsidRDefault="00000000" w:rsidRPr="00000000" w14:paraId="00000233">
            <w:pPr>
              <w:pBdr>
                <w:top w:space="0" w:sz="0" w:val="nil"/>
                <w:left w:space="0" w:sz="0" w:val="nil"/>
                <w:bottom w:space="0" w:sz="0" w:val="nil"/>
                <w:right w:space="0" w:sz="0" w:val="nil"/>
                <w:between w:space="0" w:sz="0" w:val="nil"/>
              </w:pBdr>
              <w:spacing w:after="36" w:before="36" w:lineRule="auto"/>
              <w:rPr>
                <w:color w:val="000000"/>
                <w:sz w:val="22"/>
                <w:szCs w:val="22"/>
              </w:rPr>
            </w:pPr>
            <w:r w:rsidDel="00000000" w:rsidR="00000000" w:rsidRPr="00000000">
              <w:rPr>
                <w:rFonts w:ascii="Consolas" w:cs="Consolas" w:eastAsia="Consolas" w:hAnsi="Consolas"/>
                <w:color w:val="000000"/>
                <w:sz w:val="22"/>
                <w:szCs w:val="22"/>
                <w:rtl w:val="0"/>
              </w:rPr>
              <w:t xml:space="preserve">ingresos_total</w:t>
            </w:r>
            <w:r w:rsidDel="00000000" w:rsidR="00000000" w:rsidRPr="00000000">
              <w:rPr>
                <w:rtl w:val="0"/>
              </w:rPr>
            </w:r>
          </w:p>
        </w:tc>
        <w:tc>
          <w:tcPr/>
          <w:p w:rsidR="00000000" w:rsidDel="00000000" w:rsidP="00000000" w:rsidRDefault="00000000" w:rsidRPr="00000000" w14:paraId="00000234">
            <w:pPr>
              <w:pBdr>
                <w:top w:space="0" w:sz="0" w:val="nil"/>
                <w:left w:space="0" w:sz="0" w:val="nil"/>
                <w:bottom w:space="0" w:sz="0" w:val="nil"/>
                <w:right w:space="0" w:sz="0" w:val="nil"/>
                <w:between w:space="0" w:sz="0" w:val="nil"/>
              </w:pBdr>
              <w:spacing w:after="36" w:before="36" w:lineRule="auto"/>
              <w:rPr>
                <w:color w:val="000000"/>
                <w:sz w:val="22"/>
                <w:szCs w:val="22"/>
              </w:rPr>
            </w:pPr>
            <w:r w:rsidDel="00000000" w:rsidR="00000000" w:rsidRPr="00000000">
              <w:rPr>
                <w:color w:val="000000"/>
                <w:sz w:val="22"/>
                <w:szCs w:val="22"/>
                <w:rtl w:val="0"/>
              </w:rPr>
              <w:t xml:space="preserve">Suma de </w:t>
            </w:r>
            <w:r w:rsidDel="00000000" w:rsidR="00000000" w:rsidRPr="00000000">
              <w:rPr>
                <w:rFonts w:ascii="Consolas" w:cs="Consolas" w:eastAsia="Consolas" w:hAnsi="Consolas"/>
                <w:color w:val="000000"/>
                <w:sz w:val="22"/>
                <w:szCs w:val="22"/>
                <w:rtl w:val="0"/>
              </w:rPr>
              <w:t xml:space="preserve">revenue_clean</w:t>
            </w:r>
            <w:r w:rsidDel="00000000" w:rsidR="00000000" w:rsidRPr="00000000">
              <w:rPr>
                <w:color w:val="000000"/>
                <w:sz w:val="22"/>
                <w:szCs w:val="22"/>
                <w:rtl w:val="0"/>
              </w:rPr>
              <w:t xml:space="preserve"> por director (no promedio); usada para rankear quién genera más ingresos</w:t>
            </w:r>
          </w:p>
        </w:tc>
      </w:tr>
      <w:tr>
        <w:trPr>
          <w:cantSplit w:val="0"/>
          <w:tblHeader w:val="0"/>
        </w:trPr>
        <w:tc>
          <w:tcPr/>
          <w:p w:rsidR="00000000" w:rsidDel="00000000" w:rsidP="00000000" w:rsidRDefault="00000000" w:rsidRPr="00000000" w14:paraId="00000235">
            <w:pPr>
              <w:pBdr>
                <w:top w:space="0" w:sz="0" w:val="nil"/>
                <w:left w:space="0" w:sz="0" w:val="nil"/>
                <w:bottom w:space="0" w:sz="0" w:val="nil"/>
                <w:right w:space="0" w:sz="0" w:val="nil"/>
                <w:between w:space="0" w:sz="0" w:val="nil"/>
              </w:pBdr>
              <w:spacing w:after="36" w:before="36" w:lineRule="auto"/>
              <w:rPr>
                <w:color w:val="000000"/>
                <w:sz w:val="22"/>
                <w:szCs w:val="22"/>
              </w:rPr>
            </w:pPr>
            <w:r w:rsidDel="00000000" w:rsidR="00000000" w:rsidRPr="00000000">
              <w:rPr>
                <w:rFonts w:ascii="Consolas" w:cs="Consolas" w:eastAsia="Consolas" w:hAnsi="Consolas"/>
                <w:color w:val="000000"/>
                <w:sz w:val="22"/>
                <w:szCs w:val="22"/>
                <w:rtl w:val="0"/>
              </w:rPr>
              <w:t xml:space="preserve">pct_ingresos_repositorio</w:t>
            </w:r>
            <w:r w:rsidDel="00000000" w:rsidR="00000000" w:rsidRPr="00000000">
              <w:rPr>
                <w:rtl w:val="0"/>
              </w:rPr>
            </w:r>
          </w:p>
        </w:tc>
        <w:tc>
          <w:tcPr/>
          <w:p w:rsidR="00000000" w:rsidDel="00000000" w:rsidP="00000000" w:rsidRDefault="00000000" w:rsidRPr="00000000" w14:paraId="00000236">
            <w:pPr>
              <w:pBdr>
                <w:top w:space="0" w:sz="0" w:val="nil"/>
                <w:left w:space="0" w:sz="0" w:val="nil"/>
                <w:bottom w:space="0" w:sz="0" w:val="nil"/>
                <w:right w:space="0" w:sz="0" w:val="nil"/>
                <w:between w:space="0" w:sz="0" w:val="nil"/>
              </w:pBdr>
              <w:spacing w:after="36" w:before="36" w:lineRule="auto"/>
              <w:rPr>
                <w:color w:val="000000"/>
                <w:sz w:val="22"/>
                <w:szCs w:val="22"/>
              </w:rPr>
            </w:pPr>
            <w:r w:rsidDel="00000000" w:rsidR="00000000" w:rsidRPr="00000000">
              <w:rPr>
                <w:rFonts w:ascii="Consolas" w:cs="Consolas" w:eastAsia="Consolas" w:hAnsi="Consolas"/>
                <w:color w:val="000000"/>
                <w:sz w:val="22"/>
                <w:szCs w:val="22"/>
                <w:rtl w:val="0"/>
              </w:rPr>
              <w:t xml:space="preserve">ingresos_total</w:t>
            </w:r>
            <w:r w:rsidDel="00000000" w:rsidR="00000000" w:rsidRPr="00000000">
              <w:rPr>
                <w:color w:val="000000"/>
                <w:sz w:val="22"/>
                <w:szCs w:val="22"/>
                <w:rtl w:val="0"/>
              </w:rPr>
              <w:t xml:space="preserve"> del director dividido por la suma total de ingresos de todo el repositorio con datos financieros, x100</w:t>
            </w:r>
          </w:p>
        </w:tc>
      </w:tr>
    </w:tbl>
    <w:bookmarkStart w:colFirst="0" w:colLast="0" w:name="2uix8osl3lkb" w:id="66"/>
    <w:bookmarkEnd w:id="66"/>
    <w:p w:rsidR="00000000" w:rsidDel="00000000" w:rsidP="00000000" w:rsidRDefault="00000000" w:rsidRPr="00000000" w14:paraId="00000237">
      <w:pPr>
        <w:pStyle w:val="Heading2"/>
        <w:rPr>
          <w:sz w:val="22"/>
          <w:szCs w:val="22"/>
        </w:rPr>
      </w:pPr>
      <w:bookmarkStart w:colFirst="0" w:colLast="0" w:name="_1vujn24uffrv" w:id="67"/>
      <w:bookmarkEnd w:id="67"/>
      <w:r w:rsidDel="00000000" w:rsidR="00000000" w:rsidRPr="00000000">
        <w:rPr>
          <w:rtl w:val="0"/>
        </w:rPr>
        <w:t xml:space="preserve">Anexo C — Estructura del repositorio (capítulo 2) </w:t>
      </w:r>
      <w:r w:rsidDel="00000000" w:rsidR="00000000" w:rsidRPr="00000000">
        <w:rPr>
          <w:rtl w:val="0"/>
        </w:rPr>
      </w:r>
    </w:p>
    <w:p w:rsidR="00000000" w:rsidDel="00000000" w:rsidP="00000000" w:rsidRDefault="00000000" w:rsidRPr="00000000" w14:paraId="00000238">
      <w:pPr>
        <w:rPr>
          <w:sz w:val="22"/>
          <w:szCs w:val="22"/>
        </w:rPr>
      </w:pPr>
      <w:r w:rsidDel="00000000" w:rsidR="00000000" w:rsidRPr="00000000">
        <w:rPr>
          <w:sz w:val="22"/>
          <w:szCs w:val="22"/>
          <w:rtl w:val="0"/>
        </w:rPr>
        <w:t xml:space="preserve">├── data/</w:t>
      </w:r>
    </w:p>
    <w:p w:rsidR="00000000" w:rsidDel="00000000" w:rsidP="00000000" w:rsidRDefault="00000000" w:rsidRPr="00000000" w14:paraId="00000239">
      <w:pPr>
        <w:rPr>
          <w:sz w:val="22"/>
          <w:szCs w:val="22"/>
        </w:rPr>
      </w:pPr>
      <w:r w:rsidDel="00000000" w:rsidR="00000000" w:rsidRPr="00000000">
        <w:rPr>
          <w:sz w:val="22"/>
          <w:szCs w:val="22"/>
          <w:rtl w:val="0"/>
        </w:rPr>
        <w:t xml:space="preserve">│   ├── raw/</w:t>
      </w:r>
    </w:p>
    <w:p w:rsidR="00000000" w:rsidDel="00000000" w:rsidP="00000000" w:rsidRDefault="00000000" w:rsidRPr="00000000" w14:paraId="0000023A">
      <w:pPr>
        <w:rPr>
          <w:sz w:val="22"/>
          <w:szCs w:val="22"/>
        </w:rPr>
      </w:pPr>
      <w:r w:rsidDel="00000000" w:rsidR="00000000" w:rsidRPr="00000000">
        <w:rPr>
          <w:sz w:val="22"/>
          <w:szCs w:val="22"/>
          <w:rtl w:val="0"/>
        </w:rPr>
        <w:t xml:space="preserve">│   │   ├── netflix_movies_detailed_up_to_2025.csv      # Original (no modificar)</w:t>
      </w:r>
    </w:p>
    <w:p w:rsidR="00000000" w:rsidDel="00000000" w:rsidP="00000000" w:rsidRDefault="00000000" w:rsidRPr="00000000" w14:paraId="0000023B">
      <w:pPr>
        <w:rPr>
          <w:sz w:val="22"/>
          <w:szCs w:val="22"/>
        </w:rPr>
      </w:pPr>
      <w:r w:rsidDel="00000000" w:rsidR="00000000" w:rsidRPr="00000000">
        <w:rPr>
          <w:sz w:val="22"/>
          <w:szCs w:val="22"/>
          <w:rtl w:val="0"/>
        </w:rPr>
        <w:t xml:space="preserve">│   │   └── netflix_tv_shows_detailed_up_to_2025.csv    # Original (no modificar)</w:t>
      </w:r>
    </w:p>
    <w:p w:rsidR="00000000" w:rsidDel="00000000" w:rsidP="00000000" w:rsidRDefault="00000000" w:rsidRPr="00000000" w14:paraId="0000023C">
      <w:pPr>
        <w:rPr>
          <w:sz w:val="22"/>
          <w:szCs w:val="22"/>
        </w:rPr>
      </w:pPr>
      <w:r w:rsidDel="00000000" w:rsidR="00000000" w:rsidRPr="00000000">
        <w:rPr>
          <w:sz w:val="22"/>
          <w:szCs w:val="22"/>
          <w:rtl w:val="0"/>
        </w:rPr>
        <w:t xml:space="preserve">│   └── processed/</w:t>
      </w:r>
    </w:p>
    <w:p w:rsidR="00000000" w:rsidDel="00000000" w:rsidP="00000000" w:rsidRDefault="00000000" w:rsidRPr="00000000" w14:paraId="0000023D">
      <w:pPr>
        <w:rPr>
          <w:sz w:val="22"/>
          <w:szCs w:val="22"/>
        </w:rPr>
      </w:pPr>
      <w:r w:rsidDel="00000000" w:rsidR="00000000" w:rsidRPr="00000000">
        <w:rPr>
          <w:sz w:val="22"/>
          <w:szCs w:val="22"/>
          <w:rtl w:val="0"/>
        </w:rPr>
        <w:t xml:space="preserve">│       ├── contenido_unificado.csv     # 31.991 títulos (1 fila/título) [limpieza.py]</w:t>
      </w:r>
    </w:p>
    <w:p w:rsidR="00000000" w:rsidDel="00000000" w:rsidP="00000000" w:rsidRDefault="00000000" w:rsidRPr="00000000" w14:paraId="0000023E">
      <w:pPr>
        <w:rPr>
          <w:sz w:val="22"/>
          <w:szCs w:val="22"/>
        </w:rPr>
      </w:pPr>
      <w:r w:rsidDel="00000000" w:rsidR="00000000" w:rsidRPr="00000000">
        <w:rPr>
          <w:sz w:val="22"/>
          <w:szCs w:val="22"/>
          <w:rtl w:val="0"/>
        </w:rPr>
        <w:t xml:space="preserve">│       ├── contenido_por_genero.csv    # 1 fila por género [limpieza.py]</w:t>
      </w:r>
    </w:p>
    <w:p w:rsidR="00000000" w:rsidDel="00000000" w:rsidP="00000000" w:rsidRDefault="00000000" w:rsidRPr="00000000" w14:paraId="0000023F">
      <w:pPr>
        <w:rPr>
          <w:sz w:val="22"/>
          <w:szCs w:val="22"/>
        </w:rPr>
      </w:pPr>
      <w:r w:rsidDel="00000000" w:rsidR="00000000" w:rsidRPr="00000000">
        <w:rPr>
          <w:sz w:val="22"/>
          <w:szCs w:val="22"/>
          <w:rtl w:val="0"/>
        </w:rPr>
        <w:t xml:space="preserve">│       ├── contenido_por_pais.csv      # 1 fila por país [limpieza.py]</w:t>
      </w:r>
    </w:p>
    <w:p w:rsidR="00000000" w:rsidDel="00000000" w:rsidP="00000000" w:rsidRDefault="00000000" w:rsidRPr="00000000" w14:paraId="00000240">
      <w:pPr>
        <w:rPr>
          <w:sz w:val="22"/>
          <w:szCs w:val="22"/>
        </w:rPr>
      </w:pPr>
      <w:r w:rsidDel="00000000" w:rsidR="00000000" w:rsidRPr="00000000">
        <w:rPr>
          <w:sz w:val="22"/>
          <w:szCs w:val="22"/>
          <w:rtl w:val="0"/>
        </w:rPr>
        <w:t xml:space="preserve">│       ├── contenido_por_director.csv  # Métricas por director [limpieza.py]</w:t>
      </w:r>
    </w:p>
    <w:p w:rsidR="00000000" w:rsidDel="00000000" w:rsidP="00000000" w:rsidRDefault="00000000" w:rsidRPr="00000000" w14:paraId="00000241">
      <w:pPr>
        <w:rPr>
          <w:sz w:val="22"/>
          <w:szCs w:val="22"/>
        </w:rPr>
      </w:pPr>
      <w:r w:rsidDel="00000000" w:rsidR="00000000" w:rsidRPr="00000000">
        <w:rPr>
          <w:sz w:val="22"/>
          <w:szCs w:val="22"/>
          <w:rtl w:val="0"/>
        </w:rPr>
        <w:t xml:space="preserve">│       ├── mapa_generos.csv            # Mapeo de taxonomías [limpieza.py]</w:t>
      </w:r>
    </w:p>
    <w:p w:rsidR="00000000" w:rsidDel="00000000" w:rsidP="00000000" w:rsidRDefault="00000000" w:rsidRPr="00000000" w14:paraId="00000242">
      <w:pPr>
        <w:rPr>
          <w:sz w:val="22"/>
          <w:szCs w:val="22"/>
        </w:rPr>
      </w:pPr>
      <w:r w:rsidDel="00000000" w:rsidR="00000000" w:rsidRPr="00000000">
        <w:rPr>
          <w:sz w:val="22"/>
          <w:szCs w:val="22"/>
          <w:rtl w:val="0"/>
        </w:rPr>
        <w:t xml:space="preserve">│       ├── control_calidad.csv         # 17 controles de calidad [limpieza.py]</w:t>
      </w:r>
    </w:p>
    <w:p w:rsidR="00000000" w:rsidDel="00000000" w:rsidP="00000000" w:rsidRDefault="00000000" w:rsidRPr="00000000" w14:paraId="00000243">
      <w:pPr>
        <w:rPr>
          <w:sz w:val="22"/>
          <w:szCs w:val="22"/>
        </w:rPr>
      </w:pPr>
      <w:r w:rsidDel="00000000" w:rsidR="00000000" w:rsidRPr="00000000">
        <w:rPr>
          <w:sz w:val="22"/>
          <w:szCs w:val="22"/>
          <w:rtl w:val="0"/>
        </w:rPr>
        <w:t xml:space="preserve">│       ├── looker_contenido.csv        # Tabla principal Looker (22 cols) [kpis.py]</w:t>
      </w:r>
    </w:p>
    <w:p w:rsidR="00000000" w:rsidDel="00000000" w:rsidP="00000000" w:rsidRDefault="00000000" w:rsidRPr="00000000" w14:paraId="00000244">
      <w:pPr>
        <w:rPr>
          <w:sz w:val="22"/>
          <w:szCs w:val="22"/>
        </w:rPr>
      </w:pPr>
      <w:r w:rsidDel="00000000" w:rsidR="00000000" w:rsidRPr="00000000">
        <w:rPr>
          <w:sz w:val="22"/>
          <w:szCs w:val="22"/>
          <w:rtl w:val="0"/>
        </w:rPr>
        <w:t xml:space="preserve">│       ├── looker_genero.csv           # Verificación de cifras [kpis.py]</w:t>
      </w:r>
    </w:p>
    <w:p w:rsidR="00000000" w:rsidDel="00000000" w:rsidP="00000000" w:rsidRDefault="00000000" w:rsidRPr="00000000" w14:paraId="00000245">
      <w:pPr>
        <w:rPr>
          <w:sz w:val="22"/>
          <w:szCs w:val="22"/>
        </w:rPr>
      </w:pPr>
      <w:r w:rsidDel="00000000" w:rsidR="00000000" w:rsidRPr="00000000">
        <w:rPr>
          <w:sz w:val="22"/>
          <w:szCs w:val="22"/>
          <w:rtl w:val="0"/>
        </w:rPr>
        <w:t xml:space="preserve">│       ├── kpis_por_anio.csv           # KPIs por año [kpis.py]</w:t>
      </w:r>
    </w:p>
    <w:p w:rsidR="00000000" w:rsidDel="00000000" w:rsidP="00000000" w:rsidRDefault="00000000" w:rsidRPr="00000000" w14:paraId="00000246">
      <w:pPr>
        <w:rPr>
          <w:sz w:val="22"/>
          <w:szCs w:val="22"/>
        </w:rPr>
      </w:pPr>
      <w:r w:rsidDel="00000000" w:rsidR="00000000" w:rsidRPr="00000000">
        <w:rPr>
          <w:sz w:val="22"/>
          <w:szCs w:val="22"/>
          <w:rtl w:val="0"/>
        </w:rPr>
        <w:t xml:space="preserve">│       ├── kpis_por_genero.csv         # KPIs por género [kpis.py]</w:t>
      </w:r>
    </w:p>
    <w:p w:rsidR="00000000" w:rsidDel="00000000" w:rsidP="00000000" w:rsidRDefault="00000000" w:rsidRPr="00000000" w14:paraId="00000247">
      <w:pPr>
        <w:rPr>
          <w:sz w:val="22"/>
          <w:szCs w:val="22"/>
        </w:rPr>
      </w:pPr>
      <w:r w:rsidDel="00000000" w:rsidR="00000000" w:rsidRPr="00000000">
        <w:rPr>
          <w:sz w:val="22"/>
          <w:szCs w:val="22"/>
          <w:rtl w:val="0"/>
        </w:rPr>
        <w:t xml:space="preserve">│       ├── kpis_por_pais.csv           # KPIs por país [kpis.py]</w:t>
      </w:r>
    </w:p>
    <w:p w:rsidR="00000000" w:rsidDel="00000000" w:rsidP="00000000" w:rsidRDefault="00000000" w:rsidRPr="00000000" w14:paraId="00000248">
      <w:pPr>
        <w:rPr>
          <w:sz w:val="22"/>
          <w:szCs w:val="22"/>
        </w:rPr>
      </w:pPr>
      <w:r w:rsidDel="00000000" w:rsidR="00000000" w:rsidRPr="00000000">
        <w:rPr>
          <w:sz w:val="22"/>
          <w:szCs w:val="22"/>
          <w:rtl w:val="0"/>
        </w:rPr>
        <w:t xml:space="preserve">│       ├── kpis_resumen.csv            # Resumen global [kpis.py]</w:t>
      </w:r>
    </w:p>
    <w:p w:rsidR="00000000" w:rsidDel="00000000" w:rsidP="00000000" w:rsidRDefault="00000000" w:rsidRPr="00000000" w14:paraId="00000249">
      <w:pPr>
        <w:rPr>
          <w:sz w:val="22"/>
          <w:szCs w:val="22"/>
        </w:rPr>
      </w:pPr>
      <w:r w:rsidDel="00000000" w:rsidR="00000000" w:rsidRPr="00000000">
        <w:rPr>
          <w:sz w:val="22"/>
          <w:szCs w:val="22"/>
          <w:rtl w:val="0"/>
        </w:rPr>
        <w:t xml:space="preserve">│       ├── kpis_verificacion.csv       # Validación KPIs vs EDA [kpis.py]</w:t>
      </w:r>
    </w:p>
    <w:p w:rsidR="00000000" w:rsidDel="00000000" w:rsidP="00000000" w:rsidRDefault="00000000" w:rsidRPr="00000000" w14:paraId="0000024A">
      <w:pPr>
        <w:rPr>
          <w:sz w:val="22"/>
          <w:szCs w:val="22"/>
        </w:rPr>
      </w:pPr>
      <w:r w:rsidDel="00000000" w:rsidR="00000000" w:rsidRPr="00000000">
        <w:rPr>
          <w:sz w:val="22"/>
          <w:szCs w:val="22"/>
          <w:rtl w:val="0"/>
        </w:rPr>
        <w:t xml:space="preserve">│       ├── control_g4_vs_looker.csv    # Validación NB vs Looker G4 [NB02]</w:t>
      </w:r>
    </w:p>
    <w:p w:rsidR="00000000" w:rsidDel="00000000" w:rsidP="00000000" w:rsidRDefault="00000000" w:rsidRPr="00000000" w14:paraId="0000024B">
      <w:pPr>
        <w:rPr>
          <w:sz w:val="22"/>
          <w:szCs w:val="22"/>
        </w:rPr>
      </w:pPr>
      <w:r w:rsidDel="00000000" w:rsidR="00000000" w:rsidRPr="00000000">
        <w:rPr>
          <w:sz w:val="22"/>
          <w:szCs w:val="22"/>
          <w:rtl w:val="0"/>
        </w:rPr>
        <w:t xml:space="preserve">│       ├── control_g6_vs_looker.csv    # Validación NB vs Looker G6 [NB02]</w:t>
      </w:r>
    </w:p>
    <w:p w:rsidR="00000000" w:rsidDel="00000000" w:rsidP="00000000" w:rsidRDefault="00000000" w:rsidRPr="00000000" w14:paraId="0000024C">
      <w:pPr>
        <w:rPr>
          <w:sz w:val="22"/>
          <w:szCs w:val="22"/>
        </w:rPr>
      </w:pPr>
      <w:r w:rsidDel="00000000" w:rsidR="00000000" w:rsidRPr="00000000">
        <w:rPr>
          <w:sz w:val="22"/>
          <w:szCs w:val="22"/>
          <w:rtl w:val="0"/>
        </w:rPr>
        <w:t xml:space="preserve">│       ├── control_g8_vs_looker.csv    # Validación NB vs Looker G8 [NB02]</w:t>
      </w:r>
    </w:p>
    <w:p w:rsidR="00000000" w:rsidDel="00000000" w:rsidP="00000000" w:rsidRDefault="00000000" w:rsidRPr="00000000" w14:paraId="0000024D">
      <w:pPr>
        <w:rPr>
          <w:sz w:val="22"/>
          <w:szCs w:val="22"/>
        </w:rPr>
      </w:pPr>
      <w:r w:rsidDel="00000000" w:rsidR="00000000" w:rsidRPr="00000000">
        <w:rPr>
          <w:sz w:val="22"/>
          <w:szCs w:val="22"/>
          <w:rtl w:val="0"/>
        </w:rPr>
        <w:t xml:space="preserve">│       └── cifras_clave_eda.csv        # Cifras clave EDA [NB02]</w:t>
      </w:r>
    </w:p>
    <w:p w:rsidR="00000000" w:rsidDel="00000000" w:rsidP="00000000" w:rsidRDefault="00000000" w:rsidRPr="00000000" w14:paraId="0000024E">
      <w:pPr>
        <w:rPr>
          <w:sz w:val="22"/>
          <w:szCs w:val="22"/>
        </w:rPr>
      </w:pPr>
      <w:r w:rsidDel="00000000" w:rsidR="00000000" w:rsidRPr="00000000">
        <w:rPr>
          <w:sz w:val="22"/>
          <w:szCs w:val="22"/>
          <w:rtl w:val="0"/>
        </w:rPr>
        <w:t xml:space="preserve">├── notebooks/</w:t>
      </w:r>
    </w:p>
    <w:p w:rsidR="00000000" w:rsidDel="00000000" w:rsidP="00000000" w:rsidRDefault="00000000" w:rsidRPr="00000000" w14:paraId="0000024F">
      <w:pPr>
        <w:rPr>
          <w:sz w:val="22"/>
          <w:szCs w:val="22"/>
        </w:rPr>
      </w:pPr>
      <w:r w:rsidDel="00000000" w:rsidR="00000000" w:rsidRPr="00000000">
        <w:rPr>
          <w:sz w:val="22"/>
          <w:szCs w:val="22"/>
          <w:rtl w:val="0"/>
        </w:rPr>
        <w:t xml:space="preserve">│   ├── 01_integracion_y_limpieza.ipynb</w:t>
      </w:r>
    </w:p>
    <w:p w:rsidR="00000000" w:rsidDel="00000000" w:rsidP="00000000" w:rsidRDefault="00000000" w:rsidRPr="00000000" w14:paraId="00000250">
      <w:pPr>
        <w:rPr>
          <w:sz w:val="22"/>
          <w:szCs w:val="22"/>
        </w:rPr>
      </w:pPr>
      <w:r w:rsidDel="00000000" w:rsidR="00000000" w:rsidRPr="00000000">
        <w:rPr>
          <w:sz w:val="22"/>
          <w:szCs w:val="22"/>
          <w:rtl w:val="0"/>
        </w:rPr>
        <w:t xml:space="preserve">│   └── 02_eda_visualizaciones.ipynb</w:t>
      </w:r>
    </w:p>
    <w:p w:rsidR="00000000" w:rsidDel="00000000" w:rsidP="00000000" w:rsidRDefault="00000000" w:rsidRPr="00000000" w14:paraId="00000251">
      <w:pPr>
        <w:rPr>
          <w:sz w:val="22"/>
          <w:szCs w:val="22"/>
        </w:rPr>
      </w:pPr>
      <w:r w:rsidDel="00000000" w:rsidR="00000000" w:rsidRPr="00000000">
        <w:rPr>
          <w:sz w:val="22"/>
          <w:szCs w:val="22"/>
          <w:rtl w:val="0"/>
        </w:rPr>
        <w:t xml:space="preserve">├── src/</w:t>
      </w:r>
    </w:p>
    <w:p w:rsidR="00000000" w:rsidDel="00000000" w:rsidP="00000000" w:rsidRDefault="00000000" w:rsidRPr="00000000" w14:paraId="00000252">
      <w:pPr>
        <w:rPr>
          <w:sz w:val="22"/>
          <w:szCs w:val="22"/>
        </w:rPr>
      </w:pPr>
      <w:r w:rsidDel="00000000" w:rsidR="00000000" w:rsidRPr="00000000">
        <w:rPr>
          <w:sz w:val="22"/>
          <w:szCs w:val="22"/>
          <w:rtl w:val="0"/>
        </w:rPr>
        <w:t xml:space="preserve">│   ├── limpieza.py</w:t>
      </w:r>
    </w:p>
    <w:p w:rsidR="00000000" w:rsidDel="00000000" w:rsidP="00000000" w:rsidRDefault="00000000" w:rsidRPr="00000000" w14:paraId="00000253">
      <w:pPr>
        <w:rPr>
          <w:sz w:val="22"/>
          <w:szCs w:val="22"/>
        </w:rPr>
      </w:pPr>
      <w:r w:rsidDel="00000000" w:rsidR="00000000" w:rsidRPr="00000000">
        <w:rPr>
          <w:sz w:val="22"/>
          <w:szCs w:val="22"/>
          <w:rtl w:val="0"/>
        </w:rPr>
        <w:t xml:space="preserve">│   └── kpis.py</w:t>
      </w:r>
    </w:p>
    <w:p w:rsidR="00000000" w:rsidDel="00000000" w:rsidP="00000000" w:rsidRDefault="00000000" w:rsidRPr="00000000" w14:paraId="00000254">
      <w:pPr>
        <w:rPr>
          <w:sz w:val="22"/>
          <w:szCs w:val="22"/>
        </w:rPr>
      </w:pPr>
      <w:r w:rsidDel="00000000" w:rsidR="00000000" w:rsidRPr="00000000">
        <w:rPr>
          <w:sz w:val="22"/>
          <w:szCs w:val="22"/>
          <w:rtl w:val="0"/>
        </w:rPr>
        <w:t xml:space="preserve">├── images/                             # Gráficos G1–G8 (PNG)</w:t>
      </w:r>
    </w:p>
    <w:p w:rsidR="00000000" w:rsidDel="00000000" w:rsidP="00000000" w:rsidRDefault="00000000" w:rsidRPr="00000000" w14:paraId="00000255">
      <w:pPr>
        <w:rPr>
          <w:sz w:val="22"/>
          <w:szCs w:val="22"/>
        </w:rPr>
      </w:pPr>
      <w:r w:rsidDel="00000000" w:rsidR="00000000" w:rsidRPr="00000000">
        <w:rPr>
          <w:sz w:val="22"/>
          <w:szCs w:val="22"/>
          <w:rtl w:val="0"/>
        </w:rPr>
        <w:t xml:space="preserve">│   ├── g1_calidad_y_cobertura.png</w:t>
      </w:r>
    </w:p>
    <w:p w:rsidR="00000000" w:rsidDel="00000000" w:rsidP="00000000" w:rsidRDefault="00000000" w:rsidRPr="00000000" w14:paraId="00000256">
      <w:pPr>
        <w:rPr>
          <w:sz w:val="22"/>
          <w:szCs w:val="22"/>
        </w:rPr>
      </w:pPr>
      <w:r w:rsidDel="00000000" w:rsidR="00000000" w:rsidRPr="00000000">
        <w:rPr>
          <w:sz w:val="22"/>
          <w:szCs w:val="22"/>
          <w:rtl w:val="0"/>
        </w:rPr>
        <w:t xml:space="preserve">│   ├── g2_popularidad_boxplot_iqr.png</w:t>
      </w:r>
    </w:p>
    <w:p w:rsidR="00000000" w:rsidDel="00000000" w:rsidP="00000000" w:rsidRDefault="00000000" w:rsidRPr="00000000" w14:paraId="00000257">
      <w:pPr>
        <w:rPr>
          <w:sz w:val="22"/>
          <w:szCs w:val="22"/>
        </w:rPr>
      </w:pPr>
      <w:r w:rsidDel="00000000" w:rsidR="00000000" w:rsidRPr="00000000">
        <w:rPr>
          <w:sz w:val="22"/>
          <w:szCs w:val="22"/>
          <w:rtl w:val="0"/>
        </w:rPr>
        <w:t xml:space="preserve">│   ├── g3_engagement_calidad_genero.png</w:t>
      </w:r>
    </w:p>
    <w:p w:rsidR="00000000" w:rsidDel="00000000" w:rsidP="00000000" w:rsidRDefault="00000000" w:rsidRPr="00000000" w14:paraId="00000258">
      <w:pPr>
        <w:rPr>
          <w:sz w:val="22"/>
          <w:szCs w:val="22"/>
        </w:rPr>
      </w:pPr>
      <w:r w:rsidDel="00000000" w:rsidR="00000000" w:rsidRPr="00000000">
        <w:rPr>
          <w:sz w:val="22"/>
          <w:szCs w:val="22"/>
          <w:rtl w:val="0"/>
        </w:rPr>
        <w:t xml:space="preserve">│   ├── g4_volumen_por_genero.png</w:t>
      </w:r>
    </w:p>
    <w:p w:rsidR="00000000" w:rsidDel="00000000" w:rsidP="00000000" w:rsidRDefault="00000000" w:rsidRPr="00000000" w14:paraId="00000259">
      <w:pPr>
        <w:rPr>
          <w:sz w:val="22"/>
          <w:szCs w:val="22"/>
        </w:rPr>
      </w:pPr>
      <w:r w:rsidDel="00000000" w:rsidR="00000000" w:rsidRPr="00000000">
        <w:rPr>
          <w:sz w:val="22"/>
          <w:szCs w:val="22"/>
          <w:rtl w:val="0"/>
        </w:rPr>
        <w:t xml:space="preserve">│   ├── g5_evolucion_por_anio.png</w:t>
      </w:r>
    </w:p>
    <w:p w:rsidR="00000000" w:rsidDel="00000000" w:rsidP="00000000" w:rsidRDefault="00000000" w:rsidRPr="00000000" w14:paraId="0000025A">
      <w:pPr>
        <w:rPr>
          <w:sz w:val="22"/>
          <w:szCs w:val="22"/>
        </w:rPr>
      </w:pPr>
      <w:r w:rsidDel="00000000" w:rsidR="00000000" w:rsidRPr="00000000">
        <w:rPr>
          <w:sz w:val="22"/>
          <w:szCs w:val="22"/>
          <w:rtl w:val="0"/>
        </w:rPr>
        <w:t xml:space="preserve">│   ├── g6_paises.png</w:t>
      </w:r>
    </w:p>
    <w:p w:rsidR="00000000" w:rsidDel="00000000" w:rsidP="00000000" w:rsidRDefault="00000000" w:rsidRPr="00000000" w14:paraId="0000025B">
      <w:pPr>
        <w:rPr>
          <w:sz w:val="22"/>
          <w:szCs w:val="22"/>
        </w:rPr>
      </w:pPr>
      <w:r w:rsidDel="00000000" w:rsidR="00000000" w:rsidRPr="00000000">
        <w:rPr>
          <w:sz w:val="22"/>
          <w:szCs w:val="22"/>
          <w:rtl w:val="0"/>
        </w:rPr>
        <w:t xml:space="preserve">│   ├── g7_engagement_vs_calidad.png</w:t>
      </w:r>
    </w:p>
    <w:p w:rsidR="00000000" w:rsidDel="00000000" w:rsidP="00000000" w:rsidRDefault="00000000" w:rsidRPr="00000000" w14:paraId="0000025C">
      <w:pPr>
        <w:rPr>
          <w:sz w:val="22"/>
          <w:szCs w:val="22"/>
        </w:rPr>
      </w:pPr>
      <w:r w:rsidDel="00000000" w:rsidR="00000000" w:rsidRPr="00000000">
        <w:rPr>
          <w:sz w:val="22"/>
          <w:szCs w:val="22"/>
          <w:rtl w:val="0"/>
        </w:rPr>
        <w:t xml:space="preserve">│   └── g8_roi_por_director.png</w:t>
      </w:r>
    </w:p>
    <w:p w:rsidR="00000000" w:rsidDel="00000000" w:rsidP="00000000" w:rsidRDefault="00000000" w:rsidRPr="00000000" w14:paraId="0000025D">
      <w:pPr>
        <w:rPr>
          <w:sz w:val="22"/>
          <w:szCs w:val="22"/>
        </w:rPr>
      </w:pPr>
      <w:r w:rsidDel="00000000" w:rsidR="00000000" w:rsidRPr="00000000">
        <w:rPr>
          <w:sz w:val="22"/>
          <w:szCs w:val="22"/>
          <w:rtl w:val="0"/>
        </w:rPr>
        <w:t xml:space="preserve">├── dashboard/                          # Capturas y PDF (dashboard e infografía)</w:t>
      </w:r>
    </w:p>
    <w:p w:rsidR="00000000" w:rsidDel="00000000" w:rsidP="00000000" w:rsidRDefault="00000000" w:rsidRPr="00000000" w14:paraId="0000025E">
      <w:pPr>
        <w:rPr>
          <w:sz w:val="22"/>
          <w:szCs w:val="22"/>
        </w:rPr>
      </w:pPr>
      <w:r w:rsidDel="00000000" w:rsidR="00000000" w:rsidRPr="00000000">
        <w:rPr>
          <w:sz w:val="22"/>
          <w:szCs w:val="22"/>
          <w:rtl w:val="0"/>
        </w:rPr>
        <w:t xml:space="preserve">├── reports/                            # Informe ejecutivo</w:t>
      </w:r>
    </w:p>
    <w:p w:rsidR="00000000" w:rsidDel="00000000" w:rsidP="00000000" w:rsidRDefault="00000000" w:rsidRPr="00000000" w14:paraId="0000025F">
      <w:pPr>
        <w:rPr>
          <w:sz w:val="22"/>
          <w:szCs w:val="22"/>
        </w:rPr>
      </w:pPr>
      <w:r w:rsidDel="00000000" w:rsidR="00000000" w:rsidRPr="00000000">
        <w:rPr>
          <w:sz w:val="22"/>
          <w:szCs w:val="22"/>
          <w:rtl w:val="0"/>
        </w:rPr>
        <w:t xml:space="preserve">├── glosario.md</w:t>
      </w:r>
    </w:p>
    <w:p w:rsidR="00000000" w:rsidDel="00000000" w:rsidP="00000000" w:rsidRDefault="00000000" w:rsidRPr="00000000" w14:paraId="00000260">
      <w:pPr>
        <w:rPr>
          <w:sz w:val="22"/>
          <w:szCs w:val="22"/>
        </w:rPr>
      </w:pPr>
      <w:r w:rsidDel="00000000" w:rsidR="00000000" w:rsidRPr="00000000">
        <w:rPr>
          <w:sz w:val="22"/>
          <w:szCs w:val="22"/>
          <w:rtl w:val="0"/>
        </w:rPr>
        <w:t xml:space="preserve">├── README.md</w:t>
      </w:r>
    </w:p>
    <w:p w:rsidR="00000000" w:rsidDel="00000000" w:rsidP="00000000" w:rsidRDefault="00000000" w:rsidRPr="00000000" w14:paraId="00000261">
      <w:pPr>
        <w:rPr>
          <w:sz w:val="22"/>
          <w:szCs w:val="22"/>
        </w:rPr>
      </w:pPr>
      <w:r w:rsidDel="00000000" w:rsidR="00000000" w:rsidRPr="00000000">
        <w:rPr>
          <w:sz w:val="22"/>
          <w:szCs w:val="22"/>
          <w:rtl w:val="0"/>
        </w:rPr>
        <w:t xml:space="preserve">└── requirements.txt</w:t>
      </w:r>
    </w:p>
    <w:p w:rsidR="00000000" w:rsidDel="00000000" w:rsidP="00000000" w:rsidRDefault="00000000" w:rsidRPr="00000000" w14:paraId="00000262">
      <w:pPr>
        <w:pStyle w:val="Heading3"/>
        <w:rPr/>
      </w:pPr>
      <w:bookmarkStart w:colFirst="0" w:colLast="0" w:name="_5qv8frshe0b7" w:id="68"/>
      <w:bookmarkEnd w:id="68"/>
      <w:r w:rsidDel="00000000" w:rsidR="00000000" w:rsidRPr="00000000">
        <w:br w:type="page"/>
      </w:r>
      <w:r w:rsidDel="00000000" w:rsidR="00000000" w:rsidRPr="00000000">
        <w:rPr>
          <w:rtl w:val="0"/>
        </w:rPr>
      </w:r>
    </w:p>
    <w:bookmarkStart w:colFirst="0" w:colLast="0" w:name="ghy4w3lak5bi" w:id="69"/>
    <w:bookmarkEnd w:id="69"/>
    <w:p w:rsidR="00000000" w:rsidDel="00000000" w:rsidP="00000000" w:rsidRDefault="00000000" w:rsidRPr="00000000" w14:paraId="00000263">
      <w:pPr>
        <w:pStyle w:val="Heading2"/>
        <w:rPr/>
      </w:pPr>
      <w:bookmarkStart w:colFirst="0" w:colLast="0" w:name="_a8quxovkukjx" w:id="70"/>
      <w:bookmarkEnd w:id="70"/>
      <w:r w:rsidDel="00000000" w:rsidR="00000000" w:rsidRPr="00000000">
        <w:rPr>
          <w:rtl w:val="0"/>
        </w:rPr>
        <w:t xml:space="preserve">Anexo D — Glosario de variables y métricas (capítulo 2) </w:t>
      </w:r>
    </w:p>
    <w:tbl>
      <w:tblPr>
        <w:tblStyle w:val="Table17"/>
        <w:tblW w:w="9360.0" w:type="dxa"/>
        <w:jc w:val="left"/>
        <w:tblLayout w:type="fixed"/>
        <w:tblLook w:val="0600"/>
      </w:tblPr>
      <w:tblGrid>
        <w:gridCol w:w="2520"/>
        <w:gridCol w:w="6840"/>
        <w:tblGridChange w:id="0">
          <w:tblGrid>
            <w:gridCol w:w="2520"/>
            <w:gridCol w:w="6840"/>
          </w:tblGrid>
        </w:tblGridChange>
      </w:tblGrid>
      <w:tr>
        <w:trPr>
          <w:cantSplit w:val="0"/>
          <w:trHeight w:val="674.20166015625" w:hRule="atLeast"/>
          <w:tblHeader w:val="1"/>
        </w:trPr>
        <w:tc>
          <w:tcPr>
            <w:tcBorders>
              <w:top w:color="000000" w:space="0" w:sz="0" w:val="nil"/>
              <w:left w:color="000000" w:space="0" w:sz="0" w:val="nil"/>
              <w:bottom w:color="000000" w:space="0" w:sz="0" w:val="nil"/>
              <w:right w:color="000000" w:space="0" w:sz="0" w:val="nil"/>
            </w:tcBorders>
            <w:shd w:fill="auto" w:val="clear"/>
            <w:tcMar>
              <w:top w:w="120.0" w:type="dxa"/>
              <w:left w:w="0.0" w:type="dxa"/>
              <w:bottom w:w="120.0" w:type="dxa"/>
              <w:right w:w="240.0" w:type="dxa"/>
            </w:tcMar>
            <w:vAlign w:val="top"/>
          </w:tcPr>
          <w:p w:rsidR="00000000" w:rsidDel="00000000" w:rsidP="00000000" w:rsidRDefault="00000000" w:rsidRPr="00000000" w14:paraId="00000264">
            <w:pPr>
              <w:widowControl w:val="0"/>
              <w:spacing w:after="120" w:before="120" w:line="30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Término</w:t>
            </w:r>
          </w:p>
        </w:tc>
        <w:tc>
          <w:tcPr>
            <w:tcBorders>
              <w:top w:color="000000" w:space="0" w:sz="0" w:val="nil"/>
              <w:left w:color="000000" w:space="0" w:sz="0" w:val="nil"/>
              <w:bottom w:color="000000" w:space="0" w:sz="0" w:val="nil"/>
              <w:right w:color="000000" w:space="0" w:sz="0" w:val="nil"/>
            </w:tcBorders>
            <w:shd w:fill="auto" w:val="clear"/>
            <w:tcMar>
              <w:top w:w="120.0" w:type="dxa"/>
              <w:left w:w="0.0" w:type="dxa"/>
              <w:bottom w:w="120.0" w:type="dxa"/>
              <w:right w:w="0.0" w:type="dxa"/>
            </w:tcMar>
            <w:vAlign w:val="top"/>
          </w:tcPr>
          <w:p w:rsidR="00000000" w:rsidDel="00000000" w:rsidP="00000000" w:rsidRDefault="00000000" w:rsidRPr="00000000" w14:paraId="00000265">
            <w:pPr>
              <w:widowControl w:val="0"/>
              <w:spacing w:after="120" w:before="120" w:line="300" w:lineRule="auto"/>
              <w:rPr>
                <w:rFonts w:ascii="Arial" w:cs="Arial" w:eastAsia="Arial" w:hAnsi="Arial"/>
                <w:b w:val="1"/>
                <w:bCs w:val="1"/>
                <w:sz w:val="22"/>
                <w:szCs w:val="22"/>
              </w:rPr>
            </w:pPr>
            <w:r w:rsidDel="00000000" w:rsidR="00000000" w:rsidRPr="00000000">
              <w:rPr>
                <w:rFonts w:ascii="Arial" w:cs="Arial" w:eastAsia="Arial" w:hAnsi="Arial"/>
                <w:b w:val="1"/>
                <w:bCs w:val="1"/>
                <w:sz w:val="22"/>
                <w:szCs w:val="22"/>
                <w:rtl w:val="0"/>
              </w:rPr>
              <w:t xml:space="preserve">Definición</w:t>
            </w:r>
          </w:p>
          <w:p w:rsidR="00000000" w:rsidDel="00000000" w:rsidP="00000000" w:rsidRDefault="00000000" w:rsidRPr="00000000" w14:paraId="00000266">
            <w:pPr>
              <w:widowControl w:val="0"/>
              <w:spacing w:after="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 </w:t>
            </w:r>
          </w:p>
        </w:tc>
      </w:tr>
      <w:tr>
        <w:trPr>
          <w:cantSplit w:val="0"/>
          <w:trHeight w:val="812.446289062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7">
            <w:pPr>
              <w:widowControl w:val="0"/>
              <w:spacing w:after="90" w:before="9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content_id</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8">
            <w:pPr>
              <w:widowControl w:val="0"/>
              <w:spacing w:after="90" w:before="9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Llave única por título: “M-” + show_id (películas) o “S-” + show_id (series)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9">
            <w:pPr>
              <w:widowControl w:val="0"/>
              <w:spacing w:after="90" w:before="9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title</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A">
            <w:pPr>
              <w:widowControl w:val="0"/>
              <w:spacing w:after="90" w:before="9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Título de la película o serie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B">
            <w:pPr>
              <w:widowControl w:val="0"/>
              <w:spacing w:after="90" w:before="9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tipo_contenido / es_pelicula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C">
            <w:pPr>
              <w:widowControl w:val="0"/>
              <w:spacing w:after="90" w:before="9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Película o Serie; es_pelicula = 1 si el título es una película</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D">
            <w:pPr>
              <w:widowControl w:val="0"/>
              <w:spacing w:after="90" w:before="9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release_year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E">
            <w:pPr>
              <w:widowControl w:val="0"/>
              <w:spacing w:after="90" w:before="9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Año de estreno (campo numérico; alimenta el deslizante de año del dashboard)</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6F">
            <w:pPr>
              <w:widowControl w:val="0"/>
              <w:spacing w:after="90" w:before="9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idioma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0">
            <w:pPr>
              <w:widowControl w:val="0"/>
              <w:spacing w:after="90" w:before="9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Idioma original del título</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1">
            <w:pPr>
              <w:widowControl w:val="0"/>
              <w:spacing w:after="90" w:before="9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popularity</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2">
            <w:pPr>
              <w:widowControl w:val="0"/>
              <w:spacing w:after="90" w:before="9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Métrica de TMDb que refleja el nivel de actividad/interacción reciente de un título</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3">
            <w:pPr>
              <w:widowControl w:val="0"/>
              <w:spacing w:after="90" w:before="9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indice_engagement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4">
            <w:pPr>
              <w:widowControl w:val="0"/>
              <w:spacing w:after="90" w:before="9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Percentil de 0 a 100 de popularity dentro de cada tipo (película o serie)</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5">
            <w:pPr>
              <w:widowControl w:val="0"/>
              <w:spacing w:after="90" w:before="9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alto_engagement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6">
            <w:pPr>
              <w:widowControl w:val="0"/>
              <w:spacing w:after="90" w:before="9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1 si indice_engagement es 75 o más dentro de su tipo</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7">
            <w:pPr>
              <w:widowControl w:val="0"/>
              <w:spacing w:after="90" w:before="9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vote_count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8">
            <w:pPr>
              <w:widowControl w:val="0"/>
              <w:spacing w:after="90" w:before="9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Cantidad de votos que sustenta la calificación</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9">
            <w:pPr>
              <w:widowControl w:val="0"/>
              <w:spacing w:after="90" w:before="9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vote_average_clean</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A">
            <w:pPr>
              <w:widowControl w:val="0"/>
              <w:spacing w:after="90" w:before="9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Calificación promedio de usuarios (escala 0–10); nula si vote_count = 0 (un 0 sin votos significa “sin votos”)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B">
            <w:pPr>
              <w:widowControl w:val="0"/>
              <w:spacing w:after="90" w:before="9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confiable_num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C">
            <w:pPr>
              <w:widowControl w:val="0"/>
              <w:spacing w:after="90" w:before="9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1 si el título tiene al menos 10 votos</w:t>
            </w:r>
          </w:p>
        </w:tc>
      </w:tr>
      <w:tr>
        <w:trPr>
          <w:cantSplit w:val="0"/>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D">
            <w:pPr>
              <w:widowControl w:val="0"/>
              <w:spacing w:after="90" w:before="9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es_estrella</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7E">
            <w:pPr>
              <w:widowControl w:val="0"/>
              <w:spacing w:after="90" w:before="90" w:line="300" w:lineRule="auto"/>
              <w:rPr>
                <w:rFonts w:ascii="Arial" w:cs="Arial" w:eastAsia="Arial" w:hAnsi="Arial"/>
                <w:sz w:val="22"/>
                <w:szCs w:val="22"/>
              </w:rPr>
            </w:pPr>
            <w:r w:rsidDel="00000000" w:rsidR="00000000" w:rsidRPr="00000000">
              <w:rPr>
                <w:rFonts w:ascii="Arial" w:cs="Arial" w:eastAsia="Arial" w:hAnsi="Arial"/>
                <w:sz w:val="22"/>
                <w:szCs w:val="22"/>
                <w:rtl w:val="0"/>
              </w:rPr>
              <w:t xml:space="preserve">1 si el título tiene percentil de engagement 75 o más, nota 7 o más y al menos 10 votos</w:t>
            </w:r>
          </w:p>
        </w:tc>
      </w:tr>
    </w:tbl>
    <w:p w:rsidR="00000000" w:rsidDel="00000000" w:rsidP="00000000" w:rsidRDefault="00000000" w:rsidRPr="00000000" w14:paraId="0000027F">
      <w:pPr>
        <w:rPr>
          <w:sz w:val="22"/>
          <w:szCs w:val="22"/>
        </w:rPr>
      </w:pPr>
      <w:r w:rsidDel="00000000" w:rsidR="00000000" w:rsidRPr="00000000">
        <w:rPr>
          <w:rtl w:val="0"/>
        </w:rPr>
      </w:r>
    </w:p>
    <w:tbl>
      <w:tblPr>
        <w:tblStyle w:val="Table18"/>
        <w:tblW w:w="8838.000000000002"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671.316702819957"/>
        <w:gridCol w:w="5166.683297180044"/>
        <w:tblGridChange w:id="0">
          <w:tblGrid>
            <w:gridCol w:w="3671.316702819957"/>
            <w:gridCol w:w="5166.683297180044"/>
          </w:tblGrid>
        </w:tblGridChange>
      </w:tblGrid>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0">
            <w:pPr>
              <w:rPr>
                <w:sz w:val="22"/>
                <w:szCs w:val="22"/>
              </w:rPr>
            </w:pPr>
            <w:r w:rsidDel="00000000" w:rsidR="00000000" w:rsidRPr="00000000">
              <w:rPr>
                <w:sz w:val="22"/>
                <w:szCs w:val="22"/>
                <w:rtl w:val="0"/>
              </w:rPr>
              <w:t xml:space="preserve">presupuesto_roi / ingresos_roi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1">
            <w:pPr>
              <w:rPr>
                <w:sz w:val="22"/>
                <w:szCs w:val="22"/>
              </w:rPr>
            </w:pPr>
            <w:r w:rsidDel="00000000" w:rsidR="00000000" w:rsidRPr="00000000">
              <w:rPr>
                <w:sz w:val="22"/>
                <w:szCs w:val="22"/>
                <w:rtl w:val="0"/>
              </w:rPr>
              <w:t xml:space="preserve">Presupuesto e ingresos en USD; solo películas con ambos valores mayores que 0</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2">
            <w:pPr>
              <w:rPr>
                <w:sz w:val="22"/>
                <w:szCs w:val="22"/>
              </w:rPr>
            </w:pPr>
            <w:r w:rsidDel="00000000" w:rsidR="00000000" w:rsidRPr="00000000">
              <w:rPr>
                <w:sz w:val="22"/>
                <w:szCs w:val="22"/>
                <w:rtl w:val="0"/>
              </w:rPr>
              <w:t xml:space="preserve">roi</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3">
            <w:pPr>
              <w:rPr>
                <w:sz w:val="22"/>
                <w:szCs w:val="22"/>
              </w:rPr>
            </w:pPr>
            <w:r w:rsidDel="00000000" w:rsidR="00000000" w:rsidRPr="00000000">
              <w:rPr>
                <w:sz w:val="22"/>
                <w:szCs w:val="22"/>
                <w:rtl w:val="0"/>
              </w:rPr>
              <w:t xml:space="preserve">ingresos_roi / presupuesto_roi de cada película</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4">
            <w:pPr>
              <w:rPr>
                <w:sz w:val="22"/>
                <w:szCs w:val="22"/>
              </w:rPr>
            </w:pPr>
            <w:r w:rsidDel="00000000" w:rsidR="00000000" w:rsidRPr="00000000">
              <w:rPr>
                <w:sz w:val="22"/>
                <w:szCs w:val="22"/>
                <w:rtl w:val="0"/>
              </w:rPr>
              <w:t xml:space="preserve">financiero_num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5">
            <w:pPr>
              <w:rPr>
                <w:sz w:val="22"/>
                <w:szCs w:val="22"/>
              </w:rPr>
            </w:pPr>
            <w:r w:rsidDel="00000000" w:rsidR="00000000" w:rsidRPr="00000000">
              <w:rPr>
                <w:sz w:val="22"/>
                <w:szCs w:val="22"/>
                <w:rtl w:val="0"/>
              </w:rPr>
              <w:t xml:space="preserve">1 si la película tiene presupuesto e ingresos mayores que 0 (3.540 películas)</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6">
            <w:pPr>
              <w:rPr>
                <w:sz w:val="22"/>
                <w:szCs w:val="22"/>
              </w:rPr>
            </w:pPr>
            <w:r w:rsidDel="00000000" w:rsidR="00000000" w:rsidRPr="00000000">
              <w:rPr>
                <w:sz w:val="22"/>
                <w:szCs w:val="22"/>
                <w:rtl w:val="0"/>
              </w:rPr>
              <w:t xml:space="preserve">genero_principal, pais_principal, director_principal</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7">
            <w:pPr>
              <w:rPr>
                <w:sz w:val="22"/>
                <w:szCs w:val="22"/>
              </w:rPr>
            </w:pPr>
            <w:r w:rsidDel="00000000" w:rsidR="00000000" w:rsidRPr="00000000">
              <w:rPr>
                <w:sz w:val="22"/>
                <w:szCs w:val="22"/>
                <w:rtl w:val="0"/>
              </w:rPr>
              <w:t xml:space="preserve">Primer género, país y director listado de cada título; “No especificado” si falta</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8">
            <w:pPr>
              <w:rPr>
                <w:sz w:val="22"/>
                <w:szCs w:val="22"/>
              </w:rPr>
            </w:pPr>
            <w:r w:rsidDel="00000000" w:rsidR="00000000" w:rsidRPr="00000000">
              <w:rPr>
                <w:sz w:val="22"/>
                <w:szCs w:val="22"/>
                <w:rtl w:val="0"/>
              </w:rPr>
              <w:t xml:space="preserve">es_drama, es_eeuu</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9">
            <w:pPr>
              <w:rPr>
                <w:sz w:val="22"/>
                <w:szCs w:val="22"/>
              </w:rPr>
            </w:pPr>
            <w:r w:rsidDel="00000000" w:rsidR="00000000" w:rsidRPr="00000000">
              <w:rPr>
                <w:sz w:val="22"/>
                <w:szCs w:val="22"/>
                <w:rtl w:val="0"/>
              </w:rPr>
              <w:t xml:space="preserve">1 si Drama / EE. UU. aparece en cualquiera de los géneros / países del título</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A">
            <w:pPr>
              <w:rPr>
                <w:sz w:val="22"/>
                <w:szCs w:val="22"/>
              </w:rPr>
            </w:pPr>
            <w:r w:rsidDel="00000000" w:rsidR="00000000" w:rsidRPr="00000000">
              <w:rPr>
                <w:sz w:val="22"/>
                <w:szCs w:val="22"/>
                <w:rtl w:val="0"/>
              </w:rPr>
              <w:t xml:space="preserve">es_telefilm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B">
            <w:pPr>
              <w:rPr>
                <w:sz w:val="22"/>
                <w:szCs w:val="22"/>
              </w:rPr>
            </w:pPr>
            <w:r w:rsidDel="00000000" w:rsidR="00000000" w:rsidRPr="00000000">
              <w:rPr>
                <w:sz w:val="22"/>
                <w:szCs w:val="22"/>
                <w:rtl w:val="0"/>
              </w:rPr>
              <w:t xml:space="preserve">1 si el título es “TV Movie” (628); se excluye de la dimensión género</w:t>
            </w:r>
          </w:p>
        </w:tc>
      </w:tr>
      <w:tr>
        <w:trPr>
          <w:cantSplit w:val="0"/>
          <w:trHeight w:val="50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C">
            <w:pPr>
              <w:rPr>
                <w:sz w:val="22"/>
                <w:szCs w:val="22"/>
              </w:rPr>
            </w:pPr>
            <w:r w:rsidDel="00000000" w:rsidR="00000000" w:rsidRPr="00000000">
              <w:rPr>
                <w:sz w:val="22"/>
                <w:szCs w:val="22"/>
                <w:rtl w:val="0"/>
              </w:rPr>
              <w:t xml:space="preserve">Denominador fijo</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D">
            <w:pPr>
              <w:rPr>
                <w:sz w:val="22"/>
                <w:szCs w:val="22"/>
              </w:rPr>
            </w:pPr>
            <w:r w:rsidDel="00000000" w:rsidR="00000000" w:rsidRPr="00000000">
              <w:rPr>
                <w:sz w:val="22"/>
                <w:szCs w:val="22"/>
                <w:rtl w:val="0"/>
              </w:rPr>
              <w:t xml:space="preserve">31.991 títulos; base del % del catálogo</w:t>
            </w:r>
          </w:p>
        </w:tc>
      </w:tr>
      <w:tr>
        <w:trPr>
          <w:cantSplit w:val="0"/>
          <w:trHeight w:val="770"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E">
            <w:pPr>
              <w:rPr>
                <w:sz w:val="22"/>
                <w:szCs w:val="22"/>
              </w:rPr>
            </w:pPr>
            <w:r w:rsidDel="00000000" w:rsidR="00000000" w:rsidRPr="00000000">
              <w:rPr>
                <w:sz w:val="22"/>
                <w:szCs w:val="22"/>
                <w:rtl w:val="0"/>
              </w:rPr>
              <w:t xml:space="preserve">Ingresos totales por director</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28F">
            <w:pPr>
              <w:rPr>
                <w:sz w:val="22"/>
                <w:szCs w:val="22"/>
              </w:rPr>
            </w:pPr>
            <w:r w:rsidDel="00000000" w:rsidR="00000000" w:rsidRPr="00000000">
              <w:rPr>
                <w:sz w:val="22"/>
                <w:szCs w:val="22"/>
                <w:rtl w:val="0"/>
              </w:rPr>
              <w:t xml:space="preserve">Suma de ingresos_roi por director (no promedio); ordena el ranking</w:t>
            </w:r>
          </w:p>
        </w:tc>
      </w:tr>
    </w:tbl>
    <w:p w:rsidR="00000000" w:rsidDel="00000000" w:rsidP="00000000" w:rsidRDefault="00000000" w:rsidRPr="00000000" w14:paraId="00000290">
      <w:pPr>
        <w:rPr>
          <w:sz w:val="22"/>
          <w:szCs w:val="22"/>
        </w:rPr>
      </w:pPr>
      <w:r w:rsidDel="00000000" w:rsidR="00000000" w:rsidRPr="00000000">
        <w:rPr>
          <w:rtl w:val="0"/>
        </w:rPr>
      </w:r>
    </w:p>
    <w:sectPr>
      <w:headerReference r:id="rId25" w:type="default"/>
      <w:pgSz w:h="15840" w:w="12240" w:orient="portrait"/>
      <w:pgMar w:bottom="1417" w:top="1417" w:left="1701" w:right="1701"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Arial"/>
  <w:font w:name="Consolas"/>
  <w:font w:name="Courier New"/>
  <w:font w:name="Noto Sans Symbols">
    <w:embedRegular w:fontKey="{00000000-0000-0000-0000-000000000000}" r:id="rId1" w:subsetted="0"/>
    <w:embedBold w:fontKey="{00000000-0000-0000-0000-000000000000}" r:id="rId2"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91">
    <w:pPr>
      <w:pBdr>
        <w:top w:space="0" w:sz="0" w:val="nil"/>
        <w:left w:space="0" w:sz="0" w:val="nil"/>
        <w:bottom w:space="0" w:sz="0" w:val="nil"/>
        <w:right w:space="0" w:sz="0" w:val="nil"/>
        <w:between w:space="0" w:sz="0" w:val="nil"/>
      </w:pBdr>
      <w:tabs>
        <w:tab w:val="center" w:leader="none" w:pos="4419"/>
        <w:tab w:val="right" w:leader="none" w:pos="8838"/>
      </w:tabs>
      <w:spacing w:after="0" w:lineRule="auto"/>
      <w:rPr>
        <w:color w:val="000000"/>
      </w:rPr>
    </w:pPr>
    <w:r w:rsidDel="00000000" w:rsidR="00000000" w:rsidRPr="00000000">
      <w:rPr>
        <w:rtl w:val="0"/>
      </w:rPr>
    </w:r>
    <w:r w:rsidDel="00000000" w:rsidR="00000000" w:rsidRPr="00000000">
      <w:drawing>
        <wp:anchor allowOverlap="1" behindDoc="0" distB="0" distT="0" distL="114300" distR="114300" hidden="0" layoutInCell="1" locked="0" relativeHeight="0" simplePos="0">
          <wp:simplePos x="0" y="0"/>
          <wp:positionH relativeFrom="column">
            <wp:posOffset>1929764</wp:posOffset>
          </wp:positionH>
          <wp:positionV relativeFrom="paragraph">
            <wp:posOffset>-455927</wp:posOffset>
          </wp:positionV>
          <wp:extent cx="4752975" cy="922020"/>
          <wp:effectExtent b="0" l="0" r="0" t="0"/>
          <wp:wrapSquare wrapText="bothSides" distB="0" distT="0" distL="114300" distR="114300"/>
          <wp:docPr id="2" name="image10.png"/>
          <a:graphic>
            <a:graphicData uri="http://schemas.openxmlformats.org/drawingml/2006/picture">
              <pic:pic>
                <pic:nvPicPr>
                  <pic:cNvPr id="0" name="image10.png"/>
                  <pic:cNvPicPr preferRelativeResize="0"/>
                </pic:nvPicPr>
                <pic:blipFill>
                  <a:blip r:embed="rId1"/>
                  <a:srcRect b="0" l="0" r="0" t="0"/>
                  <a:stretch>
                    <a:fillRect/>
                  </a:stretch>
                </pic:blipFill>
                <pic:spPr>
                  <a:xfrm>
                    <a:off x="0" y="0"/>
                    <a:ext cx="4752975" cy="922020"/>
                  </a:xfrm>
                  <a:prstGeom prst="rect"/>
                  <a:ln/>
                </pic:spPr>
              </pic:pic>
            </a:graphicData>
          </a:graphic>
        </wp:anchor>
      </w:drawing>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2">
    <w:lvl w:ilvl="0">
      <w:start w:val="1"/>
      <w:numFmt w:val="decimal"/>
      <w:lvlText w:val="%1."/>
      <w:lvlJc w:val="left"/>
      <w:pPr>
        <w:ind w:left="720" w:hanging="480"/>
      </w:pPr>
      <w:rPr/>
    </w:lvl>
    <w:lvl w:ilvl="1">
      <w:start w:val="1"/>
      <w:numFmt w:val="decimal"/>
      <w:lvlText w:val="%2."/>
      <w:lvlJc w:val="left"/>
      <w:pPr>
        <w:ind w:left="1440" w:hanging="480"/>
      </w:pPr>
      <w:rPr/>
    </w:lvl>
    <w:lvl w:ilvl="2">
      <w:start w:val="1"/>
      <w:numFmt w:val="decimal"/>
      <w:lvlText w:val="%3."/>
      <w:lvlJc w:val="left"/>
      <w:pPr>
        <w:ind w:left="2160" w:hanging="480"/>
      </w:pPr>
      <w:rPr/>
    </w:lvl>
    <w:lvl w:ilvl="3">
      <w:start w:val="1"/>
      <w:numFmt w:val="decimal"/>
      <w:lvlText w:val="%4."/>
      <w:lvlJc w:val="left"/>
      <w:pPr>
        <w:ind w:left="2880" w:hanging="480"/>
      </w:pPr>
      <w:rPr/>
    </w:lvl>
    <w:lvl w:ilvl="4">
      <w:start w:val="1"/>
      <w:numFmt w:val="decimal"/>
      <w:lvlText w:val="%5."/>
      <w:lvlJc w:val="left"/>
      <w:pPr>
        <w:ind w:left="3600" w:hanging="480"/>
      </w:pPr>
      <w:rPr/>
    </w:lvl>
    <w:lvl w:ilvl="5">
      <w:start w:val="1"/>
      <w:numFmt w:val="decimal"/>
      <w:lvlText w:val="%6."/>
      <w:lvlJc w:val="left"/>
      <w:pPr>
        <w:ind w:left="4320" w:hanging="480"/>
      </w:pPr>
      <w:rPr/>
    </w:lvl>
    <w:lvl w:ilvl="6">
      <w:start w:val="1"/>
      <w:numFmt w:val="decimal"/>
      <w:lvlText w:val="%7."/>
      <w:lvlJc w:val="left"/>
      <w:pPr>
        <w:ind w:left="5040" w:hanging="480"/>
      </w:pPr>
      <w:rPr/>
    </w:lvl>
    <w:lvl w:ilvl="7">
      <w:start w:val="1"/>
      <w:numFmt w:val="decimal"/>
      <w:lvlText w:val="%8."/>
      <w:lvlJc w:val="left"/>
      <w:pPr>
        <w:ind w:left="5760" w:hanging="480"/>
      </w:pPr>
      <w:rPr/>
    </w:lvl>
    <w:lvl w:ilvl="8">
      <w:start w:val="1"/>
      <w:numFmt w:val="decimal"/>
      <w:lvlText w:val="%9."/>
      <w:lvlJc w:val="left"/>
      <w:pPr>
        <w:ind w:left="6480" w:hanging="480"/>
      </w:pPr>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5">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6">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7">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4"/>
        <w:szCs w:val="24"/>
        <w:lang w:val="es-CL"/>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4f81bd"/>
      <w:sz w:val="32"/>
      <w:szCs w:val="32"/>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8"/>
      <w:szCs w:val="28"/>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4f81bd"/>
    </w:rPr>
  </w:style>
  <w:style w:type="paragraph" w:styleId="Heading6">
    <w:name w:val="heading 6"/>
    <w:basedOn w:val="Normal"/>
    <w:next w:val="Normal"/>
    <w:pPr>
      <w:keepNext w:val="1"/>
      <w:keepLines w:val="1"/>
      <w:spacing w:after="0" w:before="200" w:lineRule="auto"/>
    </w:pPr>
    <w:rPr>
      <w:rFonts w:ascii="Calibri" w:cs="Calibri" w:eastAsia="Calibri" w:hAnsi="Calibri"/>
      <w:color w:val="4f81bd"/>
    </w:rPr>
  </w:style>
  <w:style w:type="paragraph" w:styleId="Title">
    <w:name w:val="Title"/>
    <w:basedOn w:val="Normal"/>
    <w:next w:val="Normal"/>
    <w:pPr>
      <w:keepNext w:val="1"/>
      <w:keepLines w:val="1"/>
      <w:spacing w:after="240" w:before="480" w:lineRule="auto"/>
      <w:jc w:val="center"/>
    </w:pPr>
    <w:rPr>
      <w:rFonts w:ascii="Calibri" w:cs="Calibri" w:eastAsia="Calibri" w:hAnsi="Calibri"/>
      <w:b w:val="1"/>
      <w:bCs w:val="1"/>
      <w:color w:val="335b8a"/>
      <w:sz w:val="36"/>
      <w:szCs w:val="36"/>
    </w:rPr>
  </w:style>
  <w:style w:type="paragraph" w:styleId="Subtitle">
    <w:name w:val="Subtitle"/>
    <w:basedOn w:val="Normal"/>
    <w:next w:val="Normal"/>
    <w:pPr>
      <w:keepNext w:val="1"/>
      <w:keepLines w:val="1"/>
      <w:spacing w:after="240" w:before="240" w:lineRule="auto"/>
      <w:jc w:val="center"/>
    </w:pPr>
    <w:rPr>
      <w:rFonts w:ascii="Calibri" w:cs="Calibri" w:eastAsia="Calibri" w:hAnsi="Calibri"/>
      <w:b w:val="1"/>
      <w:bCs w:val="1"/>
      <w:color w:val="335b8a"/>
      <w:sz w:val="30"/>
      <w:szCs w:val="30"/>
    </w:rPr>
  </w:style>
  <w:style w:type="table" w:styleId="Table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7">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8">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9">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0">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1">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2">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3">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4">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5">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6">
    <w:basedOn w:val="TableNormal"/>
    <w:tblPr>
      <w:tblStyleRowBandSize w:val="1"/>
      <w:tblStyleColBandSize w:val="1"/>
      <w:tblCellMar>
        <w:top w:w="0.0" w:type="dxa"/>
        <w:left w:w="108.0" w:type="dxa"/>
        <w:bottom w:w="0.0" w:type="dxa"/>
        <w:right w:w="108.0" w:type="dxa"/>
      </w:tblCellMar>
    </w:tblPr>
    <w:tblStylePr w:type="firstRow">
      <w:tcPr>
        <w:tcBorders>
          <w:bottom w:color="000000" w:space="0" w:sz="0" w:val="nil"/>
        </w:tcBorders>
        <w:vAlign w:val="bottom"/>
      </w:tcPr>
    </w:tblStylePr>
  </w:style>
  <w:style w:type="table" w:styleId="Table17">
    <w:basedOn w:val="TableNormal"/>
    <w:tblPr>
      <w:tblStyleRowBandSize w:val="1"/>
      <w:tblStyleColBandSize w:val="1"/>
    </w:tblPr>
  </w:style>
  <w:style w:type="table" w:styleId="Table18">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8.png"/><Relationship Id="rId22" Type="http://schemas.openxmlformats.org/officeDocument/2006/relationships/image" Target="media/image4.png"/><Relationship Id="rId21" Type="http://schemas.openxmlformats.org/officeDocument/2006/relationships/image" Target="media/image9.png"/><Relationship Id="rId24" Type="http://schemas.openxmlformats.org/officeDocument/2006/relationships/image" Target="media/image13.png"/><Relationship Id="rId23" Type="http://schemas.openxmlformats.org/officeDocument/2006/relationships/image" Target="media/image15.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9.png"/><Relationship Id="rId25"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11.png"/><Relationship Id="rId7" Type="http://schemas.openxmlformats.org/officeDocument/2006/relationships/image" Target="media/image3.jpg"/><Relationship Id="rId8" Type="http://schemas.openxmlformats.org/officeDocument/2006/relationships/image" Target="media/image6.png"/><Relationship Id="rId11" Type="http://schemas.openxmlformats.org/officeDocument/2006/relationships/image" Target="media/image17.png"/><Relationship Id="rId10" Type="http://schemas.openxmlformats.org/officeDocument/2006/relationships/image" Target="media/image5.png"/><Relationship Id="rId13" Type="http://schemas.openxmlformats.org/officeDocument/2006/relationships/image" Target="media/image14.png"/><Relationship Id="rId12" Type="http://schemas.openxmlformats.org/officeDocument/2006/relationships/image" Target="media/image12.png"/><Relationship Id="rId15" Type="http://schemas.openxmlformats.org/officeDocument/2006/relationships/image" Target="media/image1.png"/><Relationship Id="rId14" Type="http://schemas.openxmlformats.org/officeDocument/2006/relationships/image" Target="media/image16.png"/><Relationship Id="rId17" Type="http://schemas.openxmlformats.org/officeDocument/2006/relationships/image" Target="media/image7.png"/><Relationship Id="rId16" Type="http://schemas.openxmlformats.org/officeDocument/2006/relationships/hyperlink" Target="https://datastudio.google.com/reporting/598793da-33a9-405f-86dc-8e0d717c4835" TargetMode="External"/><Relationship Id="rId19" Type="http://schemas.openxmlformats.org/officeDocument/2006/relationships/image" Target="media/image2.png"/><Relationship Id="rId18" Type="http://schemas.openxmlformats.org/officeDocument/2006/relationships/image" Target="media/image18.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