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AE58" w14:textId="77777777" w:rsidR="00704353" w:rsidRDefault="00704353">
      <w:r>
        <w:t>COMPARACIONES MULTIPLES</w:t>
      </w:r>
    </w:p>
    <w:p w14:paraId="1DDC49ED" w14:textId="77777777" w:rsidR="00704353" w:rsidRDefault="00704353">
      <w:r>
        <w:t>Existen diferentes procedimientos para realizar comparaciones múltiples de medias poblacionales.</w:t>
      </w:r>
    </w:p>
    <w:p w14:paraId="270CC86A" w14:textId="77777777" w:rsidR="00704353" w:rsidRDefault="00704353">
      <w:r>
        <w:t>Los métodos más conocidos para la construcción e intervalos de confianza conjuntos son los de Bonferroni, Scheffé y Tukey</w:t>
      </w:r>
    </w:p>
    <w:p w14:paraId="307150A4" w14:textId="77777777" w:rsidR="00704353" w:rsidRDefault="00704353">
      <w:r>
        <w:t>INTERVALO DE CONFIANZA DE BONFERRONI</w:t>
      </w:r>
    </w:p>
    <w:p w14:paraId="062F7E05" w14:textId="77777777" w:rsidR="00704353" w:rsidRDefault="00704353">
      <w:r>
        <w:t>Si existen G grupos, el número de comparaciones que se pueden realizar es:</w:t>
      </w:r>
    </w:p>
    <w:p w14:paraId="67024282" w14:textId="77777777" w:rsidR="00704353" w:rsidRDefault="00704353">
      <w:r>
        <w:rPr>
          <w:noProof/>
        </w:rPr>
        <w:drawing>
          <wp:inline distT="0" distB="0" distL="0" distR="0" wp14:anchorId="1E3D7704" wp14:editId="370BA141">
            <wp:extent cx="819150" cy="466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5402" w14:textId="77777777" w:rsidR="00704353" w:rsidRDefault="00704353">
      <w:r>
        <w:t>La hipótesis a contrastar en cada una de estas comparaciones es:</w:t>
      </w:r>
    </w:p>
    <w:p w14:paraId="0CA9C851" w14:textId="77777777" w:rsidR="00704353" w:rsidRDefault="00704353">
      <w:r>
        <w:rPr>
          <w:noProof/>
        </w:rPr>
        <w:drawing>
          <wp:inline distT="0" distB="0" distL="0" distR="0" wp14:anchorId="54361B6B" wp14:editId="3AC6CBC9">
            <wp:extent cx="1857375" cy="390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7B01" w14:textId="77777777" w:rsidR="00704353" w:rsidRDefault="00704353">
      <w:pPr>
        <w:rPr>
          <w:rFonts w:eastAsiaTheme="minorEastAsia"/>
          <w:color w:val="222222"/>
          <w:shd w:val="clear" w:color="auto" w:fill="FFFFFF"/>
        </w:rPr>
      </w:pPr>
      <w:r>
        <w:t xml:space="preserve">La aplicación del contraste de Bonferroni, también conocido como contraste de la diferencia significativa mínima modificada (LSD, en siglas inglesas) llevará a rechazar la hipótesis nula </w:t>
      </w:r>
      <m:oMath>
        <m:r>
          <w:rPr>
            <w:rFonts w:ascii="Cambria Math" w:hAnsi="Cambria Math"/>
          </w:rPr>
          <m:t>H: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p=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Arial" w:cs="Arial"/>
            <w:color w:val="222222"/>
            <w:shd w:val="clear" w:color="auto" w:fill="FFFFFF"/>
          </w:rPr>
          <m:t>q</m:t>
        </m:r>
      </m:oMath>
      <w:r>
        <w:rPr>
          <w:rFonts w:eastAsiaTheme="minorEastAsia"/>
          <w:color w:val="222222"/>
          <w:shd w:val="clear" w:color="auto" w:fill="FFFFFF"/>
        </w:rPr>
        <w:t xml:space="preserve"> para un nivel de significación global a, cuando:</w:t>
      </w:r>
    </w:p>
    <w:p w14:paraId="2459BC51" w14:textId="77777777" w:rsidR="00704353" w:rsidRDefault="00704353">
      <w:r>
        <w:rPr>
          <w:noProof/>
        </w:rPr>
        <w:drawing>
          <wp:inline distT="0" distB="0" distL="0" distR="0" wp14:anchorId="7784B7C8" wp14:editId="398B64B9">
            <wp:extent cx="4314825" cy="561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38EF" w14:textId="77777777" w:rsidR="00704353" w:rsidRDefault="00704353">
      <w:r>
        <w:t>Cuando se rechaza la hipótesis nula se busca qué grupos son distintos entre sí realizando comparaciones múltiples (Pruebas Post Hoc) dos a dos</w:t>
      </w:r>
    </w:p>
    <w:p w14:paraId="3486E392" w14:textId="77777777" w:rsidR="00704353" w:rsidRDefault="00704353">
      <w:r>
        <w:t>Se construye un intervalo de confianza para la diferencia de medias poblacionales entre todas las posibles parejas de niveles en cada factor</w:t>
      </w:r>
    </w:p>
    <w:p w14:paraId="35D51B1A" w14:textId="77777777" w:rsidR="00704353" w:rsidRDefault="00704353">
      <w:r>
        <w:rPr>
          <w:noProof/>
        </w:rPr>
        <w:drawing>
          <wp:inline distT="0" distB="0" distL="0" distR="0" wp14:anchorId="33A3EACB" wp14:editId="32734291">
            <wp:extent cx="5612130" cy="666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7DBA" w14:textId="77777777" w:rsidR="00704353" w:rsidRDefault="00704353">
      <w:r>
        <w:t>El test de Bonferroni fija un nivel de significación total:</w:t>
      </w:r>
    </w:p>
    <w:p w14:paraId="284D14C6" w14:textId="77777777" w:rsidR="00704353" w:rsidRDefault="00704353">
      <w:r>
        <w:rPr>
          <w:noProof/>
        </w:rPr>
        <w:drawing>
          <wp:inline distT="0" distB="0" distL="0" distR="0" wp14:anchorId="0ACD7FD5" wp14:editId="08ADC8FA">
            <wp:extent cx="504825" cy="285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0" cy="2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3022BF5B" w14:textId="77777777" w:rsidR="00704353" w:rsidRDefault="00704353">
      <w:r>
        <w:t>Donde c= número de contrastes</w:t>
      </w:r>
    </w:p>
    <w:p w14:paraId="4013CE37" w14:textId="77777777" w:rsidR="00704353" w:rsidRDefault="00704353">
      <w:r>
        <w:t>Y donde el número de tests</w:t>
      </w:r>
    </w:p>
    <w:p w14:paraId="52DAEABF" w14:textId="77777777" w:rsidR="00704353" w:rsidRDefault="00704353">
      <w:r>
        <w:rPr>
          <w:noProof/>
        </w:rPr>
        <w:drawing>
          <wp:inline distT="0" distB="0" distL="0" distR="0" wp14:anchorId="0E03D3F3" wp14:editId="43E6BC70">
            <wp:extent cx="552450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8844" w14:textId="77777777" w:rsidR="00704353" w:rsidRDefault="00704353">
      <w:r>
        <w:lastRenderedPageBreak/>
        <w:t>NOTA: Algunos autores proponen utilizar la aproximación de Bonferroni cuando el nivel de comparaciones C no es muy elevado.</w:t>
      </w:r>
    </w:p>
    <w:p w14:paraId="65B45B3D" w14:textId="77777777" w:rsidR="00704353" w:rsidRDefault="00704353">
      <w:r>
        <w:t>Fuente: Santiago de la Fuente Fernández, Análisis de Varianza Universidad Autónoma de Madrid, pagina 15</w:t>
      </w:r>
      <w:bookmarkStart w:id="0" w:name="_GoBack"/>
      <w:bookmarkEnd w:id="0"/>
    </w:p>
    <w:p w14:paraId="531D1863" w14:textId="77777777" w:rsidR="00704353" w:rsidRDefault="00704353">
      <w:r w:rsidRPr="00704353">
        <w:t xml:space="preserve"> </w:t>
      </w:r>
      <w:hyperlink r:id="rId10" w:history="1">
        <w:r>
          <w:rPr>
            <w:rStyle w:val="Hipervnculo"/>
          </w:rPr>
          <w:t>http://www.estadistica.net/ECONOMETRIA/ANALISIS-VARIANZA/analisis-varianza.pdf</w:t>
        </w:r>
      </w:hyperlink>
    </w:p>
    <w:sectPr w:rsidR="00704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53"/>
    <w:rsid w:val="0070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D512"/>
  <w15:chartTrackingRefBased/>
  <w15:docId w15:val="{0E885727-EF3F-494B-BCA4-EAC99A2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4353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704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estadistica.net/ECONOMETRIA/ANALISIS-VARIANZA/analisis-varianza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</dc:creator>
  <cp:keywords/>
  <dc:description/>
  <cp:lastModifiedBy>Santiago Martinez</cp:lastModifiedBy>
  <cp:revision>1</cp:revision>
  <dcterms:created xsi:type="dcterms:W3CDTF">2020-03-10T13:07:00Z</dcterms:created>
  <dcterms:modified xsi:type="dcterms:W3CDTF">2020-03-10T13:22:00Z</dcterms:modified>
</cp:coreProperties>
</file>