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031F" w14:textId="77777777" w:rsidR="00872CEC" w:rsidRPr="00872CEC" w:rsidRDefault="00872CEC" w:rsidP="00872CEC">
      <w:pPr>
        <w:rPr>
          <w:b/>
          <w:bCs/>
        </w:rPr>
      </w:pPr>
      <w:r w:rsidRPr="00872CEC">
        <w:rPr>
          <w:b/>
          <w:bCs/>
        </w:rPr>
        <w:t>Documentación del Código: Sistema de Cálculo de Comisiones y Envío de Resultados</w:t>
      </w:r>
    </w:p>
    <w:p w14:paraId="3960C05C" w14:textId="77777777" w:rsidR="00872CEC" w:rsidRPr="00872CEC" w:rsidRDefault="00872CEC" w:rsidP="00872CEC">
      <w:pPr>
        <w:rPr>
          <w:b/>
          <w:bCs/>
        </w:rPr>
      </w:pPr>
      <w:r w:rsidRPr="00872CEC">
        <w:rPr>
          <w:b/>
          <w:bCs/>
        </w:rPr>
        <w:t>Objetivo</w:t>
      </w:r>
    </w:p>
    <w:p w14:paraId="4FC06C40" w14:textId="77777777" w:rsidR="00872CEC" w:rsidRPr="00872CEC" w:rsidRDefault="00872CEC" w:rsidP="00872CEC">
      <w:r w:rsidRPr="00872CEC">
        <w:t>El propósito de este código es automatizar el cálculo de comisiones de una API para diferentes empresas clientes de BATSEJ OPEN FINANCE S.A. Este sistema tiene en cuenta las condiciones de los contratos, el cálculo de IVA, posibles descuentos y el envío de los resultados a través de correo electrónico.</w:t>
      </w:r>
    </w:p>
    <w:p w14:paraId="2405C37F" w14:textId="77777777" w:rsidR="00872CEC" w:rsidRPr="00872CEC" w:rsidRDefault="00872CEC" w:rsidP="00872CEC">
      <w:pPr>
        <w:rPr>
          <w:b/>
          <w:bCs/>
        </w:rPr>
      </w:pPr>
      <w:r w:rsidRPr="00872CEC">
        <w:rPr>
          <w:b/>
          <w:bCs/>
        </w:rPr>
        <w:t>Estructura General del Proyecto</w:t>
      </w:r>
    </w:p>
    <w:p w14:paraId="0C29965D" w14:textId="77777777" w:rsidR="00872CEC" w:rsidRPr="00872CEC" w:rsidRDefault="00872CEC" w:rsidP="00872CEC">
      <w:r w:rsidRPr="00872CEC">
        <w:t>El proyecto está dividido en varias clases, cada una encargada de una responsabilidad específica. Estas clases incluyen:</w:t>
      </w:r>
    </w:p>
    <w:p w14:paraId="327A1C3E" w14:textId="77777777" w:rsidR="00872CEC" w:rsidRPr="00872CEC" w:rsidRDefault="00872CEC" w:rsidP="00872CEC">
      <w:pPr>
        <w:numPr>
          <w:ilvl w:val="0"/>
          <w:numId w:val="1"/>
        </w:numPr>
      </w:pPr>
      <w:r w:rsidRPr="00872CEC">
        <w:rPr>
          <w:b/>
          <w:bCs/>
        </w:rPr>
        <w:t>Comisiones</w:t>
      </w:r>
      <w:r w:rsidRPr="00872CEC">
        <w:t>: Calcula las comisiones de las empresas, aplica descuentos si es necesario, guarda los resultados en un archivo Excel y envía los resultados por correo electrónico.</w:t>
      </w:r>
    </w:p>
    <w:p w14:paraId="119A41AE" w14:textId="77777777" w:rsidR="00872CEC" w:rsidRPr="00872CEC" w:rsidRDefault="00872CEC" w:rsidP="00872CEC">
      <w:pPr>
        <w:numPr>
          <w:ilvl w:val="0"/>
          <w:numId w:val="1"/>
        </w:numPr>
      </w:pPr>
      <w:proofErr w:type="spellStart"/>
      <w:r w:rsidRPr="00872CEC">
        <w:rPr>
          <w:b/>
          <w:bCs/>
        </w:rPr>
        <w:t>DataLoader</w:t>
      </w:r>
      <w:proofErr w:type="spellEnd"/>
      <w:r w:rsidRPr="00872CEC">
        <w:t>: Carga los datos necesarios desde la base de datos SQLite y maneja la conexión con la base de datos.</w:t>
      </w:r>
    </w:p>
    <w:p w14:paraId="65D66ACE" w14:textId="4CB3EE89" w:rsidR="00872CEC" w:rsidRPr="00872CEC" w:rsidRDefault="00872CEC" w:rsidP="00872CEC">
      <w:pPr>
        <w:numPr>
          <w:ilvl w:val="0"/>
          <w:numId w:val="1"/>
        </w:numPr>
      </w:pPr>
      <w:proofErr w:type="spellStart"/>
      <w:r w:rsidRPr="00872CEC">
        <w:rPr>
          <w:b/>
          <w:bCs/>
        </w:rPr>
        <w:t>EmailSendOutlook</w:t>
      </w:r>
      <w:proofErr w:type="spellEnd"/>
      <w:r w:rsidRPr="00872CEC">
        <w:t>: Se encarga de autenticar y enviar correos electrónicos a través de Outlook utilizando la autenticación OAuth2</w:t>
      </w:r>
      <w:r>
        <w:t xml:space="preserve"> se </w:t>
      </w:r>
      <w:r w:rsidR="0040151F">
        <w:t>realizó</w:t>
      </w:r>
      <w:r>
        <w:t xml:space="preserve"> de esta forma ya que Microsoft tomo la decisión de desactivar la forma </w:t>
      </w:r>
      <w:r w:rsidR="0040151F">
        <w:t>Básica</w:t>
      </w:r>
      <w:r>
        <w:t xml:space="preserve"> que </w:t>
      </w:r>
      <w:r w:rsidR="0040151F">
        <w:t>consistía</w:t>
      </w:r>
      <w:r>
        <w:t xml:space="preserve"> en autenticarte</w:t>
      </w:r>
      <w:r w:rsidR="0040151F">
        <w:t xml:space="preserve"> solo</w:t>
      </w:r>
      <w:r>
        <w:t xml:space="preserve"> con usuario y </w:t>
      </w:r>
      <w:r w:rsidR="0040151F">
        <w:t>contraseña</w:t>
      </w:r>
      <w:r>
        <w:t xml:space="preserve"> y hay librería que ni siquiera requerían </w:t>
      </w:r>
      <w:r w:rsidR="0040151F">
        <w:t>autenticación</w:t>
      </w:r>
      <w:r>
        <w:t xml:space="preserve"> para enviar un correo</w:t>
      </w:r>
      <w:r w:rsidRPr="00872CEC">
        <w:t>.</w:t>
      </w:r>
    </w:p>
    <w:p w14:paraId="6DCC3C52" w14:textId="1D4EED9B" w:rsidR="00872CEC" w:rsidRPr="00872CEC" w:rsidRDefault="00872CEC" w:rsidP="00872CEC">
      <w:pPr>
        <w:numPr>
          <w:ilvl w:val="0"/>
          <w:numId w:val="1"/>
        </w:numPr>
      </w:pPr>
      <w:r w:rsidRPr="00872CEC">
        <w:rPr>
          <w:b/>
          <w:bCs/>
        </w:rPr>
        <w:t>Archivos de SQL</w:t>
      </w:r>
      <w:r w:rsidRPr="00872CEC">
        <w:t>: Consultas SQL para interactuar con la base de datos y obtener la información</w:t>
      </w:r>
      <w:r w:rsidR="007642A1">
        <w:t>, se trató de manejar casi todo desde la base de datos para evitar en caso de cambio tocar el código</w:t>
      </w:r>
      <w:r w:rsidRPr="00872CEC">
        <w:t>.</w:t>
      </w:r>
    </w:p>
    <w:p w14:paraId="4F330DAC" w14:textId="77777777" w:rsidR="00872CEC" w:rsidRPr="00872CEC" w:rsidRDefault="00872CEC" w:rsidP="00872CEC">
      <w:r w:rsidRPr="00872CEC">
        <w:pict w14:anchorId="2CAE87C6">
          <v:rect id="_x0000_i1100" style="width:0;height:1.5pt" o:hralign="center" o:hrstd="t" o:hr="t" fillcolor="#a0a0a0" stroked="f"/>
        </w:pict>
      </w:r>
    </w:p>
    <w:p w14:paraId="74A0714C" w14:textId="77777777" w:rsidR="00872CEC" w:rsidRPr="00872CEC" w:rsidRDefault="00872CEC" w:rsidP="00872CEC">
      <w:pPr>
        <w:rPr>
          <w:b/>
          <w:bCs/>
        </w:rPr>
      </w:pPr>
      <w:r w:rsidRPr="00872CEC">
        <w:rPr>
          <w:b/>
          <w:bCs/>
        </w:rPr>
        <w:t>Clase Comisiones</w:t>
      </w:r>
    </w:p>
    <w:p w14:paraId="4A276D71" w14:textId="77777777" w:rsidR="00872CEC" w:rsidRPr="00872CEC" w:rsidRDefault="00872CEC" w:rsidP="00872CEC">
      <w:r w:rsidRPr="00872CEC">
        <w:t>La clase Comisiones es la clase principal encargada de coordinar todo el flujo de trabajo: carga de datos, cálculo de comisiones, aplicación de descuentos y envío de resultados.</w:t>
      </w:r>
    </w:p>
    <w:p w14:paraId="659E5334" w14:textId="77777777" w:rsidR="00872CEC" w:rsidRPr="00872CEC" w:rsidRDefault="00872CEC" w:rsidP="00872CEC">
      <w:pPr>
        <w:rPr>
          <w:b/>
          <w:bCs/>
        </w:rPr>
      </w:pPr>
      <w:r w:rsidRPr="00872CEC">
        <w:rPr>
          <w:b/>
          <w:bCs/>
        </w:rPr>
        <w:t>Atributos</w:t>
      </w:r>
    </w:p>
    <w:p w14:paraId="05EAD2DA" w14:textId="77777777" w:rsidR="00872CEC" w:rsidRPr="00872CEC" w:rsidRDefault="00872CEC" w:rsidP="00872CEC">
      <w:pPr>
        <w:numPr>
          <w:ilvl w:val="0"/>
          <w:numId w:val="2"/>
        </w:numPr>
      </w:pPr>
      <w:r w:rsidRPr="00872CEC">
        <w:rPr>
          <w:b/>
          <w:bCs/>
        </w:rPr>
        <w:t>directorio</w:t>
      </w:r>
      <w:r w:rsidRPr="00872CEC">
        <w:t>: Ruta del directorio donde se encuentran los archivos necesarios para el procesamiento (base de datos, archivos SQL, etc.).</w:t>
      </w:r>
    </w:p>
    <w:p w14:paraId="1CA7AA52" w14:textId="77777777" w:rsidR="00872CEC" w:rsidRPr="00872CEC" w:rsidRDefault="00872CEC" w:rsidP="00872CEC">
      <w:pPr>
        <w:numPr>
          <w:ilvl w:val="0"/>
          <w:numId w:val="2"/>
        </w:numPr>
      </w:pPr>
      <w:proofErr w:type="spellStart"/>
      <w:r w:rsidRPr="00872CEC">
        <w:rPr>
          <w:b/>
          <w:bCs/>
        </w:rPr>
        <w:t>data_loader</w:t>
      </w:r>
      <w:proofErr w:type="spellEnd"/>
      <w:r w:rsidRPr="00872CEC">
        <w:t xml:space="preserve">: Instancia de la clase </w:t>
      </w:r>
      <w:proofErr w:type="spellStart"/>
      <w:r w:rsidRPr="00872CEC">
        <w:t>DataLoader</w:t>
      </w:r>
      <w:proofErr w:type="spellEnd"/>
      <w:r w:rsidRPr="00872CEC">
        <w:t>, encargada de cargar los datos de la base de datos.</w:t>
      </w:r>
    </w:p>
    <w:p w14:paraId="673DDD4F" w14:textId="77777777" w:rsidR="00872CEC" w:rsidRPr="00872CEC" w:rsidRDefault="00872CEC" w:rsidP="00872CEC">
      <w:pPr>
        <w:numPr>
          <w:ilvl w:val="0"/>
          <w:numId w:val="2"/>
        </w:numPr>
      </w:pPr>
      <w:proofErr w:type="spellStart"/>
      <w:r w:rsidRPr="00872CEC">
        <w:rPr>
          <w:b/>
          <w:bCs/>
        </w:rPr>
        <w:t>parametros</w:t>
      </w:r>
      <w:proofErr w:type="spellEnd"/>
      <w:r w:rsidRPr="00872CEC">
        <w:t>: Diccionario que almacena parámetros importantes como fechas, direcciones de correo, credenciales, etc.</w:t>
      </w:r>
    </w:p>
    <w:p w14:paraId="4B601184" w14:textId="77777777" w:rsidR="00872CEC" w:rsidRPr="00872CEC" w:rsidRDefault="00872CEC" w:rsidP="00872CEC">
      <w:pPr>
        <w:numPr>
          <w:ilvl w:val="0"/>
          <w:numId w:val="2"/>
        </w:numPr>
      </w:pPr>
      <w:proofErr w:type="spellStart"/>
      <w:r w:rsidRPr="00872CEC">
        <w:rPr>
          <w:b/>
          <w:bCs/>
        </w:rPr>
        <w:t>email_sender</w:t>
      </w:r>
      <w:proofErr w:type="spellEnd"/>
      <w:r w:rsidRPr="00872CEC">
        <w:t xml:space="preserve">: Instancia de la clase </w:t>
      </w:r>
      <w:proofErr w:type="spellStart"/>
      <w:r w:rsidRPr="00872CEC">
        <w:t>EmailSendOutlook</w:t>
      </w:r>
      <w:proofErr w:type="spellEnd"/>
      <w:r w:rsidRPr="00872CEC">
        <w:t>, encargada de enviar los correos electrónicos con los resultados.</w:t>
      </w:r>
    </w:p>
    <w:p w14:paraId="3F8CCB6C" w14:textId="77777777" w:rsidR="00872CEC" w:rsidRPr="00872CEC" w:rsidRDefault="00872CEC" w:rsidP="00872CEC">
      <w:pPr>
        <w:rPr>
          <w:b/>
          <w:bCs/>
        </w:rPr>
      </w:pPr>
      <w:r w:rsidRPr="00872CEC">
        <w:rPr>
          <w:b/>
          <w:bCs/>
        </w:rPr>
        <w:t>Métodos</w:t>
      </w:r>
    </w:p>
    <w:p w14:paraId="1764B93E" w14:textId="77777777" w:rsidR="00872CEC" w:rsidRPr="00872CEC" w:rsidRDefault="00872CEC" w:rsidP="00872CEC">
      <w:pPr>
        <w:numPr>
          <w:ilvl w:val="0"/>
          <w:numId w:val="3"/>
        </w:numPr>
      </w:pPr>
      <w:r w:rsidRPr="00872CEC">
        <w:rPr>
          <w:b/>
          <w:bCs/>
        </w:rPr>
        <w:lastRenderedPageBreak/>
        <w:t>__</w:t>
      </w:r>
      <w:proofErr w:type="spellStart"/>
      <w:r w:rsidRPr="00872CEC">
        <w:rPr>
          <w:b/>
          <w:bCs/>
        </w:rPr>
        <w:t>init</w:t>
      </w:r>
      <w:proofErr w:type="spellEnd"/>
      <w:r w:rsidRPr="00872CEC">
        <w:rPr>
          <w:b/>
          <w:bCs/>
        </w:rPr>
        <w:t>__(</w:t>
      </w:r>
      <w:proofErr w:type="spellStart"/>
      <w:r w:rsidRPr="00872CEC">
        <w:rPr>
          <w:b/>
          <w:bCs/>
        </w:rPr>
        <w:t>self</w:t>
      </w:r>
      <w:proofErr w:type="spellEnd"/>
      <w:r w:rsidRPr="00872CEC">
        <w:rPr>
          <w:b/>
          <w:bCs/>
        </w:rPr>
        <w:t>, directorio)</w:t>
      </w:r>
      <w:r w:rsidRPr="00872CEC">
        <w:t xml:space="preserve">: Constructor que inicializa las instancias de </w:t>
      </w:r>
      <w:proofErr w:type="spellStart"/>
      <w:r w:rsidRPr="00872CEC">
        <w:t>DataLoader</w:t>
      </w:r>
      <w:proofErr w:type="spellEnd"/>
      <w:r w:rsidRPr="00872CEC">
        <w:t xml:space="preserve"> y </w:t>
      </w:r>
      <w:proofErr w:type="spellStart"/>
      <w:r w:rsidRPr="00872CEC">
        <w:t>EmailSendOutlook</w:t>
      </w:r>
      <w:proofErr w:type="spellEnd"/>
      <w:r w:rsidRPr="00872CEC">
        <w:t>, y carga los parámetros desde la base de datos.</w:t>
      </w:r>
    </w:p>
    <w:p w14:paraId="0E232C2F" w14:textId="77777777" w:rsidR="00872CEC" w:rsidRPr="00872CEC" w:rsidRDefault="00872CEC" w:rsidP="00872CEC">
      <w:pPr>
        <w:numPr>
          <w:ilvl w:val="0"/>
          <w:numId w:val="3"/>
        </w:numPr>
      </w:pPr>
      <w:proofErr w:type="spellStart"/>
      <w:r w:rsidRPr="00872CEC">
        <w:rPr>
          <w:b/>
          <w:bCs/>
        </w:rPr>
        <w:t>load_data</w:t>
      </w:r>
      <w:proofErr w:type="spellEnd"/>
      <w:r w:rsidRPr="00872CEC">
        <w:rPr>
          <w:b/>
          <w:bCs/>
        </w:rPr>
        <w:t>(</w:t>
      </w:r>
      <w:proofErr w:type="spellStart"/>
      <w:r w:rsidRPr="00872CEC">
        <w:rPr>
          <w:b/>
          <w:bCs/>
        </w:rPr>
        <w:t>self</w:t>
      </w:r>
      <w:proofErr w:type="spellEnd"/>
      <w:r w:rsidRPr="00872CEC">
        <w:rPr>
          <w:b/>
          <w:bCs/>
        </w:rPr>
        <w:t>)</w:t>
      </w:r>
      <w:r w:rsidRPr="00872CEC">
        <w:t xml:space="preserve">: Carga los datos necesarios desde la base de datos. Se cargan las tablas </w:t>
      </w:r>
      <w:proofErr w:type="spellStart"/>
      <w:r w:rsidRPr="00872CEC">
        <w:t>commissions</w:t>
      </w:r>
      <w:proofErr w:type="spellEnd"/>
      <w:r w:rsidRPr="00872CEC">
        <w:t xml:space="preserve"> y </w:t>
      </w:r>
      <w:proofErr w:type="spellStart"/>
      <w:r w:rsidRPr="00872CEC">
        <w:t>discounts</w:t>
      </w:r>
      <w:proofErr w:type="spellEnd"/>
      <w:r w:rsidRPr="00872CEC">
        <w:t>, así como los parámetros de configuración. También convierte las fechas de inicio y fin en un formato más legible.</w:t>
      </w:r>
    </w:p>
    <w:p w14:paraId="7662C470" w14:textId="77777777" w:rsidR="00872CEC" w:rsidRPr="00872CEC" w:rsidRDefault="00872CEC" w:rsidP="00872CEC">
      <w:pPr>
        <w:numPr>
          <w:ilvl w:val="0"/>
          <w:numId w:val="3"/>
        </w:numPr>
      </w:pPr>
      <w:proofErr w:type="spellStart"/>
      <w:r w:rsidRPr="00872CEC">
        <w:rPr>
          <w:b/>
          <w:bCs/>
        </w:rPr>
        <w:t>calculate_commissions</w:t>
      </w:r>
      <w:proofErr w:type="spellEnd"/>
      <w:r w:rsidRPr="00872CEC">
        <w:rPr>
          <w:b/>
          <w:bCs/>
        </w:rPr>
        <w:t>(</w:t>
      </w:r>
      <w:proofErr w:type="spellStart"/>
      <w:r w:rsidRPr="00872CEC">
        <w:rPr>
          <w:b/>
          <w:bCs/>
        </w:rPr>
        <w:t>self</w:t>
      </w:r>
      <w:proofErr w:type="spellEnd"/>
      <w:r w:rsidRPr="00872CEC">
        <w:rPr>
          <w:b/>
          <w:bCs/>
        </w:rPr>
        <w:t>)</w:t>
      </w:r>
      <w:r w:rsidRPr="00872CEC">
        <w:t>: Calcula las comisiones de las empresas según los contratos. Utiliza consultas SQL para obtener las estadísticas de las peticiones y luego aplica las reglas de los contratos (comisiones fijas o variables). Asegura que los valores nulos se llenen con los valores máximos de las peticiones exitosas y no exitosas.</w:t>
      </w:r>
    </w:p>
    <w:p w14:paraId="4616F3D3" w14:textId="77777777" w:rsidR="00872CEC" w:rsidRPr="00872CEC" w:rsidRDefault="00872CEC" w:rsidP="00872CEC">
      <w:pPr>
        <w:numPr>
          <w:ilvl w:val="0"/>
          <w:numId w:val="3"/>
        </w:numPr>
      </w:pPr>
      <w:proofErr w:type="spellStart"/>
      <w:r w:rsidRPr="00872CEC">
        <w:rPr>
          <w:b/>
          <w:bCs/>
        </w:rPr>
        <w:t>save_results</w:t>
      </w:r>
      <w:proofErr w:type="spellEnd"/>
      <w:r w:rsidRPr="00872CEC">
        <w:rPr>
          <w:b/>
          <w:bCs/>
        </w:rPr>
        <w:t>(</w:t>
      </w:r>
      <w:proofErr w:type="spellStart"/>
      <w:r w:rsidRPr="00872CEC">
        <w:rPr>
          <w:b/>
          <w:bCs/>
        </w:rPr>
        <w:t>self</w:t>
      </w:r>
      <w:proofErr w:type="spellEnd"/>
      <w:r w:rsidRPr="00872CEC">
        <w:rPr>
          <w:b/>
          <w:bCs/>
        </w:rPr>
        <w:t xml:space="preserve">, </w:t>
      </w:r>
      <w:proofErr w:type="spellStart"/>
      <w:r w:rsidRPr="00872CEC">
        <w:rPr>
          <w:b/>
          <w:bCs/>
        </w:rPr>
        <w:t>df_calculo_comisiones</w:t>
      </w:r>
      <w:proofErr w:type="spellEnd"/>
      <w:r w:rsidRPr="00872CEC">
        <w:rPr>
          <w:b/>
          <w:bCs/>
        </w:rPr>
        <w:t>)</w:t>
      </w:r>
      <w:r w:rsidRPr="00872CEC">
        <w:t xml:space="preserve">: Guarda los resultados del cálculo de comisiones en un archivo Excel. El archivo se guarda en una carpeta </w:t>
      </w:r>
      <w:proofErr w:type="spellStart"/>
      <w:r w:rsidRPr="00872CEC">
        <w:rPr>
          <w:b/>
          <w:bCs/>
        </w:rPr>
        <w:t>result</w:t>
      </w:r>
      <w:proofErr w:type="spellEnd"/>
      <w:r w:rsidRPr="00872CEC">
        <w:t xml:space="preserve"> dentro del directorio especificado. Si la carpeta no existe, se crea automáticamente.</w:t>
      </w:r>
    </w:p>
    <w:p w14:paraId="7994B84C" w14:textId="77777777" w:rsidR="00872CEC" w:rsidRPr="00872CEC" w:rsidRDefault="00872CEC" w:rsidP="00872CEC">
      <w:pPr>
        <w:numPr>
          <w:ilvl w:val="0"/>
          <w:numId w:val="3"/>
        </w:numPr>
      </w:pPr>
      <w:proofErr w:type="spellStart"/>
      <w:r w:rsidRPr="00872CEC">
        <w:rPr>
          <w:b/>
          <w:bCs/>
        </w:rPr>
        <w:t>send_results</w:t>
      </w:r>
      <w:proofErr w:type="spellEnd"/>
      <w:r w:rsidRPr="00872CEC">
        <w:rPr>
          <w:b/>
          <w:bCs/>
        </w:rPr>
        <w:t>(</w:t>
      </w:r>
      <w:proofErr w:type="spellStart"/>
      <w:r w:rsidRPr="00872CEC">
        <w:rPr>
          <w:b/>
          <w:bCs/>
        </w:rPr>
        <w:t>self</w:t>
      </w:r>
      <w:proofErr w:type="spellEnd"/>
      <w:r w:rsidRPr="00872CEC">
        <w:rPr>
          <w:b/>
          <w:bCs/>
        </w:rPr>
        <w:t xml:space="preserve">, </w:t>
      </w:r>
      <w:proofErr w:type="spellStart"/>
      <w:r w:rsidRPr="00872CEC">
        <w:rPr>
          <w:b/>
          <w:bCs/>
        </w:rPr>
        <w:t>file_path</w:t>
      </w:r>
      <w:proofErr w:type="spellEnd"/>
      <w:r w:rsidRPr="00872CEC">
        <w:rPr>
          <w:b/>
          <w:bCs/>
        </w:rPr>
        <w:t xml:space="preserve">, </w:t>
      </w:r>
      <w:proofErr w:type="spellStart"/>
      <w:r w:rsidRPr="00872CEC">
        <w:rPr>
          <w:b/>
          <w:bCs/>
        </w:rPr>
        <w:t>df_calculo_comisiones</w:t>
      </w:r>
      <w:proofErr w:type="spellEnd"/>
      <w:r w:rsidRPr="00872CEC">
        <w:rPr>
          <w:b/>
          <w:bCs/>
        </w:rPr>
        <w:t>)</w:t>
      </w:r>
      <w:r w:rsidRPr="00872CEC">
        <w:t>: Prepara y envía un correo electrónico con los resultados de las comisiones. El correo incluye un resumen de las comisiones calculadas en formato HTML y adjunta el archivo Excel con los resultados.</w:t>
      </w:r>
    </w:p>
    <w:p w14:paraId="596F22DC" w14:textId="77777777" w:rsidR="00872CEC" w:rsidRPr="00872CEC" w:rsidRDefault="00872CEC" w:rsidP="00872CEC">
      <w:pPr>
        <w:numPr>
          <w:ilvl w:val="0"/>
          <w:numId w:val="3"/>
        </w:numPr>
      </w:pPr>
      <w:r w:rsidRPr="00872CEC">
        <w:rPr>
          <w:b/>
          <w:bCs/>
        </w:rPr>
        <w:t>run(</w:t>
      </w:r>
      <w:proofErr w:type="spellStart"/>
      <w:r w:rsidRPr="00872CEC">
        <w:rPr>
          <w:b/>
          <w:bCs/>
        </w:rPr>
        <w:t>self</w:t>
      </w:r>
      <w:proofErr w:type="spellEnd"/>
      <w:r w:rsidRPr="00872CEC">
        <w:rPr>
          <w:b/>
          <w:bCs/>
        </w:rPr>
        <w:t>)</w:t>
      </w:r>
      <w:r w:rsidRPr="00872CEC">
        <w:t>: Método principal que coordina el flujo completo: carga de datos, cálculo de comisiones, guardado de resultados y envío del correo electrónico.</w:t>
      </w:r>
    </w:p>
    <w:p w14:paraId="17993774" w14:textId="77777777" w:rsidR="00872CEC" w:rsidRPr="00872CEC" w:rsidRDefault="00872CEC" w:rsidP="00872CEC">
      <w:r w:rsidRPr="00872CEC">
        <w:pict w14:anchorId="3E9B817C">
          <v:rect id="_x0000_i1101" style="width:0;height:1.5pt" o:hralign="center" o:hrstd="t" o:hr="t" fillcolor="#a0a0a0" stroked="f"/>
        </w:pict>
      </w:r>
    </w:p>
    <w:p w14:paraId="6BF11556" w14:textId="77777777" w:rsidR="00872CEC" w:rsidRPr="00872CEC" w:rsidRDefault="00872CEC" w:rsidP="00872CEC">
      <w:pPr>
        <w:rPr>
          <w:b/>
          <w:bCs/>
        </w:rPr>
      </w:pPr>
      <w:r w:rsidRPr="00872CEC">
        <w:rPr>
          <w:b/>
          <w:bCs/>
        </w:rPr>
        <w:t xml:space="preserve">Clase </w:t>
      </w:r>
      <w:proofErr w:type="spellStart"/>
      <w:r w:rsidRPr="00872CEC">
        <w:rPr>
          <w:b/>
          <w:bCs/>
        </w:rPr>
        <w:t>DataLoader</w:t>
      </w:r>
      <w:proofErr w:type="spellEnd"/>
    </w:p>
    <w:p w14:paraId="1ACC66ED" w14:textId="77777777" w:rsidR="00872CEC" w:rsidRPr="00872CEC" w:rsidRDefault="00872CEC" w:rsidP="00872CEC">
      <w:r w:rsidRPr="00872CEC">
        <w:t xml:space="preserve">La clase </w:t>
      </w:r>
      <w:proofErr w:type="spellStart"/>
      <w:r w:rsidRPr="00872CEC">
        <w:t>DataLoader</w:t>
      </w:r>
      <w:proofErr w:type="spellEnd"/>
      <w:r w:rsidRPr="00872CEC">
        <w:t xml:space="preserve"> es responsable de cargar los datos desde la base de datos SQLite, así como de manejar la conexión con la misma.</w:t>
      </w:r>
    </w:p>
    <w:p w14:paraId="2E954E1E" w14:textId="77777777" w:rsidR="00872CEC" w:rsidRPr="00872CEC" w:rsidRDefault="00872CEC" w:rsidP="00872CEC">
      <w:pPr>
        <w:rPr>
          <w:b/>
          <w:bCs/>
        </w:rPr>
      </w:pPr>
      <w:r w:rsidRPr="00872CEC">
        <w:rPr>
          <w:b/>
          <w:bCs/>
        </w:rPr>
        <w:t>Atributos</w:t>
      </w:r>
    </w:p>
    <w:p w14:paraId="30E29B55" w14:textId="77777777" w:rsidR="00872CEC" w:rsidRPr="00872CEC" w:rsidRDefault="00872CEC" w:rsidP="00872CEC">
      <w:pPr>
        <w:numPr>
          <w:ilvl w:val="0"/>
          <w:numId w:val="4"/>
        </w:numPr>
      </w:pPr>
      <w:r w:rsidRPr="00872CEC">
        <w:rPr>
          <w:b/>
          <w:bCs/>
        </w:rPr>
        <w:t>directorio</w:t>
      </w:r>
      <w:r w:rsidRPr="00872CEC">
        <w:t>: Ruta del directorio donde se encuentra la base de datos y otros archivos relacionados.</w:t>
      </w:r>
    </w:p>
    <w:p w14:paraId="006DDBD5" w14:textId="77777777" w:rsidR="00872CEC" w:rsidRPr="00872CEC" w:rsidRDefault="00872CEC" w:rsidP="00872CEC">
      <w:pPr>
        <w:numPr>
          <w:ilvl w:val="0"/>
          <w:numId w:val="4"/>
        </w:numPr>
      </w:pPr>
      <w:proofErr w:type="spellStart"/>
      <w:r w:rsidRPr="00872CEC">
        <w:rPr>
          <w:b/>
          <w:bCs/>
        </w:rPr>
        <w:t>db_path</w:t>
      </w:r>
      <w:proofErr w:type="spellEnd"/>
      <w:r w:rsidRPr="00872CEC">
        <w:t xml:space="preserve">: Ruta completa a la base de datos </w:t>
      </w:r>
      <w:proofErr w:type="spellStart"/>
      <w:r w:rsidRPr="00872CEC">
        <w:t>database.sqlite</w:t>
      </w:r>
      <w:proofErr w:type="spellEnd"/>
      <w:r w:rsidRPr="00872CEC">
        <w:t>.</w:t>
      </w:r>
    </w:p>
    <w:p w14:paraId="11972697" w14:textId="77777777" w:rsidR="00872CEC" w:rsidRPr="00872CEC" w:rsidRDefault="00872CEC" w:rsidP="00872CEC">
      <w:pPr>
        <w:numPr>
          <w:ilvl w:val="0"/>
          <w:numId w:val="4"/>
        </w:numPr>
      </w:pPr>
      <w:proofErr w:type="spellStart"/>
      <w:r w:rsidRPr="00872CEC">
        <w:rPr>
          <w:b/>
          <w:bCs/>
        </w:rPr>
        <w:t>connection</w:t>
      </w:r>
      <w:proofErr w:type="spellEnd"/>
      <w:r w:rsidRPr="00872CEC">
        <w:t>: Conexión a la base de datos SQLite.</w:t>
      </w:r>
    </w:p>
    <w:p w14:paraId="6EB028C6" w14:textId="77777777" w:rsidR="00872CEC" w:rsidRPr="00872CEC" w:rsidRDefault="00872CEC" w:rsidP="00872CEC">
      <w:pPr>
        <w:rPr>
          <w:b/>
          <w:bCs/>
        </w:rPr>
      </w:pPr>
      <w:r w:rsidRPr="00872CEC">
        <w:rPr>
          <w:b/>
          <w:bCs/>
        </w:rPr>
        <w:t>Métodos</w:t>
      </w:r>
    </w:p>
    <w:p w14:paraId="771928ED" w14:textId="77777777" w:rsidR="00872CEC" w:rsidRPr="00872CEC" w:rsidRDefault="00872CEC" w:rsidP="00872CEC">
      <w:pPr>
        <w:numPr>
          <w:ilvl w:val="0"/>
          <w:numId w:val="5"/>
        </w:numPr>
      </w:pPr>
      <w:r w:rsidRPr="00872CEC">
        <w:rPr>
          <w:b/>
          <w:bCs/>
        </w:rPr>
        <w:t>__</w:t>
      </w:r>
      <w:proofErr w:type="spellStart"/>
      <w:r w:rsidRPr="00872CEC">
        <w:rPr>
          <w:b/>
          <w:bCs/>
        </w:rPr>
        <w:t>init</w:t>
      </w:r>
      <w:proofErr w:type="spellEnd"/>
      <w:r w:rsidRPr="00872CEC">
        <w:rPr>
          <w:b/>
          <w:bCs/>
        </w:rPr>
        <w:t>__(</w:t>
      </w:r>
      <w:proofErr w:type="spellStart"/>
      <w:r w:rsidRPr="00872CEC">
        <w:rPr>
          <w:b/>
          <w:bCs/>
        </w:rPr>
        <w:t>self</w:t>
      </w:r>
      <w:proofErr w:type="spellEnd"/>
      <w:r w:rsidRPr="00872CEC">
        <w:rPr>
          <w:b/>
          <w:bCs/>
        </w:rPr>
        <w:t>, directorio)</w:t>
      </w:r>
      <w:r w:rsidRPr="00872CEC">
        <w:t>: Constructor que inicializa el directorio y la conexión a la base de datos.</w:t>
      </w:r>
    </w:p>
    <w:p w14:paraId="1B441166" w14:textId="77777777" w:rsidR="00872CEC" w:rsidRPr="00872CEC" w:rsidRDefault="00872CEC" w:rsidP="00872CEC">
      <w:pPr>
        <w:numPr>
          <w:ilvl w:val="0"/>
          <w:numId w:val="5"/>
        </w:numPr>
      </w:pPr>
      <w:proofErr w:type="spellStart"/>
      <w:r w:rsidRPr="00872CEC">
        <w:rPr>
          <w:b/>
          <w:bCs/>
        </w:rPr>
        <w:t>get_db_connection</w:t>
      </w:r>
      <w:proofErr w:type="spellEnd"/>
      <w:r w:rsidRPr="00872CEC">
        <w:rPr>
          <w:b/>
          <w:bCs/>
        </w:rPr>
        <w:t>(</w:t>
      </w:r>
      <w:proofErr w:type="spellStart"/>
      <w:r w:rsidRPr="00872CEC">
        <w:rPr>
          <w:b/>
          <w:bCs/>
        </w:rPr>
        <w:t>self</w:t>
      </w:r>
      <w:proofErr w:type="spellEnd"/>
      <w:r w:rsidRPr="00872CEC">
        <w:rPr>
          <w:b/>
          <w:bCs/>
        </w:rPr>
        <w:t>)</w:t>
      </w:r>
      <w:r w:rsidRPr="00872CEC">
        <w:t>: Establece la conexión a la base de datos SQLite. Si la base de datos no existe, lanza una excepción.</w:t>
      </w:r>
    </w:p>
    <w:p w14:paraId="1D5C2EED" w14:textId="77777777" w:rsidR="00872CEC" w:rsidRPr="00872CEC" w:rsidRDefault="00872CEC" w:rsidP="00872CEC">
      <w:pPr>
        <w:numPr>
          <w:ilvl w:val="0"/>
          <w:numId w:val="5"/>
        </w:numPr>
      </w:pPr>
      <w:proofErr w:type="spellStart"/>
      <w:r w:rsidRPr="00872CEC">
        <w:rPr>
          <w:b/>
          <w:bCs/>
        </w:rPr>
        <w:t>load_table_as_dataframe</w:t>
      </w:r>
      <w:proofErr w:type="spellEnd"/>
      <w:r w:rsidRPr="00872CEC">
        <w:rPr>
          <w:b/>
          <w:bCs/>
        </w:rPr>
        <w:t>(</w:t>
      </w:r>
      <w:proofErr w:type="spellStart"/>
      <w:r w:rsidRPr="00872CEC">
        <w:rPr>
          <w:b/>
          <w:bCs/>
        </w:rPr>
        <w:t>self</w:t>
      </w:r>
      <w:proofErr w:type="spellEnd"/>
      <w:r w:rsidRPr="00872CEC">
        <w:rPr>
          <w:b/>
          <w:bCs/>
        </w:rPr>
        <w:t xml:space="preserve">, </w:t>
      </w:r>
      <w:proofErr w:type="spellStart"/>
      <w:r w:rsidRPr="00872CEC">
        <w:rPr>
          <w:b/>
          <w:bCs/>
        </w:rPr>
        <w:t>table_name</w:t>
      </w:r>
      <w:proofErr w:type="spellEnd"/>
      <w:r w:rsidRPr="00872CEC">
        <w:rPr>
          <w:b/>
          <w:bCs/>
        </w:rPr>
        <w:t>)</w:t>
      </w:r>
      <w:r w:rsidRPr="00872CEC">
        <w:t xml:space="preserve">: Carga una tabla completa desde la base de datos como un </w:t>
      </w:r>
      <w:proofErr w:type="spellStart"/>
      <w:r w:rsidRPr="00872CEC">
        <w:t>DataFrame</w:t>
      </w:r>
      <w:proofErr w:type="spellEnd"/>
      <w:r w:rsidRPr="00872CEC">
        <w:t xml:space="preserve"> de Pandas.</w:t>
      </w:r>
    </w:p>
    <w:p w14:paraId="74810EC4" w14:textId="77777777" w:rsidR="00872CEC" w:rsidRPr="00872CEC" w:rsidRDefault="00872CEC" w:rsidP="00872CEC">
      <w:pPr>
        <w:numPr>
          <w:ilvl w:val="0"/>
          <w:numId w:val="5"/>
        </w:numPr>
      </w:pPr>
      <w:proofErr w:type="spellStart"/>
      <w:r w:rsidRPr="00872CEC">
        <w:rPr>
          <w:b/>
          <w:bCs/>
        </w:rPr>
        <w:t>load_parameters</w:t>
      </w:r>
      <w:proofErr w:type="spellEnd"/>
      <w:r w:rsidRPr="00872CEC">
        <w:rPr>
          <w:b/>
          <w:bCs/>
        </w:rPr>
        <w:t>(</w:t>
      </w:r>
      <w:proofErr w:type="spellStart"/>
      <w:r w:rsidRPr="00872CEC">
        <w:rPr>
          <w:b/>
          <w:bCs/>
        </w:rPr>
        <w:t>self</w:t>
      </w:r>
      <w:proofErr w:type="spellEnd"/>
      <w:r w:rsidRPr="00872CEC">
        <w:rPr>
          <w:b/>
          <w:bCs/>
        </w:rPr>
        <w:t>)</w:t>
      </w:r>
      <w:r w:rsidRPr="00872CEC">
        <w:t xml:space="preserve">: Carga los parámetros desde la tabla </w:t>
      </w:r>
      <w:proofErr w:type="spellStart"/>
      <w:r w:rsidRPr="00872CEC">
        <w:t>paremeter</w:t>
      </w:r>
      <w:proofErr w:type="spellEnd"/>
      <w:r w:rsidRPr="00872CEC">
        <w:t xml:space="preserve"> de la base de datos, que contiene configuraciones como las fechas de inicio y fin.</w:t>
      </w:r>
    </w:p>
    <w:p w14:paraId="162058C9" w14:textId="77777777" w:rsidR="00872CEC" w:rsidRPr="00872CEC" w:rsidRDefault="00872CEC" w:rsidP="00872CEC">
      <w:pPr>
        <w:numPr>
          <w:ilvl w:val="0"/>
          <w:numId w:val="5"/>
        </w:numPr>
      </w:pPr>
      <w:proofErr w:type="spellStart"/>
      <w:r w:rsidRPr="00872CEC">
        <w:rPr>
          <w:b/>
          <w:bCs/>
        </w:rPr>
        <w:lastRenderedPageBreak/>
        <w:t>load_sql</w:t>
      </w:r>
      <w:proofErr w:type="spellEnd"/>
      <w:r w:rsidRPr="00872CEC">
        <w:rPr>
          <w:b/>
          <w:bCs/>
        </w:rPr>
        <w:t>(</w:t>
      </w:r>
      <w:proofErr w:type="spellStart"/>
      <w:r w:rsidRPr="00872CEC">
        <w:rPr>
          <w:b/>
          <w:bCs/>
        </w:rPr>
        <w:t>self</w:t>
      </w:r>
      <w:proofErr w:type="spellEnd"/>
      <w:r w:rsidRPr="00872CEC">
        <w:rPr>
          <w:b/>
          <w:bCs/>
        </w:rPr>
        <w:t xml:space="preserve">, </w:t>
      </w:r>
      <w:proofErr w:type="spellStart"/>
      <w:r w:rsidRPr="00872CEC">
        <w:rPr>
          <w:b/>
          <w:bCs/>
        </w:rPr>
        <w:t>sql_file</w:t>
      </w:r>
      <w:proofErr w:type="spellEnd"/>
      <w:r w:rsidRPr="00872CEC">
        <w:rPr>
          <w:b/>
          <w:bCs/>
        </w:rPr>
        <w:t xml:space="preserve">, </w:t>
      </w:r>
      <w:proofErr w:type="spellStart"/>
      <w:r w:rsidRPr="00872CEC">
        <w:rPr>
          <w:b/>
          <w:bCs/>
        </w:rPr>
        <w:t>params</w:t>
      </w:r>
      <w:proofErr w:type="spellEnd"/>
      <w:r w:rsidRPr="00872CEC">
        <w:rPr>
          <w:b/>
          <w:bCs/>
        </w:rPr>
        <w:t>)</w:t>
      </w:r>
      <w:r w:rsidRPr="00872CEC">
        <w:t>: Carga y ejecuta una consulta SQL desde un archivo .</w:t>
      </w:r>
      <w:proofErr w:type="spellStart"/>
      <w:r w:rsidRPr="00872CEC">
        <w:t>sql</w:t>
      </w:r>
      <w:proofErr w:type="spellEnd"/>
      <w:r w:rsidRPr="00872CEC">
        <w:t xml:space="preserve"> y devuelve el resultado como un </w:t>
      </w:r>
      <w:proofErr w:type="spellStart"/>
      <w:r w:rsidRPr="00872CEC">
        <w:t>DataFrame</w:t>
      </w:r>
      <w:proofErr w:type="spellEnd"/>
      <w:r w:rsidRPr="00872CEC">
        <w:t>. Los parámetros para la consulta son pasados dinámicamente.</w:t>
      </w:r>
    </w:p>
    <w:p w14:paraId="71FAD9EE" w14:textId="77777777" w:rsidR="00872CEC" w:rsidRPr="00872CEC" w:rsidRDefault="00872CEC" w:rsidP="00872CEC">
      <w:pPr>
        <w:numPr>
          <w:ilvl w:val="0"/>
          <w:numId w:val="5"/>
        </w:numPr>
      </w:pPr>
      <w:proofErr w:type="spellStart"/>
      <w:r w:rsidRPr="00872CEC">
        <w:rPr>
          <w:b/>
          <w:bCs/>
        </w:rPr>
        <w:t>close_connection</w:t>
      </w:r>
      <w:proofErr w:type="spellEnd"/>
      <w:r w:rsidRPr="00872CEC">
        <w:rPr>
          <w:b/>
          <w:bCs/>
        </w:rPr>
        <w:t>(</w:t>
      </w:r>
      <w:proofErr w:type="spellStart"/>
      <w:r w:rsidRPr="00872CEC">
        <w:rPr>
          <w:b/>
          <w:bCs/>
        </w:rPr>
        <w:t>self</w:t>
      </w:r>
      <w:proofErr w:type="spellEnd"/>
      <w:r w:rsidRPr="00872CEC">
        <w:rPr>
          <w:b/>
          <w:bCs/>
        </w:rPr>
        <w:t>)</w:t>
      </w:r>
      <w:r w:rsidRPr="00872CEC">
        <w:t>: Cierra la conexión a la base de datos.</w:t>
      </w:r>
    </w:p>
    <w:p w14:paraId="3F87612B" w14:textId="77777777" w:rsidR="00872CEC" w:rsidRPr="00872CEC" w:rsidRDefault="00872CEC" w:rsidP="00872CEC">
      <w:r w:rsidRPr="00872CEC">
        <w:pict w14:anchorId="6EC3419E">
          <v:rect id="_x0000_i1102" style="width:0;height:1.5pt" o:hralign="center" o:hrstd="t" o:hr="t" fillcolor="#a0a0a0" stroked="f"/>
        </w:pict>
      </w:r>
    </w:p>
    <w:p w14:paraId="47A78311" w14:textId="77777777" w:rsidR="00872CEC" w:rsidRPr="00872CEC" w:rsidRDefault="00872CEC" w:rsidP="00872CEC">
      <w:pPr>
        <w:rPr>
          <w:b/>
          <w:bCs/>
        </w:rPr>
      </w:pPr>
      <w:r w:rsidRPr="00872CEC">
        <w:rPr>
          <w:b/>
          <w:bCs/>
        </w:rPr>
        <w:t xml:space="preserve">Clase </w:t>
      </w:r>
      <w:proofErr w:type="spellStart"/>
      <w:r w:rsidRPr="00872CEC">
        <w:rPr>
          <w:b/>
          <w:bCs/>
        </w:rPr>
        <w:t>EmailSendOutlook</w:t>
      </w:r>
      <w:proofErr w:type="spellEnd"/>
    </w:p>
    <w:p w14:paraId="005BF1DB" w14:textId="77777777" w:rsidR="00872CEC" w:rsidRPr="00872CEC" w:rsidRDefault="00872CEC" w:rsidP="00872CEC">
      <w:r w:rsidRPr="00872CEC">
        <w:t xml:space="preserve">La clase </w:t>
      </w:r>
      <w:proofErr w:type="spellStart"/>
      <w:r w:rsidRPr="00872CEC">
        <w:t>EmailSendOutlook</w:t>
      </w:r>
      <w:proofErr w:type="spellEnd"/>
      <w:r w:rsidRPr="00872CEC">
        <w:t xml:space="preserve"> se encarga de la autenticación y el envío de correos electrónicos mediante la API de Outlook (Microsoft </w:t>
      </w:r>
      <w:proofErr w:type="spellStart"/>
      <w:r w:rsidRPr="00872CEC">
        <w:t>Graph</w:t>
      </w:r>
      <w:proofErr w:type="spellEnd"/>
      <w:r w:rsidRPr="00872CEC">
        <w:t xml:space="preserve"> API) utilizando el flujo de autenticación OAuth2.</w:t>
      </w:r>
    </w:p>
    <w:p w14:paraId="625A0765" w14:textId="77777777" w:rsidR="00872CEC" w:rsidRPr="00872CEC" w:rsidRDefault="00872CEC" w:rsidP="00872CEC">
      <w:pPr>
        <w:rPr>
          <w:b/>
          <w:bCs/>
        </w:rPr>
      </w:pPr>
      <w:r w:rsidRPr="00872CEC">
        <w:rPr>
          <w:b/>
          <w:bCs/>
        </w:rPr>
        <w:t>Atributos</w:t>
      </w:r>
    </w:p>
    <w:p w14:paraId="32DA874F" w14:textId="77777777" w:rsidR="00872CEC" w:rsidRPr="00872CEC" w:rsidRDefault="00872CEC" w:rsidP="00872CEC">
      <w:pPr>
        <w:numPr>
          <w:ilvl w:val="0"/>
          <w:numId w:val="6"/>
        </w:numPr>
      </w:pPr>
      <w:proofErr w:type="spellStart"/>
      <w:r w:rsidRPr="00872CEC">
        <w:rPr>
          <w:b/>
          <w:bCs/>
        </w:rPr>
        <w:t>client_id</w:t>
      </w:r>
      <w:proofErr w:type="spellEnd"/>
      <w:r w:rsidRPr="00872CEC">
        <w:t xml:space="preserve">: ID de cliente de la aplicación registrada en Azure Active </w:t>
      </w:r>
      <w:proofErr w:type="spellStart"/>
      <w:r w:rsidRPr="00872CEC">
        <w:t>Directory</w:t>
      </w:r>
      <w:proofErr w:type="spellEnd"/>
      <w:r w:rsidRPr="00872CEC">
        <w:t>.</w:t>
      </w:r>
    </w:p>
    <w:p w14:paraId="0485ACDB" w14:textId="77777777" w:rsidR="00872CEC" w:rsidRPr="00872CEC" w:rsidRDefault="00872CEC" w:rsidP="00872CEC">
      <w:pPr>
        <w:numPr>
          <w:ilvl w:val="0"/>
          <w:numId w:val="6"/>
        </w:numPr>
      </w:pPr>
      <w:proofErr w:type="spellStart"/>
      <w:r w:rsidRPr="00872CEC">
        <w:rPr>
          <w:b/>
          <w:bCs/>
        </w:rPr>
        <w:t>tenant_id</w:t>
      </w:r>
      <w:proofErr w:type="spellEnd"/>
      <w:r w:rsidRPr="00872CEC">
        <w:t xml:space="preserve">: ID de inquilino en Azure Active </w:t>
      </w:r>
      <w:proofErr w:type="spellStart"/>
      <w:r w:rsidRPr="00872CEC">
        <w:t>Directory</w:t>
      </w:r>
      <w:proofErr w:type="spellEnd"/>
      <w:r w:rsidRPr="00872CEC">
        <w:t>.</w:t>
      </w:r>
    </w:p>
    <w:p w14:paraId="17450828" w14:textId="77777777" w:rsidR="00872CEC" w:rsidRPr="00872CEC" w:rsidRDefault="00872CEC" w:rsidP="00872CEC">
      <w:pPr>
        <w:numPr>
          <w:ilvl w:val="0"/>
          <w:numId w:val="6"/>
        </w:numPr>
      </w:pPr>
      <w:proofErr w:type="spellStart"/>
      <w:r w:rsidRPr="00872CEC">
        <w:rPr>
          <w:b/>
          <w:bCs/>
        </w:rPr>
        <w:t>username</w:t>
      </w:r>
      <w:proofErr w:type="spellEnd"/>
      <w:r w:rsidRPr="00872CEC">
        <w:t>: Nombre de usuario de Outlook (correo electrónico).</w:t>
      </w:r>
    </w:p>
    <w:p w14:paraId="4E569BA8" w14:textId="77777777" w:rsidR="00872CEC" w:rsidRPr="00872CEC" w:rsidRDefault="00872CEC" w:rsidP="00872CEC">
      <w:pPr>
        <w:numPr>
          <w:ilvl w:val="0"/>
          <w:numId w:val="6"/>
        </w:numPr>
      </w:pPr>
      <w:proofErr w:type="spellStart"/>
      <w:r w:rsidRPr="00872CEC">
        <w:rPr>
          <w:b/>
          <w:bCs/>
        </w:rPr>
        <w:t>password</w:t>
      </w:r>
      <w:proofErr w:type="spellEnd"/>
      <w:r w:rsidRPr="00872CEC">
        <w:t>: Contraseña de Outlook.</w:t>
      </w:r>
    </w:p>
    <w:p w14:paraId="6B9E4D8D" w14:textId="77777777" w:rsidR="00872CEC" w:rsidRPr="00872CEC" w:rsidRDefault="00872CEC" w:rsidP="00872CEC">
      <w:pPr>
        <w:numPr>
          <w:ilvl w:val="0"/>
          <w:numId w:val="6"/>
        </w:numPr>
      </w:pPr>
      <w:proofErr w:type="spellStart"/>
      <w:r w:rsidRPr="00872CEC">
        <w:rPr>
          <w:b/>
          <w:bCs/>
        </w:rPr>
        <w:t>authority</w:t>
      </w:r>
      <w:proofErr w:type="spellEnd"/>
      <w:r w:rsidRPr="00872CEC">
        <w:t>: URL de autorización para obtener el token de acceso.</w:t>
      </w:r>
    </w:p>
    <w:p w14:paraId="33120C0A" w14:textId="77777777" w:rsidR="00872CEC" w:rsidRPr="00872CEC" w:rsidRDefault="00872CEC" w:rsidP="00872CEC">
      <w:pPr>
        <w:numPr>
          <w:ilvl w:val="0"/>
          <w:numId w:val="6"/>
        </w:numPr>
      </w:pPr>
      <w:proofErr w:type="spellStart"/>
      <w:r w:rsidRPr="00872CEC">
        <w:rPr>
          <w:b/>
          <w:bCs/>
        </w:rPr>
        <w:t>scopes</w:t>
      </w:r>
      <w:proofErr w:type="spellEnd"/>
      <w:r w:rsidRPr="00872CEC">
        <w:t>: Alcances requeridos para la API de Outlook.</w:t>
      </w:r>
    </w:p>
    <w:p w14:paraId="5664B22D" w14:textId="77777777" w:rsidR="00872CEC" w:rsidRPr="00872CEC" w:rsidRDefault="00872CEC" w:rsidP="00872CEC">
      <w:pPr>
        <w:numPr>
          <w:ilvl w:val="0"/>
          <w:numId w:val="6"/>
        </w:numPr>
      </w:pPr>
      <w:proofErr w:type="spellStart"/>
      <w:r w:rsidRPr="00872CEC">
        <w:rPr>
          <w:b/>
          <w:bCs/>
        </w:rPr>
        <w:t>access_token</w:t>
      </w:r>
      <w:proofErr w:type="spellEnd"/>
      <w:r w:rsidRPr="00872CEC">
        <w:t>: Token de acceso obtenido tras la autenticación.</w:t>
      </w:r>
    </w:p>
    <w:p w14:paraId="70143A51" w14:textId="77777777" w:rsidR="00872CEC" w:rsidRPr="00872CEC" w:rsidRDefault="00872CEC" w:rsidP="00872CEC">
      <w:pPr>
        <w:rPr>
          <w:b/>
          <w:bCs/>
        </w:rPr>
      </w:pPr>
      <w:r w:rsidRPr="00872CEC">
        <w:rPr>
          <w:b/>
          <w:bCs/>
        </w:rPr>
        <w:t>Métodos</w:t>
      </w:r>
    </w:p>
    <w:p w14:paraId="530E2AB0" w14:textId="77777777" w:rsidR="00872CEC" w:rsidRPr="00872CEC" w:rsidRDefault="00872CEC" w:rsidP="00872CEC">
      <w:pPr>
        <w:numPr>
          <w:ilvl w:val="0"/>
          <w:numId w:val="7"/>
        </w:numPr>
      </w:pPr>
      <w:r w:rsidRPr="00872CEC">
        <w:rPr>
          <w:b/>
          <w:bCs/>
        </w:rPr>
        <w:t>__</w:t>
      </w:r>
      <w:proofErr w:type="spellStart"/>
      <w:r w:rsidRPr="00872CEC">
        <w:rPr>
          <w:b/>
          <w:bCs/>
        </w:rPr>
        <w:t>init</w:t>
      </w:r>
      <w:proofErr w:type="spellEnd"/>
      <w:r w:rsidRPr="00872CEC">
        <w:rPr>
          <w:b/>
          <w:bCs/>
        </w:rPr>
        <w:t>__(</w:t>
      </w:r>
      <w:proofErr w:type="spellStart"/>
      <w:r w:rsidRPr="00872CEC">
        <w:rPr>
          <w:b/>
          <w:bCs/>
        </w:rPr>
        <w:t>self</w:t>
      </w:r>
      <w:proofErr w:type="spellEnd"/>
      <w:r w:rsidRPr="00872CEC">
        <w:rPr>
          <w:b/>
          <w:bCs/>
        </w:rPr>
        <w:t xml:space="preserve">, </w:t>
      </w:r>
      <w:proofErr w:type="spellStart"/>
      <w:r w:rsidRPr="00872CEC">
        <w:rPr>
          <w:b/>
          <w:bCs/>
        </w:rPr>
        <w:t>client_id</w:t>
      </w:r>
      <w:proofErr w:type="spellEnd"/>
      <w:r w:rsidRPr="00872CEC">
        <w:rPr>
          <w:b/>
          <w:bCs/>
        </w:rPr>
        <w:t xml:space="preserve">, </w:t>
      </w:r>
      <w:proofErr w:type="spellStart"/>
      <w:r w:rsidRPr="00872CEC">
        <w:rPr>
          <w:b/>
          <w:bCs/>
        </w:rPr>
        <w:t>tenant_id</w:t>
      </w:r>
      <w:proofErr w:type="spellEnd"/>
      <w:r w:rsidRPr="00872CEC">
        <w:rPr>
          <w:b/>
          <w:bCs/>
        </w:rPr>
        <w:t xml:space="preserve">, </w:t>
      </w:r>
      <w:proofErr w:type="spellStart"/>
      <w:r w:rsidRPr="00872CEC">
        <w:rPr>
          <w:b/>
          <w:bCs/>
        </w:rPr>
        <w:t>username</w:t>
      </w:r>
      <w:proofErr w:type="spellEnd"/>
      <w:r w:rsidRPr="00872CEC">
        <w:rPr>
          <w:b/>
          <w:bCs/>
        </w:rPr>
        <w:t xml:space="preserve">, </w:t>
      </w:r>
      <w:proofErr w:type="spellStart"/>
      <w:r w:rsidRPr="00872CEC">
        <w:rPr>
          <w:b/>
          <w:bCs/>
        </w:rPr>
        <w:t>password</w:t>
      </w:r>
      <w:proofErr w:type="spellEnd"/>
      <w:r w:rsidRPr="00872CEC">
        <w:rPr>
          <w:b/>
          <w:bCs/>
        </w:rPr>
        <w:t>)</w:t>
      </w:r>
      <w:r w:rsidRPr="00872CEC">
        <w:t>: Constructor que inicializa los valores necesarios para la autenticación de Outlook.</w:t>
      </w:r>
    </w:p>
    <w:p w14:paraId="6188861D" w14:textId="77777777" w:rsidR="00872CEC" w:rsidRPr="00872CEC" w:rsidRDefault="00872CEC" w:rsidP="00872CEC">
      <w:pPr>
        <w:numPr>
          <w:ilvl w:val="0"/>
          <w:numId w:val="7"/>
        </w:numPr>
      </w:pPr>
      <w:proofErr w:type="spellStart"/>
      <w:r w:rsidRPr="00872CEC">
        <w:rPr>
          <w:b/>
          <w:bCs/>
        </w:rPr>
        <w:t>authenticate</w:t>
      </w:r>
      <w:proofErr w:type="spellEnd"/>
      <w:r w:rsidRPr="00872CEC">
        <w:rPr>
          <w:b/>
          <w:bCs/>
        </w:rPr>
        <w:t>(</w:t>
      </w:r>
      <w:proofErr w:type="spellStart"/>
      <w:r w:rsidRPr="00872CEC">
        <w:rPr>
          <w:b/>
          <w:bCs/>
        </w:rPr>
        <w:t>self</w:t>
      </w:r>
      <w:proofErr w:type="spellEnd"/>
      <w:r w:rsidRPr="00872CEC">
        <w:rPr>
          <w:b/>
          <w:bCs/>
        </w:rPr>
        <w:t>)</w:t>
      </w:r>
      <w:r w:rsidRPr="00872CEC">
        <w:t>: Realiza la autenticación mediante OAuth2 y obtiene un token de acceso. Si la autenticación falla, lanza una excepción.</w:t>
      </w:r>
    </w:p>
    <w:p w14:paraId="4D8E011E" w14:textId="77777777" w:rsidR="00872CEC" w:rsidRPr="00872CEC" w:rsidRDefault="00872CEC" w:rsidP="00872CEC">
      <w:pPr>
        <w:numPr>
          <w:ilvl w:val="0"/>
          <w:numId w:val="7"/>
        </w:numPr>
      </w:pPr>
      <w:proofErr w:type="spellStart"/>
      <w:r w:rsidRPr="00872CEC">
        <w:rPr>
          <w:b/>
          <w:bCs/>
        </w:rPr>
        <w:t>send_email</w:t>
      </w:r>
      <w:proofErr w:type="spellEnd"/>
      <w:r w:rsidRPr="00872CEC">
        <w:rPr>
          <w:b/>
          <w:bCs/>
        </w:rPr>
        <w:t>(</w:t>
      </w:r>
      <w:proofErr w:type="spellStart"/>
      <w:r w:rsidRPr="00872CEC">
        <w:rPr>
          <w:b/>
          <w:bCs/>
        </w:rPr>
        <w:t>self</w:t>
      </w:r>
      <w:proofErr w:type="spellEnd"/>
      <w:r w:rsidRPr="00872CEC">
        <w:rPr>
          <w:b/>
          <w:bCs/>
        </w:rPr>
        <w:t xml:space="preserve">, </w:t>
      </w:r>
      <w:proofErr w:type="spellStart"/>
      <w:r w:rsidRPr="00872CEC">
        <w:rPr>
          <w:b/>
          <w:bCs/>
        </w:rPr>
        <w:t>recipient</w:t>
      </w:r>
      <w:proofErr w:type="spellEnd"/>
      <w:r w:rsidRPr="00872CEC">
        <w:rPr>
          <w:b/>
          <w:bCs/>
        </w:rPr>
        <w:t xml:space="preserve">, </w:t>
      </w:r>
      <w:proofErr w:type="spellStart"/>
      <w:r w:rsidRPr="00872CEC">
        <w:rPr>
          <w:b/>
          <w:bCs/>
        </w:rPr>
        <w:t>subject</w:t>
      </w:r>
      <w:proofErr w:type="spellEnd"/>
      <w:r w:rsidRPr="00872CEC">
        <w:rPr>
          <w:b/>
          <w:bCs/>
        </w:rPr>
        <w:t xml:space="preserve">, </w:t>
      </w:r>
      <w:proofErr w:type="spellStart"/>
      <w:r w:rsidRPr="00872CEC">
        <w:rPr>
          <w:b/>
          <w:bCs/>
        </w:rPr>
        <w:t>body</w:t>
      </w:r>
      <w:proofErr w:type="spellEnd"/>
      <w:r w:rsidRPr="00872CEC">
        <w:rPr>
          <w:b/>
          <w:bCs/>
        </w:rPr>
        <w:t>)</w:t>
      </w:r>
      <w:r w:rsidRPr="00872CEC">
        <w:t>: Envía un correo electrónico con los resultados de las comisiones. El cuerpo del correo incluye un resumen de las comisiones y un archivo adjunto con los resultados en formato Excel.</w:t>
      </w:r>
    </w:p>
    <w:p w14:paraId="5BCDBC08" w14:textId="77777777" w:rsidR="00872CEC" w:rsidRPr="00872CEC" w:rsidRDefault="00872CEC" w:rsidP="00872CEC">
      <w:r w:rsidRPr="00872CEC">
        <w:pict w14:anchorId="53B946DA">
          <v:rect id="_x0000_i1103" style="width:0;height:1.5pt" o:hralign="center" o:hrstd="t" o:hr="t" fillcolor="#a0a0a0" stroked="f"/>
        </w:pict>
      </w:r>
    </w:p>
    <w:p w14:paraId="7EB35A77" w14:textId="77777777" w:rsidR="00872CEC" w:rsidRPr="00872CEC" w:rsidRDefault="00872CEC" w:rsidP="00872CEC">
      <w:pPr>
        <w:rPr>
          <w:b/>
          <w:bCs/>
        </w:rPr>
      </w:pPr>
      <w:r w:rsidRPr="00872CEC">
        <w:rPr>
          <w:b/>
          <w:bCs/>
        </w:rPr>
        <w:t>Archivo SQL y Consultas</w:t>
      </w:r>
    </w:p>
    <w:p w14:paraId="41A28616" w14:textId="77777777" w:rsidR="00872CEC" w:rsidRPr="00872CEC" w:rsidRDefault="00872CEC" w:rsidP="00872CEC">
      <w:r w:rsidRPr="00872CEC">
        <w:t>El código hace uso de consultas SQL almacenadas en archivos .</w:t>
      </w:r>
      <w:proofErr w:type="spellStart"/>
      <w:r w:rsidRPr="00872CEC">
        <w:t>sql</w:t>
      </w:r>
      <w:proofErr w:type="spellEnd"/>
      <w:r w:rsidRPr="00872CEC">
        <w:t xml:space="preserve"> para interactuar con la base de datos:</w:t>
      </w:r>
    </w:p>
    <w:p w14:paraId="12FEC167" w14:textId="77777777" w:rsidR="00872CEC" w:rsidRPr="00872CEC" w:rsidRDefault="00872CEC" w:rsidP="00872CEC">
      <w:pPr>
        <w:numPr>
          <w:ilvl w:val="0"/>
          <w:numId w:val="8"/>
        </w:numPr>
      </w:pPr>
      <w:proofErr w:type="spellStart"/>
      <w:r w:rsidRPr="00872CEC">
        <w:rPr>
          <w:b/>
          <w:bCs/>
        </w:rPr>
        <w:t>count_call_api.sql</w:t>
      </w:r>
      <w:proofErr w:type="spellEnd"/>
      <w:r w:rsidRPr="00872CEC">
        <w:t>: Consulta que obtiene el número de peticiones exitosas y no exitosas para las empresas durante el mes de julio y agosto de 2024.</w:t>
      </w:r>
    </w:p>
    <w:p w14:paraId="524E43DD" w14:textId="77777777" w:rsidR="00872CEC" w:rsidRPr="00872CEC" w:rsidRDefault="00872CEC" w:rsidP="00872CEC">
      <w:pPr>
        <w:numPr>
          <w:ilvl w:val="0"/>
          <w:numId w:val="8"/>
        </w:numPr>
      </w:pPr>
      <w:proofErr w:type="spellStart"/>
      <w:r w:rsidRPr="00872CEC">
        <w:rPr>
          <w:b/>
          <w:bCs/>
        </w:rPr>
        <w:t>cc.sql</w:t>
      </w:r>
      <w:proofErr w:type="spellEnd"/>
      <w:r w:rsidRPr="00872CEC">
        <w:t>: Consulta que calcula las comisiones según los contratos y las condiciones especificadas en el planteamiento del problema.</w:t>
      </w:r>
    </w:p>
    <w:p w14:paraId="1F8E5F03" w14:textId="77777777" w:rsidR="00872CEC" w:rsidRPr="00872CEC" w:rsidRDefault="00872CEC" w:rsidP="00872CEC">
      <w:r w:rsidRPr="00872CEC">
        <w:pict w14:anchorId="05E00E2A">
          <v:rect id="_x0000_i1104" style="width:0;height:1.5pt" o:hralign="center" o:hrstd="t" o:hr="t" fillcolor="#a0a0a0" stroked="f"/>
        </w:pict>
      </w:r>
    </w:p>
    <w:p w14:paraId="33DFB4E1" w14:textId="77777777" w:rsidR="00872CEC" w:rsidRPr="00872CEC" w:rsidRDefault="00872CEC" w:rsidP="00872CEC">
      <w:pPr>
        <w:rPr>
          <w:b/>
          <w:bCs/>
        </w:rPr>
      </w:pPr>
      <w:r w:rsidRPr="00872CEC">
        <w:rPr>
          <w:b/>
          <w:bCs/>
        </w:rPr>
        <w:lastRenderedPageBreak/>
        <w:t>Flujo Completo de Ejecución</w:t>
      </w:r>
    </w:p>
    <w:p w14:paraId="282AFDD2" w14:textId="77777777" w:rsidR="00872CEC" w:rsidRPr="00872CEC" w:rsidRDefault="00872CEC" w:rsidP="00872CEC">
      <w:pPr>
        <w:numPr>
          <w:ilvl w:val="0"/>
          <w:numId w:val="9"/>
        </w:numPr>
      </w:pPr>
      <w:r w:rsidRPr="00872CEC">
        <w:rPr>
          <w:b/>
          <w:bCs/>
        </w:rPr>
        <w:t>Carga de datos</w:t>
      </w:r>
      <w:r w:rsidRPr="00872CEC">
        <w:t xml:space="preserve">: Se cargan los datos desde la base de datos SQLite utilizando la clase </w:t>
      </w:r>
      <w:proofErr w:type="spellStart"/>
      <w:r w:rsidRPr="00872CEC">
        <w:t>DataLoader</w:t>
      </w:r>
      <w:proofErr w:type="spellEnd"/>
      <w:r w:rsidRPr="00872CEC">
        <w:t>. Esto incluye las tablas de comisiones y descuentos, así como los parámetros de configuración (fechas, correo, credenciales).</w:t>
      </w:r>
    </w:p>
    <w:p w14:paraId="14583237" w14:textId="77777777" w:rsidR="00872CEC" w:rsidRPr="00872CEC" w:rsidRDefault="00872CEC" w:rsidP="00872CEC">
      <w:pPr>
        <w:numPr>
          <w:ilvl w:val="0"/>
          <w:numId w:val="9"/>
        </w:numPr>
      </w:pPr>
      <w:r w:rsidRPr="00872CEC">
        <w:rPr>
          <w:b/>
          <w:bCs/>
        </w:rPr>
        <w:t>Cálculo de comisiones</w:t>
      </w:r>
      <w:r w:rsidRPr="00872CEC">
        <w:t>: Se calcula el total a cobrar según las peticiones exitosas y no exitosas. Las comisiones son determinadas por las condiciones de cada contrato (fijo o variable). También se aplica el IVA (19%) y los descuentos, si es necesario.</w:t>
      </w:r>
    </w:p>
    <w:p w14:paraId="168B220E" w14:textId="77777777" w:rsidR="00872CEC" w:rsidRPr="00872CEC" w:rsidRDefault="00872CEC" w:rsidP="00872CEC">
      <w:pPr>
        <w:numPr>
          <w:ilvl w:val="0"/>
          <w:numId w:val="9"/>
        </w:numPr>
      </w:pPr>
      <w:r w:rsidRPr="00872CEC">
        <w:rPr>
          <w:b/>
          <w:bCs/>
        </w:rPr>
        <w:t>Guardado de resultados</w:t>
      </w:r>
      <w:r w:rsidRPr="00872CEC">
        <w:t>: Los resultados son guardados en un archivo Excel, que se almacena en una carpeta de resultados dentro del directorio especificado.</w:t>
      </w:r>
    </w:p>
    <w:p w14:paraId="72A61DCB" w14:textId="760E7CA9" w:rsidR="00872CEC" w:rsidRDefault="00872CEC" w:rsidP="00872CEC">
      <w:pPr>
        <w:numPr>
          <w:ilvl w:val="0"/>
          <w:numId w:val="9"/>
        </w:numPr>
      </w:pPr>
      <w:r w:rsidRPr="00872CEC">
        <w:rPr>
          <w:b/>
          <w:bCs/>
        </w:rPr>
        <w:t>Envío de resultados</w:t>
      </w:r>
      <w:r w:rsidRPr="00872CEC">
        <w:t>: Un correo electrónico es enviado a los destinatarios con el resumen de las comisiones calculadas y un archivo adjunto con los resultados en formato Excel.</w:t>
      </w:r>
    </w:p>
    <w:p w14:paraId="24D155B5" w14:textId="77777777" w:rsidR="0040151F" w:rsidRDefault="0040151F" w:rsidP="0040151F">
      <w:pPr>
        <w:ind w:left="720"/>
      </w:pPr>
    </w:p>
    <w:p w14:paraId="1E628A95" w14:textId="77777777" w:rsidR="0040151F" w:rsidRPr="0040151F" w:rsidRDefault="0040151F" w:rsidP="0040151F">
      <w:pPr>
        <w:ind w:left="360"/>
        <w:rPr>
          <w:b/>
          <w:bCs/>
        </w:rPr>
      </w:pPr>
      <w:r w:rsidRPr="0040151F">
        <w:rPr>
          <w:b/>
          <w:bCs/>
        </w:rPr>
        <w:t>Contextualización del proceso</w:t>
      </w:r>
    </w:p>
    <w:p w14:paraId="456B3106" w14:textId="77777777" w:rsidR="0040151F" w:rsidRPr="0040151F" w:rsidRDefault="0040151F" w:rsidP="0040151F">
      <w:pPr>
        <w:numPr>
          <w:ilvl w:val="0"/>
          <w:numId w:val="10"/>
        </w:numPr>
      </w:pPr>
      <w:r w:rsidRPr="0040151F">
        <w:rPr>
          <w:b/>
          <w:bCs/>
        </w:rPr>
        <w:t>Autenticación con OAuth2 en lugar de autenticación básica</w:t>
      </w:r>
      <w:r w:rsidRPr="0040151F">
        <w:t>: Microsoft desactivó el método de autenticación básica, que anteriormente permitía que aplicaciones de terceros autenticaran a los usuarios simplemente utilizando su nombre de usuario y contraseña. Este cambio se realizó debido a que la autenticación básica es menos segura que el flujo de OAuth2, que es más robusto y proporciona una mayor seguridad al manejar el acceso a los servicios de Microsoft 365.</w:t>
      </w:r>
    </w:p>
    <w:p w14:paraId="2B8F99C0" w14:textId="77777777" w:rsidR="0040151F" w:rsidRPr="0040151F" w:rsidRDefault="0040151F" w:rsidP="0040151F">
      <w:pPr>
        <w:numPr>
          <w:ilvl w:val="0"/>
          <w:numId w:val="10"/>
        </w:numPr>
      </w:pPr>
      <w:r w:rsidRPr="0040151F">
        <w:rPr>
          <w:b/>
          <w:bCs/>
        </w:rPr>
        <w:t>Obtención de credenciales</w:t>
      </w:r>
      <w:r w:rsidRPr="0040151F">
        <w:t>: Para autenticarte y obtener las credenciales necesarias para enviar correos electrónicos a través de Outlook con OAuth2, debes seguir estos pasos:</w:t>
      </w:r>
    </w:p>
    <w:p w14:paraId="3F0A27B4" w14:textId="77777777" w:rsidR="0040151F" w:rsidRPr="0040151F" w:rsidRDefault="0040151F" w:rsidP="0040151F">
      <w:pPr>
        <w:ind w:left="360"/>
        <w:rPr>
          <w:b/>
          <w:bCs/>
        </w:rPr>
      </w:pPr>
      <w:r w:rsidRPr="0040151F">
        <w:rPr>
          <w:b/>
          <w:bCs/>
        </w:rPr>
        <w:t>Pasos para obtener las credenciales necesarias:</w:t>
      </w:r>
    </w:p>
    <w:p w14:paraId="03A1ECC6" w14:textId="37388401" w:rsidR="0040151F" w:rsidRPr="0040151F" w:rsidRDefault="0040151F" w:rsidP="0040151F">
      <w:pPr>
        <w:ind w:left="360"/>
        <w:rPr>
          <w:b/>
          <w:bCs/>
        </w:rPr>
      </w:pPr>
      <w:r w:rsidRPr="0040151F">
        <w:rPr>
          <w:b/>
          <w:bCs/>
        </w:rPr>
        <w:t>1. Instalación de los módulos necesarios en PowerShell</w:t>
      </w:r>
      <w:r w:rsidR="00FB1CB6">
        <w:rPr>
          <w:b/>
          <w:bCs/>
        </w:rPr>
        <w:t xml:space="preserve"> si </w:t>
      </w:r>
      <w:proofErr w:type="spellStart"/>
      <w:r w:rsidR="00FB1CB6">
        <w:rPr>
          <w:b/>
          <w:bCs/>
        </w:rPr>
        <w:t>asi</w:t>
      </w:r>
      <w:proofErr w:type="spellEnd"/>
      <w:r w:rsidR="00FB1CB6">
        <w:rPr>
          <w:b/>
          <w:bCs/>
        </w:rPr>
        <w:t xml:space="preserve"> lo quieres.</w:t>
      </w:r>
    </w:p>
    <w:p w14:paraId="76052D3C" w14:textId="77777777" w:rsidR="0040151F" w:rsidRPr="0040151F" w:rsidRDefault="0040151F" w:rsidP="0040151F">
      <w:pPr>
        <w:ind w:left="360"/>
      </w:pPr>
      <w:r w:rsidRPr="0040151F">
        <w:t xml:space="preserve">Desde PowerShell, puedes instalar el módulo de Microsoft </w:t>
      </w:r>
      <w:proofErr w:type="spellStart"/>
      <w:r w:rsidRPr="0040151F">
        <w:t>Graph</w:t>
      </w:r>
      <w:proofErr w:type="spellEnd"/>
      <w:r w:rsidRPr="0040151F">
        <w:t>, que es la interfaz para interactuar con los servicios de Microsoft 365, como Outlook. La documentación oficial de Microsoft explica cómo realizar la instalación.</w:t>
      </w:r>
    </w:p>
    <w:p w14:paraId="3FA557AD" w14:textId="77777777" w:rsidR="0040151F" w:rsidRPr="0040151F" w:rsidRDefault="0040151F" w:rsidP="0040151F">
      <w:pPr>
        <w:ind w:left="360"/>
      </w:pPr>
      <w:r w:rsidRPr="0040151F">
        <w:rPr>
          <w:b/>
          <w:bCs/>
        </w:rPr>
        <w:t>Enlace de la documentación:</w:t>
      </w:r>
    </w:p>
    <w:p w14:paraId="45214B82" w14:textId="77777777" w:rsidR="0040151F" w:rsidRPr="0040151F" w:rsidRDefault="0040151F" w:rsidP="0040151F">
      <w:pPr>
        <w:numPr>
          <w:ilvl w:val="0"/>
          <w:numId w:val="11"/>
        </w:numPr>
      </w:pPr>
      <w:hyperlink r:id="rId5" w:tgtFrame="_new" w:history="1">
        <w:r w:rsidRPr="0040151F">
          <w:rPr>
            <w:rStyle w:val="Hipervnculo"/>
          </w:rPr>
          <w:t>Instalación del módulo de Mi</w:t>
        </w:r>
        <w:r w:rsidRPr="0040151F">
          <w:rPr>
            <w:rStyle w:val="Hipervnculo"/>
          </w:rPr>
          <w:t>c</w:t>
        </w:r>
        <w:r w:rsidRPr="0040151F">
          <w:rPr>
            <w:rStyle w:val="Hipervnculo"/>
          </w:rPr>
          <w:t xml:space="preserve">rosoft </w:t>
        </w:r>
        <w:proofErr w:type="spellStart"/>
        <w:r w:rsidRPr="0040151F">
          <w:rPr>
            <w:rStyle w:val="Hipervnculo"/>
          </w:rPr>
          <w:t>Graph</w:t>
        </w:r>
        <w:proofErr w:type="spellEnd"/>
        <w:r w:rsidRPr="0040151F">
          <w:rPr>
            <w:rStyle w:val="Hipervnculo"/>
          </w:rPr>
          <w:t xml:space="preserve"> en PowerShell</w:t>
        </w:r>
      </w:hyperlink>
    </w:p>
    <w:p w14:paraId="295A94E4" w14:textId="369438D0" w:rsidR="0040151F" w:rsidRDefault="0040151F" w:rsidP="0040151F">
      <w:pPr>
        <w:ind w:left="360"/>
      </w:pPr>
      <w:r w:rsidRPr="0040151F">
        <w:t xml:space="preserve">Aquí se especifican los pasos para instalar el módulo y configurar el entorno para interactuar con Microsoft </w:t>
      </w:r>
      <w:proofErr w:type="spellStart"/>
      <w:r w:rsidRPr="0040151F">
        <w:t>Graph</w:t>
      </w:r>
      <w:proofErr w:type="spellEnd"/>
      <w:r w:rsidRPr="0040151F">
        <w:t xml:space="preserve"> utilizando PowerShell.</w:t>
      </w:r>
    </w:p>
    <w:p w14:paraId="6F5445CC" w14:textId="6A8800DD" w:rsidR="00FB1CB6" w:rsidRPr="0040151F" w:rsidRDefault="00FB1CB6" w:rsidP="0040151F">
      <w:pPr>
        <w:ind w:left="360"/>
        <w:rPr>
          <w:b/>
          <w:bCs/>
        </w:rPr>
      </w:pPr>
      <w:r w:rsidRPr="00FB1CB6">
        <w:rPr>
          <w:b/>
          <w:bCs/>
          <w:highlight w:val="cyan"/>
        </w:rPr>
        <w:t>¡SI no!:</w:t>
      </w:r>
    </w:p>
    <w:p w14:paraId="130EC06E" w14:textId="77777777" w:rsidR="0040151F" w:rsidRPr="0040151F" w:rsidRDefault="0040151F" w:rsidP="0040151F">
      <w:pPr>
        <w:ind w:left="360"/>
        <w:rPr>
          <w:b/>
          <w:bCs/>
        </w:rPr>
      </w:pPr>
      <w:r w:rsidRPr="0040151F">
        <w:rPr>
          <w:b/>
          <w:bCs/>
        </w:rPr>
        <w:t xml:space="preserve">2. Crear una aplicación en Azure Active </w:t>
      </w:r>
      <w:proofErr w:type="spellStart"/>
      <w:r w:rsidRPr="0040151F">
        <w:rPr>
          <w:b/>
          <w:bCs/>
        </w:rPr>
        <w:t>Directory</w:t>
      </w:r>
      <w:proofErr w:type="spellEnd"/>
      <w:r w:rsidRPr="0040151F">
        <w:rPr>
          <w:b/>
          <w:bCs/>
        </w:rPr>
        <w:t xml:space="preserve"> (Azure AD)</w:t>
      </w:r>
    </w:p>
    <w:p w14:paraId="37F8E805" w14:textId="77777777" w:rsidR="0040151F" w:rsidRPr="0040151F" w:rsidRDefault="0040151F" w:rsidP="0040151F">
      <w:pPr>
        <w:ind w:left="360"/>
      </w:pPr>
      <w:r w:rsidRPr="0040151F">
        <w:t>Para utilizar OAuth2, es necesario crear una aplicación en Azure AD que pueda solicitar permisos para enviar correos en nombre del usuario. Esta aplicación se puede crear desde la consola gráfica de Azure, o alternativamente, puedes usar PowerShell para gestionarla.</w:t>
      </w:r>
    </w:p>
    <w:p w14:paraId="62E9DA29" w14:textId="77777777" w:rsidR="0040151F" w:rsidRPr="0040151F" w:rsidRDefault="0040151F" w:rsidP="0040151F">
      <w:pPr>
        <w:ind w:left="360"/>
      </w:pPr>
      <w:r w:rsidRPr="0040151F">
        <w:rPr>
          <w:b/>
          <w:bCs/>
        </w:rPr>
        <w:lastRenderedPageBreak/>
        <w:t>Enlace de la documentación:</w:t>
      </w:r>
    </w:p>
    <w:p w14:paraId="406348A3" w14:textId="42CE5A0F" w:rsidR="0040151F" w:rsidRPr="0040151F" w:rsidRDefault="0040151F" w:rsidP="0040151F">
      <w:pPr>
        <w:numPr>
          <w:ilvl w:val="0"/>
          <w:numId w:val="12"/>
        </w:numPr>
      </w:pPr>
      <w:hyperlink r:id="rId6" w:tgtFrame="_new" w:history="1">
        <w:r w:rsidRPr="0040151F">
          <w:rPr>
            <w:rStyle w:val="Hipervnculo"/>
          </w:rPr>
          <w:t xml:space="preserve">Tutorial para aplicaciones </w:t>
        </w:r>
        <w:r w:rsidRPr="0040151F">
          <w:rPr>
            <w:rStyle w:val="Hipervnculo"/>
          </w:rPr>
          <w:t>d</w:t>
        </w:r>
        <w:r w:rsidRPr="0040151F">
          <w:rPr>
            <w:rStyle w:val="Hipervnculo"/>
          </w:rPr>
          <w:t>e solo autenticación con Python y PowerShell</w:t>
        </w:r>
      </w:hyperlink>
    </w:p>
    <w:p w14:paraId="3BE664B7" w14:textId="48B34F5F" w:rsidR="0040151F" w:rsidRPr="0040151F" w:rsidRDefault="0040151F" w:rsidP="0040151F">
      <w:pPr>
        <w:ind w:left="360"/>
      </w:pPr>
      <w:r w:rsidRPr="0040151F">
        <w:t>Este tutorial te guía paso a paso para registrar una aplicación en Azure AD, establecer los permisos necesarios y obtener las credenciales</w:t>
      </w:r>
      <w:r w:rsidR="00FB1CB6">
        <w:t xml:space="preserve"> pero desde la parte grafica</w:t>
      </w:r>
      <w:r w:rsidRPr="0040151F">
        <w:t>.</w:t>
      </w:r>
    </w:p>
    <w:p w14:paraId="10B28F9C" w14:textId="77777777" w:rsidR="0040151F" w:rsidRPr="0040151F" w:rsidRDefault="0040151F" w:rsidP="0040151F">
      <w:pPr>
        <w:ind w:left="360"/>
        <w:rPr>
          <w:b/>
          <w:bCs/>
        </w:rPr>
      </w:pPr>
      <w:r w:rsidRPr="0040151F">
        <w:rPr>
          <w:b/>
          <w:bCs/>
        </w:rPr>
        <w:t>3. Obtener el token de acceso</w:t>
      </w:r>
    </w:p>
    <w:p w14:paraId="2D3BFFF5" w14:textId="77777777" w:rsidR="0040151F" w:rsidRPr="0040151F" w:rsidRDefault="0040151F" w:rsidP="0040151F">
      <w:pPr>
        <w:ind w:left="360"/>
      </w:pPr>
      <w:r w:rsidRPr="0040151F">
        <w:t xml:space="preserve">Una vez que hayas registrado la aplicación en Azure AD, podrás obtener un token de acceso mediante el flujo de autenticación OAuth2. Este token es el que usarás para autenticar las solicitudes que la aplicación haga a la API de Microsoft </w:t>
      </w:r>
      <w:proofErr w:type="spellStart"/>
      <w:r w:rsidRPr="0040151F">
        <w:t>Graph</w:t>
      </w:r>
      <w:proofErr w:type="spellEnd"/>
      <w:r w:rsidRPr="0040151F">
        <w:t xml:space="preserve"> (como el envío de correos).</w:t>
      </w:r>
    </w:p>
    <w:p w14:paraId="71D71AE4" w14:textId="77777777" w:rsidR="0040151F" w:rsidRPr="0040151F" w:rsidRDefault="0040151F" w:rsidP="0040151F">
      <w:pPr>
        <w:ind w:left="360"/>
      </w:pPr>
      <w:r w:rsidRPr="0040151F">
        <w:t xml:space="preserve">El token de acceso se obtiene al interactuar con el servicio de autenticación de Microsoft y se debe incluir en las solicitudes a Microsoft </w:t>
      </w:r>
      <w:proofErr w:type="spellStart"/>
      <w:r w:rsidRPr="0040151F">
        <w:t>Graph</w:t>
      </w:r>
      <w:proofErr w:type="spellEnd"/>
      <w:r w:rsidRPr="0040151F">
        <w:t xml:space="preserve"> para enviar correos electrónicos.</w:t>
      </w:r>
    </w:p>
    <w:p w14:paraId="642F8234" w14:textId="77777777" w:rsidR="0040151F" w:rsidRPr="0040151F" w:rsidRDefault="0040151F" w:rsidP="0040151F">
      <w:pPr>
        <w:ind w:left="360"/>
        <w:rPr>
          <w:b/>
          <w:bCs/>
        </w:rPr>
      </w:pPr>
      <w:r w:rsidRPr="0040151F">
        <w:rPr>
          <w:b/>
          <w:bCs/>
        </w:rPr>
        <w:t xml:space="preserve">4. Uso de la API de Microsoft </w:t>
      </w:r>
      <w:proofErr w:type="spellStart"/>
      <w:r w:rsidRPr="0040151F">
        <w:rPr>
          <w:b/>
          <w:bCs/>
        </w:rPr>
        <w:t>Graph</w:t>
      </w:r>
      <w:proofErr w:type="spellEnd"/>
      <w:r w:rsidRPr="0040151F">
        <w:rPr>
          <w:b/>
          <w:bCs/>
        </w:rPr>
        <w:t xml:space="preserve"> para enviar correos</w:t>
      </w:r>
    </w:p>
    <w:p w14:paraId="0DA2FBF4" w14:textId="77777777" w:rsidR="0040151F" w:rsidRPr="0040151F" w:rsidRDefault="0040151F" w:rsidP="0040151F">
      <w:pPr>
        <w:ind w:left="360"/>
      </w:pPr>
      <w:r w:rsidRPr="0040151F">
        <w:t xml:space="preserve">Con el token de acceso en mano, puedes usar la API de Microsoft </w:t>
      </w:r>
      <w:proofErr w:type="spellStart"/>
      <w:r w:rsidRPr="0040151F">
        <w:t>Graph</w:t>
      </w:r>
      <w:proofErr w:type="spellEnd"/>
      <w:r w:rsidRPr="0040151F">
        <w:t xml:space="preserve"> para enviar correos electrónicos a través de Outlook. El proceso de envío de correos es manejado mediante solicitudes HTTP que incluyen el token de acceso en los encabezados de la petición.</w:t>
      </w:r>
    </w:p>
    <w:p w14:paraId="40A88B2B" w14:textId="77777777" w:rsidR="0040151F" w:rsidRPr="0040151F" w:rsidRDefault="0040151F" w:rsidP="0040151F">
      <w:pPr>
        <w:ind w:left="360"/>
        <w:rPr>
          <w:b/>
          <w:bCs/>
        </w:rPr>
      </w:pPr>
      <w:r w:rsidRPr="0040151F">
        <w:rPr>
          <w:b/>
          <w:bCs/>
        </w:rPr>
        <w:t>Resumen del flujo</w:t>
      </w:r>
    </w:p>
    <w:p w14:paraId="1CEFCE0F" w14:textId="21F8D44B" w:rsidR="0040151F" w:rsidRDefault="0040151F" w:rsidP="0040151F">
      <w:pPr>
        <w:numPr>
          <w:ilvl w:val="0"/>
          <w:numId w:val="13"/>
        </w:numPr>
      </w:pPr>
      <w:r w:rsidRPr="0040151F">
        <w:rPr>
          <w:b/>
          <w:bCs/>
        </w:rPr>
        <w:t xml:space="preserve">Instalar el módulo de Microsoft </w:t>
      </w:r>
      <w:proofErr w:type="spellStart"/>
      <w:r w:rsidRPr="0040151F">
        <w:rPr>
          <w:b/>
          <w:bCs/>
        </w:rPr>
        <w:t>Graph</w:t>
      </w:r>
      <w:proofErr w:type="spellEnd"/>
      <w:r w:rsidRPr="0040151F">
        <w:t>: Usar PowerShell o la interfaz gráfica de Azure.</w:t>
      </w:r>
    </w:p>
    <w:p w14:paraId="61F5007C" w14:textId="0F207A94" w:rsidR="00FB1CB6" w:rsidRPr="0040151F" w:rsidRDefault="00FB1CB6" w:rsidP="0040151F">
      <w:pPr>
        <w:numPr>
          <w:ilvl w:val="0"/>
          <w:numId w:val="13"/>
        </w:numPr>
      </w:pPr>
      <w:r>
        <w:rPr>
          <w:b/>
          <w:bCs/>
        </w:rPr>
        <w:t>O</w:t>
      </w:r>
    </w:p>
    <w:p w14:paraId="36C0DC55" w14:textId="77777777" w:rsidR="0040151F" w:rsidRPr="0040151F" w:rsidRDefault="0040151F" w:rsidP="0040151F">
      <w:pPr>
        <w:numPr>
          <w:ilvl w:val="0"/>
          <w:numId w:val="13"/>
        </w:numPr>
      </w:pPr>
      <w:r w:rsidRPr="0040151F">
        <w:rPr>
          <w:b/>
          <w:bCs/>
        </w:rPr>
        <w:t>Registrar la aplicación en Azure AD</w:t>
      </w:r>
      <w:r w:rsidRPr="0040151F">
        <w:t>: Establecer los permisos de acceso y configurar la aplicación para usar OAuth2.</w:t>
      </w:r>
    </w:p>
    <w:p w14:paraId="1FD17C47" w14:textId="77777777" w:rsidR="0040151F" w:rsidRPr="0040151F" w:rsidRDefault="0040151F" w:rsidP="0040151F">
      <w:pPr>
        <w:numPr>
          <w:ilvl w:val="0"/>
          <w:numId w:val="13"/>
        </w:numPr>
      </w:pPr>
      <w:r w:rsidRPr="0040151F">
        <w:rPr>
          <w:b/>
          <w:bCs/>
        </w:rPr>
        <w:t>Obtener el token de acceso</w:t>
      </w:r>
      <w:r w:rsidRPr="0040151F">
        <w:t>: Autenticarse mediante OAuth2 y obtener el token necesario para realizar acciones en nombre del usuario.</w:t>
      </w:r>
    </w:p>
    <w:p w14:paraId="429969A3" w14:textId="77777777" w:rsidR="0040151F" w:rsidRPr="0040151F" w:rsidRDefault="0040151F" w:rsidP="0040151F">
      <w:pPr>
        <w:numPr>
          <w:ilvl w:val="0"/>
          <w:numId w:val="13"/>
        </w:numPr>
      </w:pPr>
      <w:r w:rsidRPr="0040151F">
        <w:rPr>
          <w:b/>
          <w:bCs/>
        </w:rPr>
        <w:t>Enviar correos electrónicos</w:t>
      </w:r>
      <w:r w:rsidRPr="0040151F">
        <w:t xml:space="preserve">: Usar la API de Microsoft </w:t>
      </w:r>
      <w:proofErr w:type="spellStart"/>
      <w:r w:rsidRPr="0040151F">
        <w:t>Graph</w:t>
      </w:r>
      <w:proofErr w:type="spellEnd"/>
      <w:r w:rsidRPr="0040151F">
        <w:t xml:space="preserve"> con el token de acceso para enviar correos a través de Outlook.</w:t>
      </w:r>
    </w:p>
    <w:p w14:paraId="0BB9510B" w14:textId="77777777" w:rsidR="00FB1CB6" w:rsidRPr="00FB1CB6" w:rsidRDefault="0040151F" w:rsidP="00FB1CB6">
      <w:pPr>
        <w:ind w:left="360"/>
        <w:rPr>
          <w:b/>
          <w:bCs/>
        </w:rPr>
      </w:pPr>
      <w:r w:rsidRPr="0040151F">
        <w:t>Este proceso reemplaza la antigua autenticación básica, mejorando la seguridad y la integridad de las aplicaciones que interactúan con los servicios de Microsoft.</w:t>
      </w:r>
      <w:r w:rsidR="00FB1CB6">
        <w:br/>
      </w:r>
      <w:r w:rsidR="00FB1CB6">
        <w:br/>
      </w:r>
      <w:r w:rsidR="00FB1CB6">
        <w:br/>
      </w:r>
      <w:r w:rsidR="00FB1CB6" w:rsidRPr="00FB1CB6">
        <w:rPr>
          <w:b/>
          <w:bCs/>
        </w:rPr>
        <w:t>Documentación de la Base de Datos</w:t>
      </w:r>
    </w:p>
    <w:p w14:paraId="5F66D18F" w14:textId="77777777" w:rsidR="00FB1CB6" w:rsidRPr="00FB1CB6" w:rsidRDefault="00FB1CB6" w:rsidP="00FB1CB6">
      <w:pPr>
        <w:ind w:left="360"/>
        <w:rPr>
          <w:b/>
          <w:bCs/>
        </w:rPr>
      </w:pPr>
      <w:r w:rsidRPr="00FB1CB6">
        <w:rPr>
          <w:b/>
          <w:bCs/>
        </w:rPr>
        <w:t xml:space="preserve">1. Tabla: </w:t>
      </w:r>
      <w:proofErr w:type="spellStart"/>
      <w:r w:rsidRPr="00FB1CB6">
        <w:rPr>
          <w:b/>
          <w:bCs/>
        </w:rPr>
        <w:t>apicall</w:t>
      </w:r>
      <w:proofErr w:type="spellEnd"/>
    </w:p>
    <w:p w14:paraId="06824E7E" w14:textId="77777777" w:rsidR="00FB1CB6" w:rsidRPr="00FB1CB6" w:rsidRDefault="00FB1CB6" w:rsidP="00FB1CB6">
      <w:pPr>
        <w:ind w:left="360"/>
      </w:pPr>
      <w:r w:rsidRPr="00FB1CB6">
        <w:t xml:space="preserve">La tabla </w:t>
      </w:r>
      <w:proofErr w:type="spellStart"/>
      <w:r w:rsidRPr="00FB1CB6">
        <w:t>apicall</w:t>
      </w:r>
      <w:proofErr w:type="spellEnd"/>
      <w:r w:rsidRPr="00FB1CB6">
        <w:t xml:space="preserve"> registra cada llamada realizada a la API, incluyendo detalles como la fecha, el comercio asociado y el estado de la solicitud. Además, contiene un campo que indica si la llamada está relacionada con otros datos.</w:t>
      </w:r>
    </w:p>
    <w:p w14:paraId="5009EEB2" w14:textId="77777777" w:rsidR="00FB1CB6" w:rsidRPr="00FB1CB6" w:rsidRDefault="00FB1CB6" w:rsidP="00FB1CB6">
      <w:pPr>
        <w:numPr>
          <w:ilvl w:val="0"/>
          <w:numId w:val="14"/>
        </w:numPr>
      </w:pPr>
      <w:proofErr w:type="spellStart"/>
      <w:r w:rsidRPr="00FB1CB6">
        <w:rPr>
          <w:b/>
          <w:bCs/>
        </w:rPr>
        <w:t>date_api_call</w:t>
      </w:r>
      <w:proofErr w:type="spellEnd"/>
      <w:r w:rsidRPr="00FB1CB6">
        <w:t>: Fecha de la llamada a la API en formato texto.</w:t>
      </w:r>
    </w:p>
    <w:p w14:paraId="281701FA" w14:textId="77777777" w:rsidR="00FB1CB6" w:rsidRPr="00FB1CB6" w:rsidRDefault="00FB1CB6" w:rsidP="00FB1CB6">
      <w:pPr>
        <w:numPr>
          <w:ilvl w:val="0"/>
          <w:numId w:val="14"/>
        </w:numPr>
      </w:pPr>
      <w:proofErr w:type="spellStart"/>
      <w:r w:rsidRPr="00FB1CB6">
        <w:rPr>
          <w:b/>
          <w:bCs/>
        </w:rPr>
        <w:t>commerce_id</w:t>
      </w:r>
      <w:proofErr w:type="spellEnd"/>
      <w:r w:rsidRPr="00FB1CB6">
        <w:t>: Identificador único del comercio asociado a la llamada.</w:t>
      </w:r>
    </w:p>
    <w:p w14:paraId="15B38919" w14:textId="77777777" w:rsidR="00FB1CB6" w:rsidRPr="00FB1CB6" w:rsidRDefault="00FB1CB6" w:rsidP="00FB1CB6">
      <w:pPr>
        <w:numPr>
          <w:ilvl w:val="0"/>
          <w:numId w:val="14"/>
        </w:numPr>
      </w:pPr>
      <w:proofErr w:type="spellStart"/>
      <w:r w:rsidRPr="00FB1CB6">
        <w:rPr>
          <w:b/>
          <w:bCs/>
        </w:rPr>
        <w:lastRenderedPageBreak/>
        <w:t>ask_status</w:t>
      </w:r>
      <w:proofErr w:type="spellEnd"/>
      <w:r w:rsidRPr="00FB1CB6">
        <w:t>: Estado de la solicitud (por ejemplo, "exitosa" o "fallida").</w:t>
      </w:r>
    </w:p>
    <w:p w14:paraId="239F3D2E" w14:textId="77777777" w:rsidR="00FB1CB6" w:rsidRPr="00FB1CB6" w:rsidRDefault="00FB1CB6" w:rsidP="00FB1CB6">
      <w:pPr>
        <w:numPr>
          <w:ilvl w:val="0"/>
          <w:numId w:val="14"/>
        </w:numPr>
      </w:pPr>
      <w:proofErr w:type="spellStart"/>
      <w:r w:rsidRPr="00FB1CB6">
        <w:rPr>
          <w:b/>
          <w:bCs/>
        </w:rPr>
        <w:t>is_related</w:t>
      </w:r>
      <w:proofErr w:type="spellEnd"/>
      <w:r w:rsidRPr="00FB1CB6">
        <w:t>: Indicador de relación (1 si está relacionada, 0 si no lo está).</w:t>
      </w:r>
    </w:p>
    <w:p w14:paraId="2EFAD0EC" w14:textId="77777777" w:rsidR="00FB1CB6" w:rsidRPr="00FB1CB6" w:rsidRDefault="00FB1CB6" w:rsidP="00FB1CB6">
      <w:pPr>
        <w:ind w:left="360"/>
        <w:rPr>
          <w:b/>
          <w:bCs/>
        </w:rPr>
      </w:pPr>
      <w:r w:rsidRPr="00FB1CB6">
        <w:rPr>
          <w:b/>
          <w:bCs/>
        </w:rPr>
        <w:t xml:space="preserve">2. Tabla: </w:t>
      </w:r>
      <w:proofErr w:type="spellStart"/>
      <w:r w:rsidRPr="00FB1CB6">
        <w:rPr>
          <w:b/>
          <w:bCs/>
        </w:rPr>
        <w:t>commerce</w:t>
      </w:r>
      <w:proofErr w:type="spellEnd"/>
    </w:p>
    <w:p w14:paraId="672DC4F3" w14:textId="77777777" w:rsidR="00FB1CB6" w:rsidRPr="00FB1CB6" w:rsidRDefault="00FB1CB6" w:rsidP="00FB1CB6">
      <w:pPr>
        <w:ind w:left="360"/>
      </w:pPr>
      <w:r w:rsidRPr="00FB1CB6">
        <w:t xml:space="preserve">La tabla </w:t>
      </w:r>
      <w:proofErr w:type="spellStart"/>
      <w:r w:rsidRPr="00FB1CB6">
        <w:t>commerce</w:t>
      </w:r>
      <w:proofErr w:type="spellEnd"/>
      <w:r w:rsidRPr="00FB1CB6">
        <w:t xml:space="preserve"> almacena información detallada sobre los comercios registrados en el sistema.</w:t>
      </w:r>
    </w:p>
    <w:p w14:paraId="61E98899" w14:textId="77777777" w:rsidR="00FB1CB6" w:rsidRPr="00FB1CB6" w:rsidRDefault="00FB1CB6" w:rsidP="00FB1CB6">
      <w:pPr>
        <w:numPr>
          <w:ilvl w:val="0"/>
          <w:numId w:val="15"/>
        </w:numPr>
      </w:pPr>
      <w:proofErr w:type="spellStart"/>
      <w:r w:rsidRPr="00FB1CB6">
        <w:rPr>
          <w:b/>
          <w:bCs/>
        </w:rPr>
        <w:t>commerce_id</w:t>
      </w:r>
      <w:proofErr w:type="spellEnd"/>
      <w:r w:rsidRPr="00FB1CB6">
        <w:t>: Identificador único del comercio.</w:t>
      </w:r>
    </w:p>
    <w:p w14:paraId="572A4C1E" w14:textId="77777777" w:rsidR="00FB1CB6" w:rsidRPr="00FB1CB6" w:rsidRDefault="00FB1CB6" w:rsidP="00FB1CB6">
      <w:pPr>
        <w:numPr>
          <w:ilvl w:val="0"/>
          <w:numId w:val="15"/>
        </w:numPr>
      </w:pPr>
      <w:proofErr w:type="spellStart"/>
      <w:r w:rsidRPr="00FB1CB6">
        <w:rPr>
          <w:b/>
          <w:bCs/>
        </w:rPr>
        <w:t>commerce_nit</w:t>
      </w:r>
      <w:proofErr w:type="spellEnd"/>
      <w:r w:rsidRPr="00FB1CB6">
        <w:t>: Número de Identificación Tributaria (NIT) del comercio.</w:t>
      </w:r>
    </w:p>
    <w:p w14:paraId="0CB70261" w14:textId="77777777" w:rsidR="00FB1CB6" w:rsidRPr="00FB1CB6" w:rsidRDefault="00FB1CB6" w:rsidP="00FB1CB6">
      <w:pPr>
        <w:numPr>
          <w:ilvl w:val="0"/>
          <w:numId w:val="15"/>
        </w:numPr>
      </w:pPr>
      <w:proofErr w:type="spellStart"/>
      <w:r w:rsidRPr="00FB1CB6">
        <w:rPr>
          <w:b/>
          <w:bCs/>
        </w:rPr>
        <w:t>commerce_name</w:t>
      </w:r>
      <w:proofErr w:type="spellEnd"/>
      <w:r w:rsidRPr="00FB1CB6">
        <w:t>: Nombre del comercio.</w:t>
      </w:r>
    </w:p>
    <w:p w14:paraId="63E2F0CB" w14:textId="77777777" w:rsidR="00FB1CB6" w:rsidRPr="00FB1CB6" w:rsidRDefault="00FB1CB6" w:rsidP="00FB1CB6">
      <w:pPr>
        <w:numPr>
          <w:ilvl w:val="0"/>
          <w:numId w:val="15"/>
        </w:numPr>
      </w:pPr>
      <w:proofErr w:type="spellStart"/>
      <w:r w:rsidRPr="00FB1CB6">
        <w:rPr>
          <w:b/>
          <w:bCs/>
        </w:rPr>
        <w:t>commerce_status</w:t>
      </w:r>
      <w:proofErr w:type="spellEnd"/>
      <w:r w:rsidRPr="00FB1CB6">
        <w:t>: Estado del comercio, como "Activo" o "Inactivo".</w:t>
      </w:r>
    </w:p>
    <w:p w14:paraId="143C865F" w14:textId="77777777" w:rsidR="00FB1CB6" w:rsidRPr="00FB1CB6" w:rsidRDefault="00FB1CB6" w:rsidP="00FB1CB6">
      <w:pPr>
        <w:numPr>
          <w:ilvl w:val="0"/>
          <w:numId w:val="15"/>
        </w:numPr>
      </w:pPr>
      <w:proofErr w:type="spellStart"/>
      <w:r w:rsidRPr="00FB1CB6">
        <w:rPr>
          <w:b/>
          <w:bCs/>
        </w:rPr>
        <w:t>commerce_email</w:t>
      </w:r>
      <w:proofErr w:type="spellEnd"/>
      <w:r w:rsidRPr="00FB1CB6">
        <w:t>: Correo electrónico asociado al comercio.</w:t>
      </w:r>
    </w:p>
    <w:p w14:paraId="70FBB031" w14:textId="77777777" w:rsidR="00FB1CB6" w:rsidRPr="00FB1CB6" w:rsidRDefault="00FB1CB6" w:rsidP="00FB1CB6">
      <w:pPr>
        <w:ind w:left="360"/>
      </w:pPr>
      <w:r w:rsidRPr="00FB1CB6">
        <w:t xml:space="preserve">Esta tabla se relaciona con otras tablas a través del campo </w:t>
      </w:r>
      <w:proofErr w:type="spellStart"/>
      <w:r w:rsidRPr="00FB1CB6">
        <w:t>commerce_id</w:t>
      </w:r>
      <w:proofErr w:type="spellEnd"/>
      <w:r w:rsidRPr="00FB1CB6">
        <w:t>.</w:t>
      </w:r>
    </w:p>
    <w:p w14:paraId="02A34529" w14:textId="77777777" w:rsidR="00FB1CB6" w:rsidRPr="00FB1CB6" w:rsidRDefault="00FB1CB6" w:rsidP="00FB1CB6">
      <w:pPr>
        <w:ind w:left="360"/>
        <w:rPr>
          <w:b/>
          <w:bCs/>
        </w:rPr>
      </w:pPr>
      <w:r w:rsidRPr="00FB1CB6">
        <w:rPr>
          <w:b/>
          <w:bCs/>
        </w:rPr>
        <w:t xml:space="preserve">3. Tabla: </w:t>
      </w:r>
      <w:proofErr w:type="spellStart"/>
      <w:r w:rsidRPr="00FB1CB6">
        <w:rPr>
          <w:b/>
          <w:bCs/>
        </w:rPr>
        <w:t>commissions</w:t>
      </w:r>
      <w:proofErr w:type="spellEnd"/>
    </w:p>
    <w:p w14:paraId="4CA0E506" w14:textId="77777777" w:rsidR="00FB1CB6" w:rsidRPr="00FB1CB6" w:rsidRDefault="00FB1CB6" w:rsidP="00FB1CB6">
      <w:pPr>
        <w:ind w:left="360"/>
      </w:pPr>
      <w:r w:rsidRPr="00FB1CB6">
        <w:t xml:space="preserve">La tabla </w:t>
      </w:r>
      <w:proofErr w:type="spellStart"/>
      <w:r w:rsidRPr="00FB1CB6">
        <w:t>commissions</w:t>
      </w:r>
      <w:proofErr w:type="spellEnd"/>
      <w:r w:rsidRPr="00FB1CB6">
        <w:t xml:space="preserve"> define las reglas para el cálculo de comisiones según el número de solicitudes exitosas procesadas.</w:t>
      </w:r>
    </w:p>
    <w:p w14:paraId="537EFAB0" w14:textId="77777777" w:rsidR="00FB1CB6" w:rsidRPr="00FB1CB6" w:rsidRDefault="00FB1CB6" w:rsidP="00FB1CB6">
      <w:pPr>
        <w:numPr>
          <w:ilvl w:val="0"/>
          <w:numId w:val="16"/>
        </w:numPr>
      </w:pPr>
      <w:proofErr w:type="spellStart"/>
      <w:r w:rsidRPr="00FB1CB6">
        <w:rPr>
          <w:b/>
          <w:bCs/>
        </w:rPr>
        <w:t>trade_name</w:t>
      </w:r>
      <w:proofErr w:type="spellEnd"/>
      <w:r w:rsidRPr="00FB1CB6">
        <w:t>: Nombre comercial asociado a las comisiones.</w:t>
      </w:r>
    </w:p>
    <w:p w14:paraId="496404CF" w14:textId="77777777" w:rsidR="00FB1CB6" w:rsidRPr="00FB1CB6" w:rsidRDefault="00FB1CB6" w:rsidP="00FB1CB6">
      <w:pPr>
        <w:numPr>
          <w:ilvl w:val="0"/>
          <w:numId w:val="16"/>
        </w:numPr>
      </w:pPr>
      <w:proofErr w:type="spellStart"/>
      <w:r w:rsidRPr="00FB1CB6">
        <w:rPr>
          <w:b/>
          <w:bCs/>
        </w:rPr>
        <w:t>min_successful_requests</w:t>
      </w:r>
      <w:proofErr w:type="spellEnd"/>
      <w:r w:rsidRPr="00FB1CB6">
        <w:t>: Mínimo de solicitudes exitosas requeridas para aplicar la comisión.</w:t>
      </w:r>
    </w:p>
    <w:p w14:paraId="1D194EFF" w14:textId="77777777" w:rsidR="00FB1CB6" w:rsidRPr="00FB1CB6" w:rsidRDefault="00FB1CB6" w:rsidP="00FB1CB6">
      <w:pPr>
        <w:numPr>
          <w:ilvl w:val="0"/>
          <w:numId w:val="16"/>
        </w:numPr>
      </w:pPr>
      <w:proofErr w:type="spellStart"/>
      <w:r w:rsidRPr="00FB1CB6">
        <w:rPr>
          <w:b/>
          <w:bCs/>
        </w:rPr>
        <w:t>max_successful_requests</w:t>
      </w:r>
      <w:proofErr w:type="spellEnd"/>
      <w:r w:rsidRPr="00FB1CB6">
        <w:t>: Máximo de solicitudes exitosas permitidas para aplicar la comisión.</w:t>
      </w:r>
    </w:p>
    <w:p w14:paraId="6EF83F49" w14:textId="77777777" w:rsidR="00FB1CB6" w:rsidRPr="00FB1CB6" w:rsidRDefault="00FB1CB6" w:rsidP="00FB1CB6">
      <w:pPr>
        <w:numPr>
          <w:ilvl w:val="0"/>
          <w:numId w:val="16"/>
        </w:numPr>
      </w:pPr>
      <w:proofErr w:type="spellStart"/>
      <w:r w:rsidRPr="00FB1CB6">
        <w:rPr>
          <w:b/>
          <w:bCs/>
        </w:rPr>
        <w:t>commission_cost</w:t>
      </w:r>
      <w:proofErr w:type="spellEnd"/>
      <w:r w:rsidRPr="00FB1CB6">
        <w:t>: Costo fijo de la comisión por transacción.</w:t>
      </w:r>
    </w:p>
    <w:p w14:paraId="44A0CBA1" w14:textId="77777777" w:rsidR="00FB1CB6" w:rsidRPr="00FB1CB6" w:rsidRDefault="00FB1CB6" w:rsidP="00FB1CB6">
      <w:pPr>
        <w:numPr>
          <w:ilvl w:val="0"/>
          <w:numId w:val="16"/>
        </w:numPr>
      </w:pPr>
      <w:proofErr w:type="spellStart"/>
      <w:r w:rsidRPr="00FB1CB6">
        <w:rPr>
          <w:b/>
          <w:bCs/>
        </w:rPr>
        <w:t>percentage_vat</w:t>
      </w:r>
      <w:proofErr w:type="spellEnd"/>
      <w:r w:rsidRPr="00FB1CB6">
        <w:t>: Porcentaje de IVA aplicable a la comisión.</w:t>
      </w:r>
    </w:p>
    <w:p w14:paraId="67B0BFEB" w14:textId="77777777" w:rsidR="00FB1CB6" w:rsidRPr="00FB1CB6" w:rsidRDefault="00FB1CB6" w:rsidP="00FB1CB6">
      <w:pPr>
        <w:ind w:left="360"/>
      </w:pPr>
      <w:r w:rsidRPr="00FB1CB6">
        <w:t>Esta tabla permite determinar los costos y condiciones de las comisiones en función de las transacciones.</w:t>
      </w:r>
    </w:p>
    <w:p w14:paraId="02BF91D0" w14:textId="77777777" w:rsidR="00FB1CB6" w:rsidRPr="00FB1CB6" w:rsidRDefault="00FB1CB6" w:rsidP="00FB1CB6">
      <w:pPr>
        <w:ind w:left="360"/>
        <w:rPr>
          <w:b/>
          <w:bCs/>
        </w:rPr>
      </w:pPr>
      <w:r w:rsidRPr="00FB1CB6">
        <w:rPr>
          <w:b/>
          <w:bCs/>
        </w:rPr>
        <w:t xml:space="preserve">4. Tabla: </w:t>
      </w:r>
      <w:proofErr w:type="spellStart"/>
      <w:r w:rsidRPr="00FB1CB6">
        <w:rPr>
          <w:b/>
          <w:bCs/>
        </w:rPr>
        <w:t>csc</w:t>
      </w:r>
      <w:proofErr w:type="spellEnd"/>
    </w:p>
    <w:p w14:paraId="0A497A35" w14:textId="77777777" w:rsidR="00FB1CB6" w:rsidRPr="00FB1CB6" w:rsidRDefault="00FB1CB6" w:rsidP="00FB1CB6">
      <w:pPr>
        <w:ind w:left="360"/>
      </w:pPr>
      <w:r w:rsidRPr="00FB1CB6">
        <w:t xml:space="preserve">La tabla </w:t>
      </w:r>
      <w:proofErr w:type="spellStart"/>
      <w:r w:rsidRPr="00FB1CB6">
        <w:t>csc</w:t>
      </w:r>
      <w:proofErr w:type="spellEnd"/>
      <w:r w:rsidRPr="00FB1CB6">
        <w:t xml:space="preserve"> consolida información sobre el rendimiento de los comercios en cuanto a solicitudes exitosas y fallidas, además de proporcionar datos básicos del comercio.</w:t>
      </w:r>
    </w:p>
    <w:p w14:paraId="3FE20C16" w14:textId="77777777" w:rsidR="00FB1CB6" w:rsidRPr="00FB1CB6" w:rsidRDefault="00FB1CB6" w:rsidP="00FB1CB6">
      <w:pPr>
        <w:numPr>
          <w:ilvl w:val="0"/>
          <w:numId w:val="17"/>
        </w:numPr>
      </w:pPr>
      <w:proofErr w:type="spellStart"/>
      <w:r w:rsidRPr="00FB1CB6">
        <w:rPr>
          <w:b/>
          <w:bCs/>
        </w:rPr>
        <w:t>commerce_id</w:t>
      </w:r>
      <w:proofErr w:type="spellEnd"/>
      <w:r w:rsidRPr="00FB1CB6">
        <w:t>: Identificador único del comercio.</w:t>
      </w:r>
    </w:p>
    <w:p w14:paraId="5DF687BD" w14:textId="77777777" w:rsidR="00FB1CB6" w:rsidRPr="00FB1CB6" w:rsidRDefault="00FB1CB6" w:rsidP="00FB1CB6">
      <w:pPr>
        <w:numPr>
          <w:ilvl w:val="0"/>
          <w:numId w:val="17"/>
        </w:numPr>
      </w:pPr>
      <w:proofErr w:type="spellStart"/>
      <w:r w:rsidRPr="00FB1CB6">
        <w:rPr>
          <w:b/>
          <w:bCs/>
        </w:rPr>
        <w:t>commerce_nit</w:t>
      </w:r>
      <w:proofErr w:type="spellEnd"/>
      <w:r w:rsidRPr="00FB1CB6">
        <w:t>: Número de Identificación Tributaria del comercio.</w:t>
      </w:r>
    </w:p>
    <w:p w14:paraId="55C253D2" w14:textId="77777777" w:rsidR="00FB1CB6" w:rsidRPr="00FB1CB6" w:rsidRDefault="00FB1CB6" w:rsidP="00FB1CB6">
      <w:pPr>
        <w:numPr>
          <w:ilvl w:val="0"/>
          <w:numId w:val="17"/>
        </w:numPr>
      </w:pPr>
      <w:proofErr w:type="spellStart"/>
      <w:r w:rsidRPr="00FB1CB6">
        <w:rPr>
          <w:b/>
          <w:bCs/>
        </w:rPr>
        <w:t>commerce_name</w:t>
      </w:r>
      <w:proofErr w:type="spellEnd"/>
      <w:r w:rsidRPr="00FB1CB6">
        <w:t>: Nombre del comercio.</w:t>
      </w:r>
    </w:p>
    <w:p w14:paraId="1B168A4A" w14:textId="77777777" w:rsidR="00FB1CB6" w:rsidRPr="00FB1CB6" w:rsidRDefault="00FB1CB6" w:rsidP="00FB1CB6">
      <w:pPr>
        <w:numPr>
          <w:ilvl w:val="0"/>
          <w:numId w:val="17"/>
        </w:numPr>
      </w:pPr>
      <w:proofErr w:type="spellStart"/>
      <w:r w:rsidRPr="00FB1CB6">
        <w:rPr>
          <w:b/>
          <w:bCs/>
        </w:rPr>
        <w:t>commerce_email</w:t>
      </w:r>
      <w:proofErr w:type="spellEnd"/>
      <w:r w:rsidRPr="00FB1CB6">
        <w:t>: Correo electrónico asociado al comercio.</w:t>
      </w:r>
    </w:p>
    <w:p w14:paraId="4AC3FB0B" w14:textId="77777777" w:rsidR="00FB1CB6" w:rsidRPr="00FB1CB6" w:rsidRDefault="00FB1CB6" w:rsidP="00FB1CB6">
      <w:pPr>
        <w:numPr>
          <w:ilvl w:val="0"/>
          <w:numId w:val="17"/>
        </w:numPr>
      </w:pPr>
      <w:proofErr w:type="spellStart"/>
      <w:r w:rsidRPr="00FB1CB6">
        <w:rPr>
          <w:b/>
          <w:bCs/>
        </w:rPr>
        <w:t>formatted_date</w:t>
      </w:r>
      <w:proofErr w:type="spellEnd"/>
      <w:r w:rsidRPr="00FB1CB6">
        <w:t>: Fecha en un formato estandarizado para reportes.</w:t>
      </w:r>
    </w:p>
    <w:p w14:paraId="5B82BDBF" w14:textId="77777777" w:rsidR="00FB1CB6" w:rsidRPr="00FB1CB6" w:rsidRDefault="00FB1CB6" w:rsidP="00FB1CB6">
      <w:pPr>
        <w:numPr>
          <w:ilvl w:val="0"/>
          <w:numId w:val="17"/>
        </w:numPr>
      </w:pPr>
      <w:proofErr w:type="spellStart"/>
      <w:r w:rsidRPr="00FB1CB6">
        <w:rPr>
          <w:b/>
          <w:bCs/>
        </w:rPr>
        <w:t>successful_count</w:t>
      </w:r>
      <w:proofErr w:type="spellEnd"/>
      <w:r w:rsidRPr="00FB1CB6">
        <w:t>: Número de solicitudes exitosas realizadas.</w:t>
      </w:r>
    </w:p>
    <w:p w14:paraId="41B61FAE" w14:textId="77777777" w:rsidR="00FB1CB6" w:rsidRPr="00FB1CB6" w:rsidRDefault="00FB1CB6" w:rsidP="00FB1CB6">
      <w:pPr>
        <w:numPr>
          <w:ilvl w:val="0"/>
          <w:numId w:val="17"/>
        </w:numPr>
      </w:pPr>
      <w:proofErr w:type="spellStart"/>
      <w:r w:rsidRPr="00FB1CB6">
        <w:rPr>
          <w:b/>
          <w:bCs/>
        </w:rPr>
        <w:t>unsuccessful_count</w:t>
      </w:r>
      <w:proofErr w:type="spellEnd"/>
      <w:r w:rsidRPr="00FB1CB6">
        <w:t>: Número de solicitudes fallidas realizadas.</w:t>
      </w:r>
    </w:p>
    <w:p w14:paraId="02EA2125" w14:textId="77777777" w:rsidR="00FB1CB6" w:rsidRPr="00FB1CB6" w:rsidRDefault="00FB1CB6" w:rsidP="00FB1CB6">
      <w:pPr>
        <w:ind w:left="360"/>
      </w:pPr>
      <w:r w:rsidRPr="00FB1CB6">
        <w:lastRenderedPageBreak/>
        <w:t xml:space="preserve">Esta tabla se relaciona con </w:t>
      </w:r>
      <w:proofErr w:type="spellStart"/>
      <w:r w:rsidRPr="00FB1CB6">
        <w:t>commerce</w:t>
      </w:r>
      <w:proofErr w:type="spellEnd"/>
      <w:r w:rsidRPr="00FB1CB6">
        <w:t xml:space="preserve"> a través del campo </w:t>
      </w:r>
      <w:proofErr w:type="spellStart"/>
      <w:r w:rsidRPr="00FB1CB6">
        <w:t>commerce_id</w:t>
      </w:r>
      <w:proofErr w:type="spellEnd"/>
      <w:r w:rsidRPr="00FB1CB6">
        <w:t>.</w:t>
      </w:r>
    </w:p>
    <w:p w14:paraId="6B062E21" w14:textId="77777777" w:rsidR="00FB1CB6" w:rsidRPr="00FB1CB6" w:rsidRDefault="00FB1CB6" w:rsidP="00FB1CB6">
      <w:pPr>
        <w:ind w:left="360"/>
        <w:rPr>
          <w:b/>
          <w:bCs/>
        </w:rPr>
      </w:pPr>
      <w:r w:rsidRPr="00FB1CB6">
        <w:rPr>
          <w:b/>
          <w:bCs/>
        </w:rPr>
        <w:t xml:space="preserve">5. Tabla: </w:t>
      </w:r>
      <w:proofErr w:type="spellStart"/>
      <w:r w:rsidRPr="00FB1CB6">
        <w:rPr>
          <w:b/>
          <w:bCs/>
        </w:rPr>
        <w:t>discounts</w:t>
      </w:r>
      <w:proofErr w:type="spellEnd"/>
    </w:p>
    <w:p w14:paraId="67248FD7" w14:textId="77777777" w:rsidR="00FB1CB6" w:rsidRPr="00FB1CB6" w:rsidRDefault="00FB1CB6" w:rsidP="00FB1CB6">
      <w:pPr>
        <w:ind w:left="360"/>
      </w:pPr>
      <w:r w:rsidRPr="00FB1CB6">
        <w:t xml:space="preserve">La tabla </w:t>
      </w:r>
      <w:proofErr w:type="spellStart"/>
      <w:r w:rsidRPr="00FB1CB6">
        <w:t>discounts</w:t>
      </w:r>
      <w:proofErr w:type="spellEnd"/>
      <w:r w:rsidRPr="00FB1CB6">
        <w:t xml:space="preserve"> establece las reglas para otorgar descuentos basados en el número de solicitudes fallidas.</w:t>
      </w:r>
    </w:p>
    <w:p w14:paraId="00AF1296" w14:textId="77777777" w:rsidR="00FB1CB6" w:rsidRPr="00FB1CB6" w:rsidRDefault="00FB1CB6" w:rsidP="00FB1CB6">
      <w:pPr>
        <w:numPr>
          <w:ilvl w:val="0"/>
          <w:numId w:val="18"/>
        </w:numPr>
      </w:pPr>
      <w:proofErr w:type="spellStart"/>
      <w:r w:rsidRPr="00FB1CB6">
        <w:rPr>
          <w:b/>
          <w:bCs/>
        </w:rPr>
        <w:t>trade_name</w:t>
      </w:r>
      <w:proofErr w:type="spellEnd"/>
      <w:r w:rsidRPr="00FB1CB6">
        <w:t>: Nombre comercial asociado al descuento.</w:t>
      </w:r>
    </w:p>
    <w:p w14:paraId="5768B20C" w14:textId="77777777" w:rsidR="00FB1CB6" w:rsidRPr="00FB1CB6" w:rsidRDefault="00FB1CB6" w:rsidP="00FB1CB6">
      <w:pPr>
        <w:numPr>
          <w:ilvl w:val="0"/>
          <w:numId w:val="18"/>
        </w:numPr>
      </w:pPr>
      <w:proofErr w:type="spellStart"/>
      <w:r w:rsidRPr="00FB1CB6">
        <w:rPr>
          <w:b/>
          <w:bCs/>
        </w:rPr>
        <w:t>min_unsuccessful_requests</w:t>
      </w:r>
      <w:proofErr w:type="spellEnd"/>
      <w:r w:rsidRPr="00FB1CB6">
        <w:t>: Mínimo de solicitudes fallidas requeridas para aplicar el descuento.</w:t>
      </w:r>
    </w:p>
    <w:p w14:paraId="668360FB" w14:textId="77777777" w:rsidR="00FB1CB6" w:rsidRPr="00FB1CB6" w:rsidRDefault="00FB1CB6" w:rsidP="00FB1CB6">
      <w:pPr>
        <w:numPr>
          <w:ilvl w:val="0"/>
          <w:numId w:val="18"/>
        </w:numPr>
      </w:pPr>
      <w:proofErr w:type="spellStart"/>
      <w:r w:rsidRPr="00FB1CB6">
        <w:rPr>
          <w:b/>
          <w:bCs/>
        </w:rPr>
        <w:t>max_unsuccessful_requests</w:t>
      </w:r>
      <w:proofErr w:type="spellEnd"/>
      <w:r w:rsidRPr="00FB1CB6">
        <w:t>: Máximo de solicitudes fallidas permitidas para aplicar el descuento.</w:t>
      </w:r>
    </w:p>
    <w:p w14:paraId="592C74B1" w14:textId="77777777" w:rsidR="00FB1CB6" w:rsidRPr="00FB1CB6" w:rsidRDefault="00FB1CB6" w:rsidP="00FB1CB6">
      <w:pPr>
        <w:numPr>
          <w:ilvl w:val="0"/>
          <w:numId w:val="18"/>
        </w:numPr>
      </w:pPr>
      <w:proofErr w:type="spellStart"/>
      <w:r w:rsidRPr="00FB1CB6">
        <w:rPr>
          <w:b/>
          <w:bCs/>
        </w:rPr>
        <w:t>discount_percentage</w:t>
      </w:r>
      <w:proofErr w:type="spellEnd"/>
      <w:r w:rsidRPr="00FB1CB6">
        <w:t>: Porcentaje de descuento aplicable.</w:t>
      </w:r>
    </w:p>
    <w:p w14:paraId="19859FA4" w14:textId="77777777" w:rsidR="00FB1CB6" w:rsidRPr="00FB1CB6" w:rsidRDefault="00FB1CB6" w:rsidP="00FB1CB6">
      <w:pPr>
        <w:ind w:left="360"/>
      </w:pPr>
      <w:r w:rsidRPr="00FB1CB6">
        <w:t>Los descuentos están diseñados para incentivar una mejor gestión de las solicitudes fallidas.</w:t>
      </w:r>
    </w:p>
    <w:p w14:paraId="364A1B4A" w14:textId="77777777" w:rsidR="00FB1CB6" w:rsidRPr="00FB1CB6" w:rsidRDefault="00FB1CB6" w:rsidP="00FB1CB6">
      <w:pPr>
        <w:ind w:left="360"/>
        <w:rPr>
          <w:b/>
          <w:bCs/>
        </w:rPr>
      </w:pPr>
      <w:r w:rsidRPr="00FB1CB6">
        <w:rPr>
          <w:b/>
          <w:bCs/>
        </w:rPr>
        <w:t xml:space="preserve">6. Tabla: </w:t>
      </w:r>
      <w:proofErr w:type="spellStart"/>
      <w:r w:rsidRPr="00FB1CB6">
        <w:rPr>
          <w:b/>
          <w:bCs/>
        </w:rPr>
        <w:t>parameters</w:t>
      </w:r>
      <w:proofErr w:type="spellEnd"/>
    </w:p>
    <w:p w14:paraId="5405AF03" w14:textId="77777777" w:rsidR="00FB1CB6" w:rsidRPr="00FB1CB6" w:rsidRDefault="00FB1CB6" w:rsidP="00FB1CB6">
      <w:pPr>
        <w:ind w:left="360"/>
      </w:pPr>
      <w:r w:rsidRPr="00FB1CB6">
        <w:t xml:space="preserve">La tabla </w:t>
      </w:r>
      <w:proofErr w:type="spellStart"/>
      <w:r w:rsidRPr="00FB1CB6">
        <w:t>parameters</w:t>
      </w:r>
      <w:proofErr w:type="spellEnd"/>
      <w:r w:rsidRPr="00FB1CB6">
        <w:t xml:space="preserve"> contiene configuraciones clave del sistema que son utilizadas para personalizar y automatizar ciertos procesos.</w:t>
      </w:r>
    </w:p>
    <w:p w14:paraId="7917EAB7" w14:textId="77777777" w:rsidR="00FB1CB6" w:rsidRPr="00FB1CB6" w:rsidRDefault="00FB1CB6" w:rsidP="00FB1CB6">
      <w:pPr>
        <w:numPr>
          <w:ilvl w:val="0"/>
          <w:numId w:val="19"/>
        </w:numPr>
      </w:pPr>
      <w:proofErr w:type="spellStart"/>
      <w:r w:rsidRPr="00FB1CB6">
        <w:rPr>
          <w:b/>
          <w:bCs/>
        </w:rPr>
        <w:t>parameter_name</w:t>
      </w:r>
      <w:proofErr w:type="spellEnd"/>
      <w:r w:rsidRPr="00FB1CB6">
        <w:t>: Nombre del parámetro (por ejemplo, "</w:t>
      </w:r>
      <w:proofErr w:type="spellStart"/>
      <w:r w:rsidRPr="00FB1CB6">
        <w:t>mail_to</w:t>
      </w:r>
      <w:proofErr w:type="spellEnd"/>
      <w:r w:rsidRPr="00FB1CB6">
        <w:t>" o "</w:t>
      </w:r>
      <w:proofErr w:type="spellStart"/>
      <w:r w:rsidRPr="00FB1CB6">
        <w:t>password</w:t>
      </w:r>
      <w:proofErr w:type="spellEnd"/>
      <w:r w:rsidRPr="00FB1CB6">
        <w:t>").</w:t>
      </w:r>
    </w:p>
    <w:p w14:paraId="25946C83" w14:textId="77777777" w:rsidR="00FB1CB6" w:rsidRPr="00FB1CB6" w:rsidRDefault="00FB1CB6" w:rsidP="00FB1CB6">
      <w:pPr>
        <w:numPr>
          <w:ilvl w:val="0"/>
          <w:numId w:val="19"/>
        </w:numPr>
      </w:pPr>
      <w:proofErr w:type="spellStart"/>
      <w:r w:rsidRPr="00FB1CB6">
        <w:rPr>
          <w:b/>
          <w:bCs/>
        </w:rPr>
        <w:t>value</w:t>
      </w:r>
      <w:proofErr w:type="spellEnd"/>
      <w:r w:rsidRPr="00FB1CB6">
        <w:t>: Valor asociado al parámetro.</w:t>
      </w:r>
    </w:p>
    <w:p w14:paraId="4A13A525" w14:textId="77777777" w:rsidR="00FB1CB6" w:rsidRPr="00FB1CB6" w:rsidRDefault="00FB1CB6" w:rsidP="00FB1CB6">
      <w:pPr>
        <w:ind w:left="360"/>
      </w:pPr>
      <w:r w:rsidRPr="00FB1CB6">
        <w:rPr>
          <w:b/>
          <w:bCs/>
        </w:rPr>
        <w:t>Ejemplo de parámetros:</w:t>
      </w:r>
    </w:p>
    <w:p w14:paraId="6EB36830" w14:textId="77777777" w:rsidR="00FB1CB6" w:rsidRPr="00FB1CB6" w:rsidRDefault="00FB1CB6" w:rsidP="00FB1CB6">
      <w:pPr>
        <w:numPr>
          <w:ilvl w:val="0"/>
          <w:numId w:val="20"/>
        </w:numPr>
      </w:pPr>
      <w:proofErr w:type="spellStart"/>
      <w:r w:rsidRPr="00FB1CB6">
        <w:t>mail_to</w:t>
      </w:r>
      <w:proofErr w:type="spellEnd"/>
      <w:r w:rsidRPr="00FB1CB6">
        <w:t>: Dirección de correo electrónico para notificaciones (ejemplo: example@gmail.com).</w:t>
      </w:r>
    </w:p>
    <w:p w14:paraId="73B0DAEB" w14:textId="77777777" w:rsidR="00FB1CB6" w:rsidRPr="00FB1CB6" w:rsidRDefault="00FB1CB6" w:rsidP="00FB1CB6">
      <w:pPr>
        <w:numPr>
          <w:ilvl w:val="0"/>
          <w:numId w:val="20"/>
        </w:numPr>
      </w:pPr>
      <w:proofErr w:type="spellStart"/>
      <w:r w:rsidRPr="00FB1CB6">
        <w:t>subject</w:t>
      </w:r>
      <w:proofErr w:type="spellEnd"/>
      <w:r w:rsidRPr="00FB1CB6">
        <w:t>: Asunto de las notificaciones por correo (ejemplo: Cuenta de cobro comisiones).</w:t>
      </w:r>
    </w:p>
    <w:p w14:paraId="62CB4F59" w14:textId="77777777" w:rsidR="00FB1CB6" w:rsidRPr="00FB1CB6" w:rsidRDefault="00FB1CB6" w:rsidP="00FB1CB6">
      <w:pPr>
        <w:numPr>
          <w:ilvl w:val="0"/>
          <w:numId w:val="20"/>
        </w:numPr>
      </w:pPr>
      <w:proofErr w:type="spellStart"/>
      <w:r w:rsidRPr="00FB1CB6">
        <w:t>date_init</w:t>
      </w:r>
      <w:proofErr w:type="spellEnd"/>
      <w:r w:rsidRPr="00FB1CB6">
        <w:t>: Fecha de inicio del período (ejemplo: 20240701000000).</w:t>
      </w:r>
    </w:p>
    <w:p w14:paraId="2CAFEB6A" w14:textId="77777777" w:rsidR="00FB1CB6" w:rsidRPr="00FB1CB6" w:rsidRDefault="00FB1CB6" w:rsidP="00FB1CB6">
      <w:pPr>
        <w:numPr>
          <w:ilvl w:val="0"/>
          <w:numId w:val="20"/>
        </w:numPr>
      </w:pPr>
      <w:proofErr w:type="spellStart"/>
      <w:r w:rsidRPr="00FB1CB6">
        <w:t>date_end</w:t>
      </w:r>
      <w:proofErr w:type="spellEnd"/>
      <w:r w:rsidRPr="00FB1CB6">
        <w:t>: Fecha de finalización del período (ejemplo: 20240831235959).</w:t>
      </w:r>
    </w:p>
    <w:p w14:paraId="73E7126D" w14:textId="77777777" w:rsidR="00FB1CB6" w:rsidRPr="00FB1CB6" w:rsidRDefault="00FB1CB6" w:rsidP="00FB1CB6">
      <w:pPr>
        <w:numPr>
          <w:ilvl w:val="0"/>
          <w:numId w:val="20"/>
        </w:numPr>
      </w:pPr>
      <w:proofErr w:type="spellStart"/>
      <w:r w:rsidRPr="00FB1CB6">
        <w:t>password</w:t>
      </w:r>
      <w:proofErr w:type="spellEnd"/>
      <w:r w:rsidRPr="00FB1CB6">
        <w:t>: Contraseña utilizada para acceso seguro.</w:t>
      </w:r>
    </w:p>
    <w:p w14:paraId="02BAE666" w14:textId="77777777" w:rsidR="00FB1CB6" w:rsidRPr="00FB1CB6" w:rsidRDefault="00FB1CB6" w:rsidP="00FB1CB6">
      <w:pPr>
        <w:ind w:left="360"/>
        <w:rPr>
          <w:b/>
          <w:bCs/>
        </w:rPr>
      </w:pPr>
      <w:r w:rsidRPr="00FB1CB6">
        <w:rPr>
          <w:b/>
          <w:bCs/>
        </w:rPr>
        <w:t xml:space="preserve">7. Tabla: </w:t>
      </w:r>
      <w:proofErr w:type="spellStart"/>
      <w:r w:rsidRPr="00FB1CB6">
        <w:rPr>
          <w:b/>
          <w:bCs/>
        </w:rPr>
        <w:t>sqlite_master</w:t>
      </w:r>
      <w:proofErr w:type="spellEnd"/>
    </w:p>
    <w:p w14:paraId="572581D6" w14:textId="77777777" w:rsidR="00FB1CB6" w:rsidRPr="00FB1CB6" w:rsidRDefault="00FB1CB6" w:rsidP="00FB1CB6">
      <w:pPr>
        <w:ind w:left="360"/>
      </w:pPr>
      <w:r w:rsidRPr="00FB1CB6">
        <w:t>Esta tabla es gestionada automáticamente por SQLite y no debe ser modificada manualmente. Contiene información sobre la estructura de las tablas, vistas e índices.</w:t>
      </w:r>
    </w:p>
    <w:p w14:paraId="54F2E415" w14:textId="77777777" w:rsidR="00FB1CB6" w:rsidRPr="00FB1CB6" w:rsidRDefault="00FB1CB6" w:rsidP="00FB1CB6">
      <w:pPr>
        <w:ind w:left="360"/>
      </w:pPr>
      <w:r w:rsidRPr="00FB1CB6">
        <w:pict w14:anchorId="4E0FDECB">
          <v:rect id="_x0000_i1140" style="width:0;height:1.5pt" o:hralign="center" o:hrstd="t" o:hr="t" fillcolor="#a0a0a0" stroked="f"/>
        </w:pict>
      </w:r>
    </w:p>
    <w:p w14:paraId="0524D558" w14:textId="77777777" w:rsidR="00FB1CB6" w:rsidRPr="00FB1CB6" w:rsidRDefault="00FB1CB6" w:rsidP="00FB1CB6">
      <w:pPr>
        <w:ind w:left="360"/>
        <w:rPr>
          <w:b/>
          <w:bCs/>
        </w:rPr>
      </w:pPr>
      <w:r w:rsidRPr="00FB1CB6">
        <w:rPr>
          <w:b/>
          <w:bCs/>
        </w:rPr>
        <w:t>Relación entre Tablas</w:t>
      </w:r>
    </w:p>
    <w:p w14:paraId="71195108" w14:textId="77777777" w:rsidR="00FB1CB6" w:rsidRPr="00FB1CB6" w:rsidRDefault="00FB1CB6" w:rsidP="00FB1CB6">
      <w:pPr>
        <w:numPr>
          <w:ilvl w:val="0"/>
          <w:numId w:val="21"/>
        </w:numPr>
      </w:pPr>
      <w:proofErr w:type="spellStart"/>
      <w:r w:rsidRPr="00FB1CB6">
        <w:rPr>
          <w:b/>
          <w:bCs/>
        </w:rPr>
        <w:t>commerce_id</w:t>
      </w:r>
      <w:proofErr w:type="spellEnd"/>
      <w:r w:rsidRPr="00FB1CB6">
        <w:t xml:space="preserve">: Es la clave principal para relacionar las tablas </w:t>
      </w:r>
      <w:proofErr w:type="spellStart"/>
      <w:r w:rsidRPr="00FB1CB6">
        <w:t>apicall</w:t>
      </w:r>
      <w:proofErr w:type="spellEnd"/>
      <w:r w:rsidRPr="00FB1CB6">
        <w:t xml:space="preserve">, </w:t>
      </w:r>
      <w:proofErr w:type="spellStart"/>
      <w:r w:rsidRPr="00FB1CB6">
        <w:t>commerce</w:t>
      </w:r>
      <w:proofErr w:type="spellEnd"/>
      <w:r w:rsidRPr="00FB1CB6">
        <w:t xml:space="preserve"> y </w:t>
      </w:r>
      <w:proofErr w:type="spellStart"/>
      <w:r w:rsidRPr="00FB1CB6">
        <w:t>csc</w:t>
      </w:r>
      <w:proofErr w:type="spellEnd"/>
      <w:r w:rsidRPr="00FB1CB6">
        <w:t>.</w:t>
      </w:r>
    </w:p>
    <w:p w14:paraId="127674C0" w14:textId="21E46513" w:rsidR="0040151F" w:rsidRPr="0040151F" w:rsidRDefault="00FB1CB6" w:rsidP="00542A1A">
      <w:pPr>
        <w:numPr>
          <w:ilvl w:val="0"/>
          <w:numId w:val="21"/>
        </w:numPr>
      </w:pPr>
      <w:proofErr w:type="spellStart"/>
      <w:r w:rsidRPr="00FB1CB6">
        <w:rPr>
          <w:b/>
          <w:bCs/>
        </w:rPr>
        <w:t>trade_name</w:t>
      </w:r>
      <w:proofErr w:type="spellEnd"/>
      <w:r w:rsidRPr="00FB1CB6">
        <w:t xml:space="preserve">: Relaciona las tablas </w:t>
      </w:r>
      <w:proofErr w:type="spellStart"/>
      <w:r w:rsidRPr="00FB1CB6">
        <w:t>commissions</w:t>
      </w:r>
      <w:proofErr w:type="spellEnd"/>
      <w:r w:rsidRPr="00FB1CB6">
        <w:t xml:space="preserve"> y </w:t>
      </w:r>
      <w:proofErr w:type="spellStart"/>
      <w:r w:rsidRPr="00FB1CB6">
        <w:t>discounts</w:t>
      </w:r>
      <w:proofErr w:type="spellEnd"/>
      <w:r w:rsidRPr="00FB1CB6">
        <w:t>, conectando las reglas de comisiones y descuentos con un nombre comercial específico.</w:t>
      </w:r>
    </w:p>
    <w:p w14:paraId="0BC6176F" w14:textId="77777777" w:rsidR="0040151F" w:rsidRPr="00872CEC" w:rsidRDefault="0040151F" w:rsidP="0040151F">
      <w:pPr>
        <w:ind w:left="360"/>
      </w:pPr>
    </w:p>
    <w:p w14:paraId="2C7701F4" w14:textId="77777777" w:rsidR="00C04431" w:rsidRDefault="00C04431"/>
    <w:sectPr w:rsidR="00C04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391"/>
    <w:multiLevelType w:val="multilevel"/>
    <w:tmpl w:val="DBB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2998"/>
    <w:multiLevelType w:val="multilevel"/>
    <w:tmpl w:val="C6F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B2A0A"/>
    <w:multiLevelType w:val="multilevel"/>
    <w:tmpl w:val="D3C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B02E8"/>
    <w:multiLevelType w:val="multilevel"/>
    <w:tmpl w:val="4E34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3C4"/>
    <w:multiLevelType w:val="multilevel"/>
    <w:tmpl w:val="44C6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50DFB"/>
    <w:multiLevelType w:val="multilevel"/>
    <w:tmpl w:val="09E2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86516"/>
    <w:multiLevelType w:val="multilevel"/>
    <w:tmpl w:val="A164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94A95"/>
    <w:multiLevelType w:val="multilevel"/>
    <w:tmpl w:val="122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F0DAD"/>
    <w:multiLevelType w:val="multilevel"/>
    <w:tmpl w:val="D2A8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93AEF"/>
    <w:multiLevelType w:val="multilevel"/>
    <w:tmpl w:val="40E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31F8E"/>
    <w:multiLevelType w:val="multilevel"/>
    <w:tmpl w:val="8F1E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D6A34"/>
    <w:multiLevelType w:val="multilevel"/>
    <w:tmpl w:val="403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C0E2E"/>
    <w:multiLevelType w:val="multilevel"/>
    <w:tmpl w:val="35F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230B5"/>
    <w:multiLevelType w:val="multilevel"/>
    <w:tmpl w:val="72D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A5765"/>
    <w:multiLevelType w:val="multilevel"/>
    <w:tmpl w:val="0F94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E146C"/>
    <w:multiLevelType w:val="multilevel"/>
    <w:tmpl w:val="608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86332"/>
    <w:multiLevelType w:val="multilevel"/>
    <w:tmpl w:val="A772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54844"/>
    <w:multiLevelType w:val="multilevel"/>
    <w:tmpl w:val="4DC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07096"/>
    <w:multiLevelType w:val="multilevel"/>
    <w:tmpl w:val="E298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B3D3B"/>
    <w:multiLevelType w:val="multilevel"/>
    <w:tmpl w:val="7FA8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977253"/>
    <w:multiLevelType w:val="multilevel"/>
    <w:tmpl w:val="398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427E8"/>
    <w:multiLevelType w:val="multilevel"/>
    <w:tmpl w:val="6410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1"/>
  </w:num>
  <w:num w:numId="5">
    <w:abstractNumId w:val="9"/>
  </w:num>
  <w:num w:numId="6">
    <w:abstractNumId w:val="4"/>
  </w:num>
  <w:num w:numId="7">
    <w:abstractNumId w:val="17"/>
  </w:num>
  <w:num w:numId="8">
    <w:abstractNumId w:val="8"/>
  </w:num>
  <w:num w:numId="9">
    <w:abstractNumId w:val="6"/>
  </w:num>
  <w:num w:numId="10">
    <w:abstractNumId w:val="14"/>
  </w:num>
  <w:num w:numId="11">
    <w:abstractNumId w:val="12"/>
  </w:num>
  <w:num w:numId="12">
    <w:abstractNumId w:val="15"/>
  </w:num>
  <w:num w:numId="13">
    <w:abstractNumId w:val="10"/>
  </w:num>
  <w:num w:numId="14">
    <w:abstractNumId w:val="20"/>
  </w:num>
  <w:num w:numId="15">
    <w:abstractNumId w:val="7"/>
  </w:num>
  <w:num w:numId="16">
    <w:abstractNumId w:val="11"/>
  </w:num>
  <w:num w:numId="17">
    <w:abstractNumId w:val="2"/>
  </w:num>
  <w:num w:numId="18">
    <w:abstractNumId w:val="0"/>
  </w:num>
  <w:num w:numId="19">
    <w:abstractNumId w:val="21"/>
  </w:num>
  <w:num w:numId="20">
    <w:abstractNumId w:val="16"/>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C"/>
    <w:rsid w:val="0040151F"/>
    <w:rsid w:val="00542A1A"/>
    <w:rsid w:val="007642A1"/>
    <w:rsid w:val="00872CEC"/>
    <w:rsid w:val="00C04431"/>
    <w:rsid w:val="00FB1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42C3"/>
  <w15:chartTrackingRefBased/>
  <w15:docId w15:val="{AB09A258-EF6D-43B3-AF27-F83CE10A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FB1C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151F"/>
    <w:rPr>
      <w:color w:val="0563C1" w:themeColor="hyperlink"/>
      <w:u w:val="single"/>
    </w:rPr>
  </w:style>
  <w:style w:type="character" w:styleId="Mencinsinresolver">
    <w:name w:val="Unresolved Mention"/>
    <w:basedOn w:val="Fuentedeprrafopredeter"/>
    <w:uiPriority w:val="99"/>
    <w:semiHidden/>
    <w:unhideWhenUsed/>
    <w:rsid w:val="0040151F"/>
    <w:rPr>
      <w:color w:val="605E5C"/>
      <w:shd w:val="clear" w:color="auto" w:fill="E1DFDD"/>
    </w:rPr>
  </w:style>
  <w:style w:type="character" w:styleId="Hipervnculovisitado">
    <w:name w:val="FollowedHyperlink"/>
    <w:basedOn w:val="Fuentedeprrafopredeter"/>
    <w:uiPriority w:val="99"/>
    <w:semiHidden/>
    <w:unhideWhenUsed/>
    <w:rsid w:val="00FB1CB6"/>
    <w:rPr>
      <w:color w:val="954F72" w:themeColor="followedHyperlink"/>
      <w:u w:val="single"/>
    </w:rPr>
  </w:style>
  <w:style w:type="character" w:customStyle="1" w:styleId="Ttulo3Car">
    <w:name w:val="Título 3 Car"/>
    <w:basedOn w:val="Fuentedeprrafopredeter"/>
    <w:link w:val="Ttulo3"/>
    <w:uiPriority w:val="9"/>
    <w:semiHidden/>
    <w:rsid w:val="00FB1C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8694">
      <w:bodyDiv w:val="1"/>
      <w:marLeft w:val="0"/>
      <w:marRight w:val="0"/>
      <w:marTop w:val="0"/>
      <w:marBottom w:val="0"/>
      <w:divBdr>
        <w:top w:val="none" w:sz="0" w:space="0" w:color="auto"/>
        <w:left w:val="none" w:sz="0" w:space="0" w:color="auto"/>
        <w:bottom w:val="none" w:sz="0" w:space="0" w:color="auto"/>
        <w:right w:val="none" w:sz="0" w:space="0" w:color="auto"/>
      </w:divBdr>
    </w:div>
    <w:div w:id="764350338">
      <w:bodyDiv w:val="1"/>
      <w:marLeft w:val="0"/>
      <w:marRight w:val="0"/>
      <w:marTop w:val="0"/>
      <w:marBottom w:val="0"/>
      <w:divBdr>
        <w:top w:val="none" w:sz="0" w:space="0" w:color="auto"/>
        <w:left w:val="none" w:sz="0" w:space="0" w:color="auto"/>
        <w:bottom w:val="none" w:sz="0" w:space="0" w:color="auto"/>
        <w:right w:val="none" w:sz="0" w:space="0" w:color="auto"/>
      </w:divBdr>
    </w:div>
    <w:div w:id="1156385452">
      <w:bodyDiv w:val="1"/>
      <w:marLeft w:val="0"/>
      <w:marRight w:val="0"/>
      <w:marTop w:val="0"/>
      <w:marBottom w:val="0"/>
      <w:divBdr>
        <w:top w:val="none" w:sz="0" w:space="0" w:color="auto"/>
        <w:left w:val="none" w:sz="0" w:space="0" w:color="auto"/>
        <w:bottom w:val="none" w:sz="0" w:space="0" w:color="auto"/>
        <w:right w:val="none" w:sz="0" w:space="0" w:color="auto"/>
      </w:divBdr>
    </w:div>
    <w:div w:id="1412460840">
      <w:bodyDiv w:val="1"/>
      <w:marLeft w:val="0"/>
      <w:marRight w:val="0"/>
      <w:marTop w:val="0"/>
      <w:marBottom w:val="0"/>
      <w:divBdr>
        <w:top w:val="none" w:sz="0" w:space="0" w:color="auto"/>
        <w:left w:val="none" w:sz="0" w:space="0" w:color="auto"/>
        <w:bottom w:val="none" w:sz="0" w:space="0" w:color="auto"/>
        <w:right w:val="none" w:sz="0" w:space="0" w:color="auto"/>
      </w:divBdr>
    </w:div>
    <w:div w:id="1455444811">
      <w:bodyDiv w:val="1"/>
      <w:marLeft w:val="0"/>
      <w:marRight w:val="0"/>
      <w:marTop w:val="0"/>
      <w:marBottom w:val="0"/>
      <w:divBdr>
        <w:top w:val="none" w:sz="0" w:space="0" w:color="auto"/>
        <w:left w:val="none" w:sz="0" w:space="0" w:color="auto"/>
        <w:bottom w:val="none" w:sz="0" w:space="0" w:color="auto"/>
        <w:right w:val="none" w:sz="0" w:space="0" w:color="auto"/>
      </w:divBdr>
    </w:div>
    <w:div w:id="17166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graph/tutorials/Python-app-only?tabs=aad&amp;tutorial-step=1" TargetMode="External"/><Relationship Id="rId5" Type="http://schemas.openxmlformats.org/officeDocument/2006/relationships/hyperlink" Target="https://learn.microsoft.com/en-us/powershell/microsoftgraph/installation?view=graph-powershell-1.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2212</Words>
  <Characters>12166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Andrés Hinestroza Pérez</dc:creator>
  <cp:keywords/>
  <dc:description/>
  <cp:lastModifiedBy>Carlos Andrés Hinestroza Pérez</cp:lastModifiedBy>
  <cp:revision>2</cp:revision>
  <dcterms:created xsi:type="dcterms:W3CDTF">2024-12-26T02:28:00Z</dcterms:created>
  <dcterms:modified xsi:type="dcterms:W3CDTF">2024-12-26T03:12:00Z</dcterms:modified>
</cp:coreProperties>
</file>