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</w:rPr>
        <w:t>Análisis y diseño inicial del sistema de préstamos de bienes EPCC</w:t>
      </w:r>
    </w:p>
    <w:p>
      <w:pPr>
        <w:pStyle w:val="Heading2"/>
      </w:pPr>
      <w:r>
        <w:rPr>
          <w:rFonts w:ascii="Arial" w:hAnsi="Arial"/>
        </w:rPr>
        <w:t>Propósito y alcance</w:t>
      </w:r>
    </w:p>
    <w:p>
      <w:pPr>
        <w:widowControl/>
        <w:jc w:val="left"/>
      </w:pPr>
      <w:r>
        <w:rPr>
          <w:rFonts w:ascii="Arial" w:hAnsi="Arial"/>
        </w:rPr>
        <w:t>Este documento presenta los productos solicitados para el primer examen: requisitos, modelo de dominio y arquitectura en capas. Se elaboró a partir del diagrama conceptual, el esquema PostgreSQL y la documentación del repositorio. Se distingue el dominio completo del subconjunto que actualmente concreta el SQL.</w:t>
      </w:r>
    </w:p>
    <w:p>
      <w:pPr>
        <w:widowControl/>
        <w:jc w:val="left"/>
      </w:pPr>
      <w:r>
        <w:rPr>
          <w:rFonts w:ascii="Arial" w:hAnsi="Arial"/>
        </w:rPr>
        <w:t>El sistema busca administrar el catálogo de bienes y controlar las reservas, entregas, renovaciones y devoluciones realizadas por la comunidad de la Escuela Profesional de Ciencia de la Computación. El diseño se encuentra en etapa inicial: el repositorio dispone de una API de salud y PostgreSQL local, pero aún no integra persistencia de negocio ni los flujos funcionales.</w:t>
      </w:r>
    </w:p>
    <w:p>
      <w:pPr>
        <w:pStyle w:val="Heading2"/>
      </w:pPr>
      <w:r>
        <w:rPr>
          <w:rFonts w:ascii="Arial" w:hAnsi="Arial"/>
        </w:rPr>
        <w:t>1. Requisitos del sistema</w:t>
      </w:r>
    </w:p>
    <w:p>
      <w:pPr>
        <w:widowControl/>
        <w:jc w:val="left"/>
      </w:pPr>
      <w:r>
        <w:rPr>
          <w:rFonts w:ascii="Arial" w:hAnsi="Arial"/>
        </w:rPr>
        <w:t xml:space="preserve">Los requisitos derivados del esquema se identifican como </w:t>
      </w:r>
      <w:r>
        <w:rPr>
          <w:rFonts w:ascii="Arial" w:hAnsi="Arial"/>
          <w:b/>
        </w:rPr>
        <w:t>D</w:t>
      </w:r>
      <w:r>
        <w:rPr>
          <w:rFonts w:ascii="Arial" w:hAnsi="Arial"/>
        </w:rPr>
        <w:t xml:space="preserve">; los que requieren confirmar reglas operativas con la EPCC, como </w:t>
      </w:r>
      <w:r>
        <w:rPr>
          <w:rFonts w:ascii="Arial" w:hAnsi="Arial"/>
          <w:b/>
        </w:rPr>
        <w:t>V</w:t>
      </w:r>
      <w:r>
        <w:rPr>
          <w:rFonts w:ascii="Arial" w:hAnsi="Arial"/>
        </w:rPr>
        <w:t>. Esta distinción evita presentar decisiones pendientes como políticas institucionales aprobadas.</w:t>
      </w:r>
    </w:p>
    <w:p>
      <w:pPr>
        <w:pStyle w:val="Heading3"/>
      </w:pPr>
      <w:r>
        <w:rPr>
          <w:rFonts w:ascii="Arial" w:hAnsi="Arial"/>
        </w:rPr>
        <w:t>Requisitos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CE3"/>
          <w:left w:val="single" w:sz="5" w:space="0" w:color="D4DCE3"/>
          <w:bottom w:val="single" w:sz="5" w:space="0" w:color="D4DCE3"/>
          <w:right w:val="single" w:sz="5" w:space="0" w:color="D4DCE3"/>
          <w:insideH w:val="single" w:sz="5" w:space="0" w:color="D4DCE3"/>
          <w:insideV w:val="single" w:sz="5" w:space="0" w:color="D4DCE3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RF-01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Registrar personas y sus cuentas de acceso, identificadores, estado y rol base.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RF-02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Organizar el catálogo en categorías, tipos, fichas y unidades físicas identificables.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RF-03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Solicitar y gestionar reservas de bienes para un intervalo, registrando solicitante y uso previsto.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D/V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RF-04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Registrar préstamos, responsables, unidad, plazo y reserva de origen cuando corresponda.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RF-05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Registrar evidencia de entrega, devolución y condición del bien.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RF-06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Registrar renovaciones autorizadas y su secuencia de vencimientos.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RF-07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Consultar disponibilidad, historial y operaciones por persona, bien, estado y fechas.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V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  <w:jc w:val="center"/>
            </w:pPr>
            <w:r>
              <w:rPr>
                <w:rFonts w:ascii="Arial" w:hAnsi="Arial"/>
                <w:color w:val="1D2730"/>
                <w:sz w:val="17"/>
              </w:rPr>
              <w:t>RF-08</w:t>
            </w:r>
          </w:p>
        </w:tc>
        <w:tc>
          <w:tcPr>
            <w:tcW w:type="dxa" w:w="601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Conservar trazabilidad de las operaciones críticas y de sus responsables.</w:t>
            </w:r>
          </w:p>
        </w:tc>
        <w:tc>
          <w:tcPr>
            <w:tcW w:type="dxa" w:w="282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V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</w:rPr>
        <w:t>Requisitos de calidad</w:t>
      </w:r>
    </w:p>
    <w:p>
      <w:pPr>
        <w:pStyle w:val="ListBullet"/>
        <w:spacing w:after="60"/>
      </w:pPr>
      <w:r>
        <w:rPr>
          <w:rFonts w:ascii="Arial" w:hAnsi="Arial"/>
          <w:b/>
        </w:rPr>
        <w:t>Integridad:</w:t>
      </w:r>
      <w:r>
        <w:rPr>
          <w:rFonts w:ascii="Arial" w:hAnsi="Arial"/>
        </w:rPr>
        <w:t xml:space="preserve"> identificadores únicos, relaciones válidas e intervalos de tiempo consistentes; el SQL ya define varias claves y restricciones.</w:t>
      </w:r>
    </w:p>
    <w:p>
      <w:pPr>
        <w:pStyle w:val="ListBullet"/>
        <w:spacing w:after="60"/>
      </w:pPr>
      <w:r>
        <w:rPr>
          <w:rFonts w:ascii="Arial" w:hAnsi="Arial"/>
          <w:b/>
        </w:rPr>
        <w:t>Consistencia concurrente:</w:t>
      </w:r>
      <w:r>
        <w:rPr>
          <w:rFonts w:ascii="Arial" w:hAnsi="Arial"/>
        </w:rPr>
        <w:t xml:space="preserve"> impedir la asignación simultánea de una misma unidad; falta implementar transacciones y confirmar una restricción de unicidad para préstamos activos.</w:t>
      </w:r>
    </w:p>
    <w:p>
      <w:pPr>
        <w:pStyle w:val="ListBullet"/>
        <w:spacing w:after="60"/>
      </w:pPr>
      <w:r>
        <w:rPr>
          <w:rFonts w:ascii="Arial" w:hAnsi="Arial"/>
          <w:b/>
        </w:rPr>
        <w:t>Seguridad:</w:t>
      </w:r>
      <w:r>
        <w:rPr>
          <w:rFonts w:ascii="Arial" w:hAnsi="Arial"/>
        </w:rPr>
        <w:t xml:space="preserve"> almacenar contraseñas como hash y autorizar operaciones por rol; el esquema solo contempla un rol base, por lo que permisos y autenticación están pendientes.</w:t>
      </w:r>
    </w:p>
    <w:p>
      <w:pPr>
        <w:pStyle w:val="ListBullet"/>
        <w:spacing w:after="60"/>
      </w:pPr>
      <w:r>
        <w:rPr>
          <w:rFonts w:ascii="Arial" w:hAnsi="Arial"/>
          <w:b/>
        </w:rPr>
        <w:t>Mantenibilidad:</w:t>
      </w:r>
      <w:r>
        <w:rPr>
          <w:rFonts w:ascii="Arial" w:hAnsi="Arial"/>
        </w:rPr>
        <w:t xml:space="preserve"> versionar el esquema con migraciones y mantener reglas de negocio independientes de la API y del ORM.</w:t>
      </w:r>
    </w:p>
    <w:p>
      <w:pPr>
        <w:pStyle w:val="ListBullet"/>
        <w:spacing w:after="60"/>
      </w:pPr>
      <w:r>
        <w:rPr>
          <w:rFonts w:ascii="Arial" w:hAnsi="Arial"/>
          <w:b/>
        </w:rPr>
        <w:t>Trazabilidad:</w:t>
      </w:r>
      <w:r>
        <w:rPr>
          <w:rFonts w:ascii="Arial" w:hAnsi="Arial"/>
        </w:rPr>
        <w:t xml:space="preserve"> registrar actor, fecha y cambios relevantes; el contexto de auditoría del modelo conceptual no está incluido en el SQL actual.</w:t>
      </w:r>
    </w:p>
    <w:p>
      <w:pPr>
        <w:widowControl/>
        <w:jc w:val="left"/>
      </w:pPr>
      <w:r>
        <w:rPr>
          <w:rFonts w:ascii="Arial" w:hAnsi="Arial"/>
        </w:rPr>
        <w:t>Los materiales disponibles no especifican objetivos medibles de disponibilidad, rendimiento, retención o accesibilidad. Deben acordarse con los usuarios antes de fijar criterios de aceptación.</w:t>
      </w:r>
    </w:p>
    <w:p>
      <w:pPr>
        <w:pStyle w:val="Heading2"/>
      </w:pPr>
      <w:r>
        <w:rPr>
          <w:rFonts w:ascii="Arial" w:hAnsi="Arial"/>
        </w:rPr>
        <w:t>2. Modelo de dominio</w:t>
      </w:r>
    </w:p>
    <w:p>
      <w:pPr>
        <w:widowControl/>
        <w:jc w:val="left"/>
      </w:pPr>
      <w:r>
        <w:rPr>
          <w:rFonts w:ascii="Arial" w:hAnsi="Arial"/>
        </w:rPr>
        <w:t>El diagrama conceptual recibido organiza el problema en contextos delimitados: identidad y acceso, vinculación académica, catálogo e inventario, políticas, reservas, préstamos, garantías, incidencias, sanciones y auditoría. Estos contextos describen el dominio objetivo; no equivalen a tablas ya implementadas.</w:t>
      </w:r>
    </w:p>
    <w:p>
      <w:pPr>
        <w:widowControl/>
        <w:jc w:val="left"/>
      </w:pPr>
      <w:r>
        <w:rPr>
          <w:rFonts w:ascii="Arial" w:hAnsi="Arial"/>
        </w:rPr>
        <w:t xml:space="preserve">La vista de clases presentada a continuación se limita a los conceptos que aparecen en el SQL recibido. </w:t>
      </w:r>
      <w:r>
        <w:rPr>
          <w:rFonts w:ascii="Menlo" w:hAnsi="Menlo"/>
          <w:color w:val="245B84"/>
          <w:sz w:val="18"/>
        </w:rPr>
        <w:t>Persona</w:t>
      </w:r>
      <w:r>
        <w:rPr>
          <w:rFonts w:ascii="Arial" w:hAnsi="Arial"/>
        </w:rPr>
        <w:t xml:space="preserve"> se relaciona con </w:t>
      </w:r>
      <w:r>
        <w:rPr>
          <w:rFonts w:ascii="Menlo" w:hAnsi="Menlo"/>
          <w:color w:val="245B84"/>
          <w:sz w:val="18"/>
        </w:rPr>
        <w:t>Cuenta</w:t>
      </w:r>
      <w:r>
        <w:rPr>
          <w:rFonts w:ascii="Arial" w:hAnsi="Arial"/>
        </w:rPr>
        <w:t xml:space="preserve">; el inventario se estructura como </w:t>
      </w:r>
      <w:r>
        <w:rPr>
          <w:rFonts w:ascii="Menlo" w:hAnsi="Menlo"/>
          <w:color w:val="245B84"/>
          <w:sz w:val="18"/>
        </w:rPr>
        <w:t>CategoriaBien</w:t>
      </w:r>
      <w:r>
        <w:rPr>
          <w:rFonts w:ascii="Arial" w:hAnsi="Arial"/>
        </w:rPr>
        <w:t xml:space="preserve">, </w:t>
      </w:r>
      <w:r>
        <w:rPr>
          <w:rFonts w:ascii="Menlo" w:hAnsi="Menlo"/>
          <w:color w:val="245B84"/>
          <w:sz w:val="18"/>
        </w:rPr>
        <w:t>TipoBien</w:t>
      </w:r>
      <w:r>
        <w:rPr>
          <w:rFonts w:ascii="Arial" w:hAnsi="Arial"/>
        </w:rPr>
        <w:t xml:space="preserve">, </w:t>
      </w:r>
      <w:r>
        <w:rPr>
          <w:rFonts w:ascii="Menlo" w:hAnsi="Menlo"/>
          <w:color w:val="245B84"/>
          <w:sz w:val="18"/>
        </w:rPr>
        <w:t>FichaBien</w:t>
      </w:r>
      <w:r>
        <w:rPr>
          <w:rFonts w:ascii="Arial" w:hAnsi="Arial"/>
        </w:rPr>
        <w:t xml:space="preserve"> y </w:t>
      </w:r>
      <w:r>
        <w:rPr>
          <w:rFonts w:ascii="Menlo" w:hAnsi="Menlo"/>
          <w:color w:val="245B84"/>
          <w:sz w:val="18"/>
        </w:rPr>
        <w:t>UnidadFisica</w:t>
      </w:r>
      <w:r>
        <w:rPr>
          <w:rFonts w:ascii="Arial" w:hAnsi="Arial"/>
        </w:rPr>
        <w:t xml:space="preserve">. </w:t>
      </w:r>
      <w:r>
        <w:rPr>
          <w:rFonts w:ascii="Menlo" w:hAnsi="Menlo"/>
          <w:color w:val="245B84"/>
          <w:sz w:val="18"/>
        </w:rPr>
        <w:t>Reserva</w:t>
      </w:r>
      <w:r>
        <w:rPr>
          <w:rFonts w:ascii="Arial" w:hAnsi="Arial"/>
        </w:rPr>
        <w:t xml:space="preserve"> identifica solicitante y unidad. </w:t>
      </w:r>
      <w:r>
        <w:rPr>
          <w:rFonts w:ascii="Menlo" w:hAnsi="Menlo"/>
          <w:color w:val="245B84"/>
          <w:sz w:val="18"/>
        </w:rPr>
        <w:t>Prestamo</w:t>
      </w:r>
      <w:r>
        <w:rPr>
          <w:rFonts w:ascii="Arial" w:hAnsi="Arial"/>
        </w:rPr>
        <w:t xml:space="preserve"> registra solicitante, administrador, unidad y una reserva de origen opcional. </w:t>
      </w:r>
      <w:r>
        <w:rPr>
          <w:rFonts w:ascii="Menlo" w:hAnsi="Menlo"/>
          <w:color w:val="245B84"/>
          <w:sz w:val="18"/>
        </w:rPr>
        <w:t>Renovacion</w:t>
      </w:r>
      <w:r>
        <w:rPr>
          <w:rFonts w:ascii="Arial" w:hAnsi="Arial"/>
        </w:rPr>
        <w:t xml:space="preserve"> conserva los cambios de vencimiento asociados al préstamo.</w:t>
      </w:r>
    </w:p>
    <w:p>
      <w:pPr>
        <w:sectPr>
          <w:footerReference w:type="default" r:id="rId11"/>
          <w:pgSz w:w="12240" w:h="15840"/>
          <w:pgMar w:top="1123" w:right="1181" w:bottom="1123" w:left="1181" w:header="720" w:footer="720" w:gutter="0"/>
          <w:cols w:space="720"/>
          <w:docGrid w:linePitch="360"/>
        </w:sectPr>
      </w:pPr>
    </w:p>
    <w:p>
      <w:pPr>
        <w:spacing w:after="140"/>
        <w:jc w:val="left"/>
      </w:pPr>
      <w:r>
        <w:rPr>
          <w:rFonts w:ascii="Arial" w:hAnsi="Arial"/>
          <w:b/>
          <w:color w:val="000000"/>
          <w:sz w:val="34"/>
        </w:rPr>
        <w:t>Diagrama de clases del dominio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5514975"/>
            <wp:docPr id="1" name="Picture 1" descr="Clases del esquema actual y multiplicidades de sus asociaciones." title="Diagrama de clases del domin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domin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51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color w:val="4C5B67"/>
          <w:sz w:val="18"/>
        </w:rPr>
        <w:t>Figura 1. Clases del esquema actual y multiplicidades de sus asociaciones.</w:t>
      </w:r>
    </w:p>
    <w:p>
      <w:pPr>
        <w:sectPr>
          <w:footerReference w:type="default" r:id="rId12"/>
          <w:pgSz w:w="15840" w:h="12240" w:orient="landscape"/>
          <w:pgMar w:top="792" w:right="936" w:bottom="792" w:left="936" w:header="720" w:footer="720" w:gutter="0"/>
          <w:cols w:space="720"/>
          <w:docGrid w:linePitch="360"/>
        </w:sectPr>
      </w:pPr>
    </w:p>
    <w:p>
      <w:pPr>
        <w:widowControl/>
        <w:jc w:val="left"/>
      </w:pPr>
      <w:r>
        <w:rPr>
          <w:rFonts w:ascii="Arial" w:hAnsi="Arial"/>
        </w:rPr>
        <w:t>Las multiplicidades reflejan las claves foráneas del esquema. El diseño conceptual añade reglas aún por validar: elegibilidad académica, política aplicada al préstamo, prioridad de reservas, límite de renovaciones, garantías, sanciones e historial de auditoría. El diagrama debe leerse como un modelo parcial de análisis, no como el modelo completo aprobado.</w:t>
      </w:r>
    </w:p>
    <w:p>
      <w:pPr>
        <w:pStyle w:val="Heading3"/>
      </w:pPr>
      <w:r>
        <w:rPr>
          <w:rFonts w:ascii="Arial" w:hAnsi="Arial"/>
        </w:rPr>
        <w:t>Observaciones del análisis del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CE3"/>
          <w:left w:val="single" w:sz="5" w:space="0" w:color="D4DCE3"/>
          <w:bottom w:val="single" w:sz="5" w:space="0" w:color="D4DCE3"/>
          <w:right w:val="single" w:sz="5" w:space="0" w:color="D4DCE3"/>
          <w:insideH w:val="single" w:sz="5" w:space="0" w:color="D4DCE3"/>
          <w:insideV w:val="single" w:sz="5" w:space="0" w:color="D4DCE3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79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Implicación para el diseño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El índice de préstamos por unidad no es único.</w:t>
            </w:r>
          </w:p>
        </w:tc>
        <w:tc>
          <w:tcPr>
            <w:tcW w:type="dxa" w:w="79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No evita dos préstamos activos o vencidos para la misma unidad; definir y hacer cumplir la regla en base de datos.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Un préstamo se crea como activo aunque la entrega puede estar vacía.</w:t>
            </w:r>
          </w:p>
        </w:tc>
        <w:tc>
          <w:tcPr>
            <w:tcW w:type="dxa" w:w="79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Separar solicitud/autorización de entrega, o activar el préstamo al registrar la entrega.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Reserva y préstamo guardan referencias mutuas.</w:t>
            </w:r>
          </w:p>
        </w:tc>
        <w:tc>
          <w:tcPr>
            <w:tcW w:type="dxa" w:w="79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Definir una relación autoritativa y evitar mantener enlaces redundantes sin necesidad.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No hay tablas de políticas ni vínculo académico.</w:t>
            </w:r>
          </w:p>
        </w:tc>
        <w:tc>
          <w:tcPr>
            <w:tcW w:type="dxa" w:w="79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No se pueden aplicar límites de préstamo ni comprobar elegibilidad desde el esquema actual.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Roles administrativos y auditoría no están desarrollados.</w:t>
            </w:r>
          </w:p>
        </w:tc>
        <w:tc>
          <w:tcPr>
            <w:tcW w:type="dxa" w:w="79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Definir permisos, responsables y eventos antes de operar con datos reales.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</w:rPr>
        <w:t>3. Arquitectura en capas</w:t>
      </w:r>
    </w:p>
    <w:p>
      <w:pPr>
        <w:widowControl/>
        <w:jc w:val="left"/>
      </w:pPr>
      <w:r>
        <w:rPr>
          <w:rFonts w:ascii="Arial" w:hAnsi="Arial"/>
        </w:rPr>
        <w:t xml:space="preserve">Se propone un </w:t>
      </w:r>
      <w:r>
        <w:rPr>
          <w:rFonts w:ascii="Arial" w:hAnsi="Arial"/>
          <w:b/>
        </w:rPr>
        <w:t>monolito modular</w:t>
      </w:r>
      <w:r>
        <w:rPr>
          <w:rFonts w:ascii="Arial" w:hAnsi="Arial"/>
        </w:rPr>
        <w:t xml:space="preserve"> en Python. Los contextos se implementan como módulos dentro de una aplicación, sin llamadas HTTP internas ni separación prematura en microservicios. Esta opción mantiene las operaciones de inventario y préstamo dentro de transacciones consistentes y permite evolucionar los módulos con contratos explícitos.</w:t>
      </w:r>
    </w:p>
    <w:p>
      <w:pPr>
        <w:sectPr>
          <w:footerReference w:type="default" r:id="rId13"/>
          <w:pgSz w:w="12240" w:h="15840"/>
          <w:pgMar w:top="1123" w:right="1181" w:bottom="1123" w:left="1181" w:header="720" w:footer="720" w:gutter="0"/>
          <w:cols w:space="720"/>
          <w:docGrid w:linePitch="360"/>
        </w:sectPr>
      </w:pPr>
    </w:p>
    <w:p>
      <w:pPr>
        <w:spacing w:after="140"/>
        <w:jc w:val="left"/>
      </w:pPr>
      <w:r>
        <w:rPr>
          <w:rFonts w:ascii="Arial" w:hAnsi="Arial"/>
          <w:b/>
          <w:color w:val="000000"/>
          <w:sz w:val="34"/>
        </w:rPr>
        <w:t>Diagrama de paquetes y clases de la arquitectura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5514975"/>
            <wp:docPr id="2" name="Picture 2" descr="Paquetes de presentación, aplicación, dominio e infraestructura, con sus dependencias." title="Diagrama de paquetes y clases de la arquitec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cap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51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color w:val="4C5B67"/>
          <w:sz w:val="18"/>
        </w:rPr>
        <w:t>Figura 2. Paquetes de presentación, aplicación, dominio e infraestructura, con sus dependencias.</w:t>
      </w:r>
    </w:p>
    <w:p>
      <w:pPr>
        <w:sectPr>
          <w:footerReference w:type="default" r:id="rId14"/>
          <w:pgSz w:w="15840" w:h="12240" w:orient="landscape"/>
          <w:pgMar w:top="792" w:right="936" w:bottom="792" w:left="936" w:header="720" w:footer="720" w:gutter="0"/>
          <w:cols w:space="720"/>
          <w:docGrid w:linePitch="360"/>
        </w:sectPr>
      </w:pPr>
    </w:p>
    <w:p>
      <w:pPr>
        <w:widowControl/>
        <w:jc w:val="left"/>
      </w:pPr>
      <w:r>
        <w:rPr>
          <w:rFonts w:ascii="Arial" w:hAnsi="Arial"/>
        </w:rPr>
        <w:t>La presentación recibe solicitudes HTTP y valida sus esquemas. La aplicación coordina casos de uso —por ejemplo, registrar una unidad, reservar, entregar o devolver—. El dominio contiene entidades, invariantes y contratos. La infraestructura implementa esos contratos mediante PostgreSQL, SQLAlchemy, seguridad y migraciones. Las dependencias de los casos de uso apuntan al dominio; la infraestructura se conecta a través de interfaces.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CE3"/>
          <w:left w:val="single" w:sz="5" w:space="0" w:color="D4DCE3"/>
          <w:bottom w:val="single" w:sz="5" w:space="0" w:color="D4DCE3"/>
          <w:right w:val="single" w:sz="5" w:space="0" w:color="D4DCE3"/>
          <w:insideH w:val="single" w:sz="5" w:space="0" w:color="D4DCE3"/>
          <w:insideV w:val="single" w:sz="5" w:space="0" w:color="D4DCE3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Tecnología propuesta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API y validación</w:t>
            </w:r>
          </w:p>
        </w:tc>
        <w:tc>
          <w:tcPr>
            <w:tcW w:type="dxa" w:w="51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Python, FastAPI, Pydantic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Endpoints, esquemas y OpenAPI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Dominio y aplicación</w:t>
            </w:r>
          </w:p>
        </w:tc>
        <w:tc>
          <w:tcPr>
            <w:tcW w:type="dxa" w:w="51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Python tipado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Entidades, reglas y casos de uso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Persistencia</w:t>
            </w:r>
          </w:p>
        </w:tc>
        <w:tc>
          <w:tcPr>
            <w:tcW w:type="dxa" w:w="51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PostgreSQL, SQLAlchemy 2, Psycopg 3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Restricciones, consultas y transacciones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Evolución del esquema</w:t>
            </w:r>
          </w:p>
        </w:tc>
        <w:tc>
          <w:tcPr>
            <w:tcW w:type="dxa" w:w="51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Alembic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Migraciones versionadas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Calidad</w:t>
            </w:r>
          </w:p>
        </w:tc>
        <w:tc>
          <w:tcPr>
            <w:tcW w:type="dxa" w:w="51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pytest, Ruff, mypy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Pruebas, estilo y tipos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Desarrollo local</w:t>
            </w:r>
          </w:p>
        </w:tc>
        <w:tc>
          <w:tcPr>
            <w:tcW w:type="dxa" w:w="51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Docker Compose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1F7"/>
          </w:tcPr>
          <w:p>
            <w:pPr>
              <w:spacing w:after="20" w:line="247" w:lineRule="auto"/>
            </w:pPr>
            <w:r>
              <w:rPr>
                <w:rFonts w:ascii="Arial" w:hAnsi="Arial"/>
                <w:color w:val="1D2730"/>
                <w:sz w:val="17"/>
              </w:rPr>
              <w:t>Entorno reproducible de PostgreSQL</w:t>
            </w:r>
          </w:p>
        </w:tc>
      </w:tr>
    </w:tbl>
    <w:p>
      <w:pPr>
        <w:spacing w:after="40"/>
      </w:pPr>
    </w:p>
    <w:p>
      <w:pPr>
        <w:widowControl/>
        <w:jc w:val="left"/>
      </w:pPr>
      <w:r>
        <w:rPr>
          <w:rFonts w:ascii="Arial" w:hAnsi="Arial"/>
        </w:rPr>
        <w:t>La interfaz web queda fuera de este primer alcance; conviene elegirla después de estabilizar los flujos de API. Las tecnologías son una propuesta documentada en el repositorio, no componentes ya implementados.</w:t>
      </w:r>
    </w:p>
    <w:p>
      <w:pPr>
        <w:pStyle w:val="Heading2"/>
      </w:pPr>
      <w:r>
        <w:rPr>
          <w:rFonts w:ascii="Arial" w:hAnsi="Arial"/>
        </w:rPr>
        <w:t>Conclusión</w:t>
      </w:r>
    </w:p>
    <w:p>
      <w:pPr>
        <w:widowControl/>
        <w:jc w:val="left"/>
      </w:pPr>
      <w:r>
        <w:rPr>
          <w:rFonts w:ascii="Arial" w:hAnsi="Arial"/>
        </w:rPr>
        <w:t>El dominio y el SQL ofrecen una base para iniciar identidad, catálogo e inventario, reservas y préstamos. Antes de convertir el esquema en migraciones, deben cerrarse las reglas de préstamo activo, el momento de entrega, las políticas y la relación reserva-préstamo. La siguiente entrega técnica debería integrar SQLAlchemy y Alembic, implementar primero identidad e inventario y probar la disponibilidad transaccional.</w:t>
      </w:r>
    </w:p>
    <w:p>
      <w:pPr>
        <w:widowControl/>
        <w:jc w:val="left"/>
      </w:pPr>
      <w:r>
        <w:rPr>
          <w:rFonts w:ascii="Arial" w:hAnsi="Arial"/>
          <w:b/>
        </w:rPr>
        <w:t>Estado actual:</w:t>
      </w:r>
      <w:r>
        <w:rPr>
          <w:rFonts w:ascii="Arial" w:hAnsi="Arial"/>
        </w:rPr>
        <w:t xml:space="preserve"> documentación inicial, API mínima de salud y PostgreSQL local. No están implementados los modelos de persistencia, autenticación ni los casos de uso del negocio.</w:t>
      </w:r>
    </w:p>
    <w:p>
      <w:pPr>
        <w:pStyle w:val="Heading2"/>
      </w:pPr>
      <w:r>
        <w:rPr>
          <w:rFonts w:ascii="Arial" w:hAnsi="Arial"/>
        </w:rPr>
        <w:t>Fuentes</w:t>
      </w:r>
    </w:p>
    <w:p>
      <w:pPr>
        <w:pStyle w:val="ListNumber"/>
        <w:spacing w:after="60"/>
      </w:pPr>
      <w:r>
        <w:rPr>
          <w:rFonts w:ascii="Arial" w:hAnsi="Arial"/>
        </w:rPr>
        <w:t>Pauta del primer examen compartida por el usuario: requisitos, modelo de dominio y arquitectura en capas con diagramas UML.</w:t>
      </w:r>
    </w:p>
    <w:p>
      <w:pPr>
        <w:pStyle w:val="ListNumber"/>
        <w:spacing w:after="60"/>
      </w:pPr>
      <w:r>
        <w:rPr>
          <w:rFonts w:ascii="Arial" w:hAnsi="Arial"/>
        </w:rPr>
        <w:t xml:space="preserve">Diagrama conceptual </w:t>
      </w:r>
      <w:r>
        <w:rPr>
          <w:rFonts w:ascii="Menlo" w:hAnsi="Menlo"/>
          <w:color w:val="245B84"/>
          <w:sz w:val="18"/>
        </w:rPr>
        <w:t>modelo-de-dominio_blan2 (1).png</w:t>
      </w:r>
      <w:r>
        <w:rPr>
          <w:rFonts w:ascii="Arial" w:hAnsi="Arial"/>
        </w:rPr>
        <w:t>, proporcionado para esta revisión.</w:t>
      </w:r>
    </w:p>
    <w:p>
      <w:pPr>
        <w:pStyle w:val="ListNumber"/>
        <w:spacing w:after="60"/>
      </w:pPr>
      <w:r>
        <w:rPr>
          <w:rFonts w:ascii="Menlo" w:hAnsi="Menlo"/>
          <w:color w:val="245B84"/>
          <w:sz w:val="18"/>
        </w:rPr>
        <w:t>sistema_gestion_prestamos_bienes_epcc_unsa.sql</w:t>
      </w:r>
      <w:r>
        <w:rPr>
          <w:rFonts w:ascii="Arial" w:hAnsi="Arial"/>
        </w:rPr>
        <w:t>, esquema PostgreSQL derivado del modelo de dominio v6/v7.</w:t>
      </w:r>
    </w:p>
    <w:p>
      <w:pPr>
        <w:pStyle w:val="ListNumber"/>
        <w:spacing w:after="60"/>
      </w:pPr>
      <w:r>
        <w:rPr>
          <w:rFonts w:ascii="Arial" w:hAnsi="Arial"/>
        </w:rPr>
        <w:t>Documentación del repositorio: visión, arquitectura, modelo de dominio y plan de implementación; estado revisado el 29 de septiembre de 2026.</w:t>
      </w:r>
    </w:p>
    <w:sectPr w:rsidR="00FC693F" w:rsidRPr="0006063C" w:rsidSect="00034616">
      <w:footerReference w:type="default" r:id="rId15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rial" w:hAnsi="Arial"/>
        <w:color w:val="4C5B67"/>
        <w:sz w:val="16"/>
      </w:rPr>
      <w:t xml:space="preserve">Sistema de Préstamos EPCC  |  Primer examen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rial" w:hAnsi="Arial"/>
        <w:color w:val="4C5B67"/>
        <w:sz w:val="16"/>
      </w:rPr>
      <w:t xml:space="preserve">Sistema de Préstamos EPCC  |  Primer examen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rial" w:hAnsi="Arial"/>
        <w:color w:val="4C5B67"/>
        <w:sz w:val="16"/>
      </w:rPr>
      <w:t xml:space="preserve">Sistema de Préstamos EPCC  |  Primer examen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rial" w:hAnsi="Arial"/>
        <w:color w:val="4C5B67"/>
        <w:sz w:val="16"/>
      </w:rPr>
      <w:t xml:space="preserve">Sistema de Préstamos EPCC  |  Primer examen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rial" w:hAnsi="Arial"/>
        <w:color w:val="4C5B67"/>
        <w:sz w:val="16"/>
      </w:rPr>
      <w:t xml:space="preserve">Sistema de Préstamos EPCC  |  Primer examen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40" w:after="80"/>
    </w:pPr>
    <w:rPr>
      <w:rFonts w:ascii="Arial" w:hAnsi="Arial"/>
      <w:b/>
      <w:bCs/>
      <w:color w:val="4C5B6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diseño inicial del sistema de préstamos de bienes EPCC</dc:title>
  <dc:subject>Informe para el primer examen</dc:subject>
  <dc:creator/>
  <cp:keywords>EPCC, requisitos, modelo de dominio, UML, arquitectura en capas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