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rPr>
        <w:t>Sistema de gestión de préstamos de bienes de la EPCC</w:t>
      </w:r>
    </w:p>
    <w:p>
      <w:pPr>
        <w:spacing w:after="520"/>
        <w:jc w:val="center"/>
      </w:pPr>
      <w:r>
        <w:rPr>
          <w:rFonts w:ascii="Arial" w:hAnsi="Arial"/>
          <w:color w:val="000000"/>
          <w:sz w:val="32"/>
        </w:rPr>
        <w:t>Informe para el primer examen</w:t>
      </w:r>
    </w:p>
    <w:p>
      <w:pPr>
        <w:spacing w:after="160"/>
        <w:jc w:val="center"/>
      </w:pPr>
      <w:r>
        <w:rPr>
          <w:rFonts w:ascii="Arial" w:hAnsi="Arial"/>
          <w:color w:val="1D2730"/>
          <w:sz w:val="24"/>
        </w:rPr>
        <w:t>Universidad Nacional de San Agustín</w:t>
      </w:r>
    </w:p>
    <w:p>
      <w:pPr>
        <w:spacing w:after="160"/>
        <w:jc w:val="center"/>
      </w:pPr>
      <w:r>
        <w:rPr>
          <w:rFonts w:ascii="Arial" w:hAnsi="Arial"/>
          <w:color w:val="1D2730"/>
          <w:sz w:val="24"/>
        </w:rPr>
        <w:t>Escuela Profesional de Ciencia de la Computación</w:t>
      </w:r>
    </w:p>
    <w:p>
      <w:pPr>
        <w:spacing w:after="120"/>
        <w:jc w:val="center"/>
      </w:pPr>
      <w:r>
        <w:rPr>
          <w:rFonts w:ascii="Arial" w:hAnsi="Arial"/>
          <w:color w:val="4C5B67"/>
          <w:sz w:val="22"/>
        </w:rPr>
        <w:t>Estudiante: completar</w:t>
      </w:r>
    </w:p>
    <w:p>
      <w:pPr>
        <w:spacing w:after="120"/>
        <w:jc w:val="center"/>
      </w:pPr>
      <w:r>
        <w:rPr>
          <w:rFonts w:ascii="Arial" w:hAnsi="Arial"/>
          <w:color w:val="4C5B67"/>
          <w:sz w:val="22"/>
        </w:rPr>
        <w:t>Docente: completar</w:t>
      </w:r>
    </w:p>
    <w:p>
      <w:pPr>
        <w:spacing w:after="120"/>
        <w:jc w:val="center"/>
      </w:pPr>
      <w:r>
        <w:rPr>
          <w:rFonts w:ascii="Arial" w:hAnsi="Arial"/>
          <w:color w:val="4C5B67"/>
          <w:sz w:val="22"/>
        </w:rPr>
        <w:t>Curso: completar</w:t>
      </w:r>
    </w:p>
    <w:p>
      <w:pPr>
        <w:spacing w:after="120"/>
        <w:jc w:val="center"/>
      </w:pPr>
      <w:r>
        <w:rPr>
          <w:rFonts w:ascii="Arial" w:hAnsi="Arial"/>
          <w:color w:val="4C5B67"/>
          <w:sz w:val="22"/>
        </w:rPr>
        <w:t>Arequipa, 29 de septiembre de 2026</w:t>
      </w:r>
    </w:p>
    <w:p>
      <w:r>
        <w:br w:type="page"/>
      </w:r>
    </w:p>
    <w:p>
      <w:pPr>
        <w:pStyle w:val="Heading2"/>
      </w:pPr>
      <w:r>
        <w:rPr>
          <w:rFonts w:ascii="Arial" w:hAnsi="Arial"/>
        </w:rPr>
        <w:t>Resumen ejecutivo</w:t>
      </w:r>
    </w:p>
    <w:p>
      <w:pPr>
        <w:widowControl/>
        <w:jc w:val="left"/>
      </w:pPr>
      <w:r>
        <w:rPr>
          <w:rFonts w:ascii="Arial" w:hAnsi="Arial"/>
        </w:rPr>
        <w:t>Este informe presenta la primera versión del análisis del Sistema de Gestión de Préstamos de Bienes de la EPCC. Atiende los tres productos solicitados para el primer examen: requisitos del sistema, modelo de dominio y extensión del modelo hacia una arquitectura en capas mediante diagramas UML [F1].</w:t>
      </w:r>
    </w:p>
    <w:p>
      <w:pPr>
        <w:widowControl/>
        <w:jc w:val="left"/>
      </w:pPr>
      <w:r>
        <w:rPr>
          <w:rFonts w:ascii="Arial" w:hAnsi="Arial"/>
        </w:rPr>
        <w:t>El diseño considera personas y cuentas, inventario físico, reservas, préstamos y renovaciones. El esquema PostgreSQL suministrado cubre parcialmente identidad y acceso, y desarrolla inventario, reservas y préstamos; todavía no incorpora políticas de préstamo, vinculación académica, garantías, incidencias, sanciones ni auditoría [F3]. La arquitectura propuesta conserva los contextos del modelo dentro de una aplicación Python modular con API FastAPI y persistencia PostgreSQL.</w:t>
      </w:r>
    </w:p>
    <w:p>
      <w:pPr>
        <w:widowControl/>
        <w:jc w:val="left"/>
      </w:pPr>
      <w:r>
        <w:rPr>
          <w:rFonts w:ascii="Arial" w:hAnsi="Arial"/>
        </w:rPr>
        <w:t>El repositorio contiene documentación inicial, un endpoint de salud y la configuración local de PostgreSQL. El esquema SQL y los diagramas de dominio aún no se han integrado en la aplicación; por tanto, este informe describe un diseño en elaboración y no una solución funcional completa [F4].</w:t>
      </w:r>
    </w:p>
    <w:p>
      <w:pPr>
        <w:pStyle w:val="Heading2"/>
      </w:pPr>
      <w:r>
        <w:rPr>
          <w:rFonts w:ascii="Arial" w:hAnsi="Arial"/>
        </w:rPr>
        <w:t>Introducción y alcance</w:t>
      </w:r>
    </w:p>
    <w:p>
      <w:pPr>
        <w:widowControl/>
        <w:jc w:val="left"/>
      </w:pPr>
      <w:r>
        <w:rPr>
          <w:rFonts w:ascii="Arial" w:hAnsi="Arial"/>
        </w:rPr>
        <w:t>El sistema busca controlar la identificación de bienes prestables y el ciclo de reserva, entrega, renovación y devolución. Cada operación debe relacionar a las personas involucradas con una unidad física concreta, registrar sus fechas y conservar el estado del bien.</w:t>
      </w:r>
    </w:p>
    <w:p>
      <w:pPr>
        <w:widowControl/>
        <w:jc w:val="left"/>
      </w:pPr>
      <w:r>
        <w:rPr>
          <w:rFonts w:ascii="Arial" w:hAnsi="Arial"/>
        </w:rPr>
        <w:t>Para el examen se presenta el diseño general. El alcance examinado se basa en el modelo de dominio entregado y en el SQL adjunto. Los requisitos derivados de ese material se distinguen de las recomendaciones que todavía necesitan validación con los responsables de la EPCC.</w:t>
      </w:r>
    </w:p>
    <w:p>
      <w:pPr>
        <w:pStyle w:val="Heading2"/>
      </w:pPr>
      <w:r>
        <w:rPr>
          <w:rFonts w:ascii="Arial" w:hAnsi="Arial"/>
        </w:rPr>
        <w:t>Fuentes y estado del proyecto</w:t>
      </w:r>
    </w:p>
    <w:p>
      <w:pPr>
        <w:widowControl/>
        <w:jc w:val="left"/>
      </w:pPr>
      <w:r>
        <w:rPr>
          <w:rFonts w:ascii="Arial" w:hAnsi="Arial"/>
        </w:rPr>
        <w:t>La pauta del examen pide requisitos, el modelo de dominio y una arquitectura en capas con diagramas UML de paquetes y clases [F1]. El diagrama de dominio compartido organiza el problema en contextos delimitados. El archivo SQL concreta cuatro de ellos: BC-01 Identidad y Acceso de forma parcial, BC-03 Catálogo e Inventario, BC-05 Reservas y BC-06 Préstamos [F2, F3].</w:t>
      </w:r>
    </w:p>
    <w:p>
      <w:pPr>
        <w:widowControl/>
        <w:jc w:val="left"/>
      </w:pPr>
      <w:r>
        <w:rPr>
          <w:rFonts w:ascii="Arial" w:hAnsi="Arial"/>
        </w:rPr>
        <w:t xml:space="preserve">La propuesta tecnológica existente selecciona Python, FastAPI, SQLAlchemy, Alembic y PostgreSQL para una primera implementación como monolito modular. El repositorio también incluye un endpoint </w:t>
      </w:r>
      <w:r>
        <w:rPr>
          <w:rFonts w:ascii="Menlo" w:hAnsi="Menlo"/>
          <w:color w:val="245B84"/>
          <w:sz w:val="18"/>
        </w:rPr>
        <w:t>/health</w:t>
      </w:r>
      <w:r>
        <w:rPr>
          <w:rFonts w:ascii="Arial" w:hAnsi="Arial"/>
        </w:rPr>
        <w:t xml:space="preserve"> y un servicio PostgreSQL en Docker Compose. A la fecha de este informe no hay modelos de persistencia, migraciones, autenticación, operaciones de inventario, reservas o préstamos integradas en la aplicación [F4].</w:t>
      </w:r>
    </w:p>
    <w:p>
      <w:pPr>
        <w:pStyle w:val="Heading2"/>
      </w:pPr>
      <w:r>
        <w:rPr>
          <w:rFonts w:ascii="Arial" w:hAnsi="Arial"/>
        </w:rPr>
        <w:t>Requisitos del sistema</w:t>
      </w:r>
    </w:p>
    <w:p>
      <w:pPr>
        <w:widowControl/>
        <w:jc w:val="left"/>
      </w:pPr>
      <w:r>
        <w:rPr>
          <w:rFonts w:ascii="Arial" w:hAnsi="Arial"/>
        </w:rPr>
        <w:t>Los requisitos marcados como derivados se observan directamente en las tablas, restricciones o estados del SQL. Los marcados como por validar completan el flujo del producto o vienen de la documentación funcional, pero necesitan aprobación de la EPCC antes de considerarse definitivos.</w:t>
      </w:r>
    </w:p>
    <w:p>
      <w:pPr>
        <w:pStyle w:val="Heading3"/>
      </w:pPr>
      <w:r>
        <w:rPr>
          <w:rFonts w:ascii="Arial" w:hAnsi="Arial"/>
        </w:rPr>
        <w:t>Requisitos funcionales</w:t>
      </w:r>
    </w:p>
    <w:tbl>
      <w:tblPr>
        <w:tblW w:type="auto" w:w="0"/>
        <w:jc w:val="center"/>
        <w:tblLayout w:type="fixed"/>
        <w:tblLook w:firstColumn="1" w:firstRow="1" w:lastColumn="0" w:lastRow="0" w:noHBand="0" w:noVBand="1" w:val="04A0"/>
        <w:tblBorders>
          <w:top w:val="single" w:sz="5" w:space="0" w:color="D4DCE3"/>
          <w:left w:val="single" w:sz="5" w:space="0" w:color="D4DCE3"/>
          <w:bottom w:val="single" w:sz="5" w:space="0" w:color="D4DCE3"/>
          <w:right w:val="single" w:sz="5" w:space="0" w:color="D4DCE3"/>
          <w:insideH w:val="single" w:sz="5" w:space="0" w:color="D4DCE3"/>
          <w:insideV w:val="single" w:sz="5" w:space="0" w:color="D4DCE3"/>
        </w:tblBorders>
      </w:tblPr>
      <w:tblGrid>
        <w:gridCol w:w="3293"/>
        <w:gridCol w:w="3293"/>
        <w:gridCol w:w="3293"/>
      </w:tblGrid>
      <w:tr>
        <w:trPr>
          <w:tblHeader w:val="true"/>
          <w:cantSplit/>
        </w:trPr>
        <w:tc>
          <w:tcPr>
            <w:tcW w:type="dxa" w:w="1037"/>
            <w:vAlign w:val="center"/>
            <w:tcMar>
              <w:top w:w="110" w:type="dxa"/>
              <w:start w:w="110" w:type="dxa"/>
              <w:bottom w:w="110" w:type="dxa"/>
              <w:end w:w="110" w:type="dxa"/>
            </w:tcMar>
            <w:shd w:fill="17324D"/>
          </w:tcPr>
          <w:p>
            <w:pPr>
              <w:spacing w:after="20" w:line="247" w:lineRule="auto"/>
              <w:jc w:val="center"/>
            </w:pPr>
            <w:r>
              <w:rPr>
                <w:rFonts w:ascii="Arial" w:hAnsi="Arial"/>
                <w:b/>
                <w:color w:val="FFFFFF"/>
                <w:sz w:val="17"/>
              </w:rPr>
              <w:t>ID</w:t>
            </w:r>
          </w:p>
        </w:tc>
        <w:tc>
          <w:tcPr>
            <w:tcW w:type="dxa" w:w="6019"/>
            <w:vAlign w:val="center"/>
            <w:tcMar>
              <w:top w:w="110" w:type="dxa"/>
              <w:start w:w="110" w:type="dxa"/>
              <w:bottom w:w="110" w:type="dxa"/>
              <w:end w:w="110" w:type="dxa"/>
            </w:tcMar>
            <w:shd w:fill="17324D"/>
          </w:tcPr>
          <w:p>
            <w:pPr>
              <w:spacing w:after="20" w:line="247" w:lineRule="auto"/>
            </w:pPr>
            <w:r>
              <w:rPr>
                <w:rFonts w:ascii="Arial" w:hAnsi="Arial"/>
                <w:b/>
                <w:color w:val="FFFFFF"/>
                <w:sz w:val="17"/>
              </w:rPr>
              <w:t>Requisito</w:t>
            </w:r>
          </w:p>
        </w:tc>
        <w:tc>
          <w:tcPr>
            <w:tcW w:type="dxa" w:w="2822"/>
            <w:vAlign w:val="center"/>
            <w:tcMar>
              <w:top w:w="110" w:type="dxa"/>
              <w:start w:w="110" w:type="dxa"/>
              <w:bottom w:w="110" w:type="dxa"/>
              <w:end w:w="110" w:type="dxa"/>
            </w:tcMar>
            <w:shd w:fill="17324D"/>
          </w:tcPr>
          <w:p>
            <w:pPr>
              <w:spacing w:after="20" w:line="247" w:lineRule="auto"/>
            </w:pPr>
            <w:r>
              <w:rPr>
                <w:rFonts w:ascii="Arial" w:hAnsi="Arial"/>
                <w:b/>
                <w:color w:val="FFFFFF"/>
                <w:sz w:val="17"/>
              </w:rPr>
              <w:t>Origen y estado</w:t>
            </w:r>
          </w:p>
        </w:tc>
      </w:tr>
      <w:tr>
        <w:trPr>
          <w:cantSplit/>
        </w:trPr>
        <w:tc>
          <w:tcPr>
            <w:tcW w:type="dxa" w:w="1037"/>
            <w:vAlign w:val="center"/>
            <w:tcMar>
              <w:top w:w="110" w:type="dxa"/>
              <w:start w:w="110" w:type="dxa"/>
              <w:bottom w:w="110" w:type="dxa"/>
              <w:end w:w="110" w:type="dxa"/>
            </w:tcMar>
          </w:tcPr>
          <w:p>
            <w:pPr>
              <w:spacing w:after="20" w:line="247" w:lineRule="auto"/>
              <w:jc w:val="center"/>
            </w:pPr>
            <w:r>
              <w:rPr>
                <w:rFonts w:ascii="Arial" w:hAnsi="Arial"/>
                <w:color w:val="1D2730"/>
                <w:sz w:val="17"/>
              </w:rPr>
              <w:t>RF-01</w:t>
            </w:r>
          </w:p>
        </w:tc>
        <w:tc>
          <w:tcPr>
            <w:tcW w:type="dxa" w:w="6019"/>
            <w:vAlign w:val="center"/>
            <w:tcMar>
              <w:top w:w="110" w:type="dxa"/>
              <w:start w:w="110" w:type="dxa"/>
              <w:bottom w:w="110" w:type="dxa"/>
              <w:end w:w="110" w:type="dxa"/>
            </w:tcMar>
          </w:tcPr>
          <w:p>
            <w:pPr>
              <w:spacing w:after="20" w:line="247" w:lineRule="auto"/>
            </w:pPr>
            <w:r>
              <w:rPr>
                <w:rFonts w:ascii="Arial" w:hAnsi="Arial"/>
                <w:color w:val="1D2730"/>
                <w:sz w:val="17"/>
              </w:rPr>
              <w:t>Registrar personas con CUI, documento, nombre, correo institucional, rol base, vinculación y estado.</w:t>
            </w:r>
          </w:p>
        </w:tc>
        <w:tc>
          <w:tcPr>
            <w:tcW w:type="dxa" w:w="2822"/>
            <w:vAlign w:val="center"/>
            <w:tcMar>
              <w:top w:w="110" w:type="dxa"/>
              <w:start w:w="110" w:type="dxa"/>
              <w:bottom w:w="110" w:type="dxa"/>
              <w:end w:w="110" w:type="dxa"/>
            </w:tcMar>
          </w:tcPr>
          <w:p>
            <w:pPr>
              <w:spacing w:after="20" w:line="247" w:lineRule="auto"/>
            </w:pPr>
            <w:r>
              <w:rPr>
                <w:rFonts w:ascii="Arial" w:hAnsi="Arial"/>
                <w:color w:val="1D2730"/>
                <w:sz w:val="17"/>
              </w:rPr>
              <w:t>SQL; derivado</w:t>
            </w:r>
          </w:p>
        </w:tc>
      </w:tr>
      <w:tr>
        <w:trPr>
          <w:cantSplit/>
        </w:trPr>
        <w:tc>
          <w:tcPr>
            <w:tcW w:type="dxa" w:w="1037"/>
            <w:vAlign w:val="center"/>
            <w:tcMar>
              <w:top w:w="110" w:type="dxa"/>
              <w:start w:w="110" w:type="dxa"/>
              <w:bottom w:w="110" w:type="dxa"/>
              <w:end w:w="110" w:type="dxa"/>
            </w:tcMar>
            <w:shd w:fill="EAF1F7"/>
          </w:tcPr>
          <w:p>
            <w:pPr>
              <w:spacing w:after="20" w:line="247" w:lineRule="auto"/>
              <w:jc w:val="center"/>
            </w:pPr>
            <w:r>
              <w:rPr>
                <w:rFonts w:ascii="Arial" w:hAnsi="Arial"/>
                <w:color w:val="1D2730"/>
                <w:sz w:val="17"/>
              </w:rPr>
              <w:t>RF-02</w:t>
            </w:r>
          </w:p>
        </w:tc>
        <w:tc>
          <w:tcPr>
            <w:tcW w:type="dxa" w:w="6019"/>
            <w:vAlign w:val="center"/>
            <w:tcMar>
              <w:top w:w="110" w:type="dxa"/>
              <w:start w:w="110" w:type="dxa"/>
              <w:bottom w:w="110" w:type="dxa"/>
              <w:end w:w="110" w:type="dxa"/>
            </w:tcMar>
            <w:shd w:fill="EAF1F7"/>
          </w:tcPr>
          <w:p>
            <w:pPr>
              <w:spacing w:after="20" w:line="247" w:lineRule="auto"/>
            </w:pPr>
            <w:r>
              <w:rPr>
                <w:rFonts w:ascii="Arial" w:hAnsi="Arial"/>
                <w:color w:val="1D2730"/>
                <w:sz w:val="17"/>
              </w:rPr>
              <w:t>Asociar a una persona una cuenta con nombre de usuario, hash de contraseña, estado y último acceso.</w:t>
            </w:r>
          </w:p>
        </w:tc>
        <w:tc>
          <w:tcPr>
            <w:tcW w:type="dxa" w:w="2822"/>
            <w:vAlign w:val="center"/>
            <w:tcMar>
              <w:top w:w="110" w:type="dxa"/>
              <w:start w:w="110" w:type="dxa"/>
              <w:bottom w:w="110" w:type="dxa"/>
              <w:end w:w="110" w:type="dxa"/>
            </w:tcMar>
            <w:shd w:fill="EAF1F7"/>
          </w:tcPr>
          <w:p>
            <w:pPr>
              <w:spacing w:after="20" w:line="247" w:lineRule="auto"/>
            </w:pPr>
            <w:r>
              <w:rPr>
                <w:rFonts w:ascii="Arial" w:hAnsi="Arial"/>
                <w:color w:val="1D2730"/>
                <w:sz w:val="17"/>
              </w:rPr>
              <w:t>SQL; derivado</w:t>
            </w:r>
          </w:p>
        </w:tc>
      </w:tr>
      <w:tr>
        <w:trPr>
          <w:cantSplit/>
        </w:trPr>
        <w:tc>
          <w:tcPr>
            <w:tcW w:type="dxa" w:w="1037"/>
            <w:vAlign w:val="center"/>
            <w:tcMar>
              <w:top w:w="110" w:type="dxa"/>
              <w:start w:w="110" w:type="dxa"/>
              <w:bottom w:w="110" w:type="dxa"/>
              <w:end w:w="110" w:type="dxa"/>
            </w:tcMar>
          </w:tcPr>
          <w:p>
            <w:pPr>
              <w:spacing w:after="20" w:line="247" w:lineRule="auto"/>
              <w:jc w:val="center"/>
            </w:pPr>
            <w:r>
              <w:rPr>
                <w:rFonts w:ascii="Arial" w:hAnsi="Arial"/>
                <w:color w:val="1D2730"/>
                <w:sz w:val="17"/>
              </w:rPr>
              <w:t>RF-03</w:t>
            </w:r>
          </w:p>
        </w:tc>
        <w:tc>
          <w:tcPr>
            <w:tcW w:type="dxa" w:w="6019"/>
            <w:vAlign w:val="center"/>
            <w:tcMar>
              <w:top w:w="110" w:type="dxa"/>
              <w:start w:w="110" w:type="dxa"/>
              <w:bottom w:w="110" w:type="dxa"/>
              <w:end w:w="110" w:type="dxa"/>
            </w:tcMar>
          </w:tcPr>
          <w:p>
            <w:pPr>
              <w:spacing w:after="20" w:line="247" w:lineRule="auto"/>
            </w:pPr>
            <w:r>
              <w:rPr>
                <w:rFonts w:ascii="Arial" w:hAnsi="Arial"/>
                <w:color w:val="1D2730"/>
                <w:sz w:val="17"/>
              </w:rPr>
              <w:t>Mantener categorías y tipos de bien, indicando si cada tipo se puede prestar.</w:t>
            </w:r>
          </w:p>
        </w:tc>
        <w:tc>
          <w:tcPr>
            <w:tcW w:type="dxa" w:w="2822"/>
            <w:vAlign w:val="center"/>
            <w:tcMar>
              <w:top w:w="110" w:type="dxa"/>
              <w:start w:w="110" w:type="dxa"/>
              <w:bottom w:w="110" w:type="dxa"/>
              <w:end w:w="110" w:type="dxa"/>
            </w:tcMar>
          </w:tcPr>
          <w:p>
            <w:pPr>
              <w:spacing w:after="20" w:line="247" w:lineRule="auto"/>
            </w:pPr>
            <w:r>
              <w:rPr>
                <w:rFonts w:ascii="Arial" w:hAnsi="Arial"/>
                <w:color w:val="1D2730"/>
                <w:sz w:val="17"/>
              </w:rPr>
              <w:t>SQL; derivado</w:t>
            </w:r>
          </w:p>
        </w:tc>
      </w:tr>
      <w:tr>
        <w:trPr>
          <w:cantSplit/>
        </w:trPr>
        <w:tc>
          <w:tcPr>
            <w:tcW w:type="dxa" w:w="1037"/>
            <w:vAlign w:val="center"/>
            <w:tcMar>
              <w:top w:w="110" w:type="dxa"/>
              <w:start w:w="110" w:type="dxa"/>
              <w:bottom w:w="110" w:type="dxa"/>
              <w:end w:w="110" w:type="dxa"/>
            </w:tcMar>
            <w:shd w:fill="EAF1F7"/>
          </w:tcPr>
          <w:p>
            <w:pPr>
              <w:spacing w:after="20" w:line="247" w:lineRule="auto"/>
              <w:jc w:val="center"/>
            </w:pPr>
            <w:r>
              <w:rPr>
                <w:rFonts w:ascii="Arial" w:hAnsi="Arial"/>
                <w:color w:val="1D2730"/>
                <w:sz w:val="17"/>
              </w:rPr>
              <w:t>RF-04</w:t>
            </w:r>
          </w:p>
        </w:tc>
        <w:tc>
          <w:tcPr>
            <w:tcW w:type="dxa" w:w="6019"/>
            <w:vAlign w:val="center"/>
            <w:tcMar>
              <w:top w:w="110" w:type="dxa"/>
              <w:start w:w="110" w:type="dxa"/>
              <w:bottom w:w="110" w:type="dxa"/>
              <w:end w:w="110" w:type="dxa"/>
            </w:tcMar>
            <w:shd w:fill="EAF1F7"/>
          </w:tcPr>
          <w:p>
            <w:pPr>
              <w:spacing w:after="20" w:line="247" w:lineRule="auto"/>
            </w:pPr>
            <w:r>
              <w:rPr>
                <w:rFonts w:ascii="Arial" w:hAnsi="Arial"/>
                <w:color w:val="1D2730"/>
                <w:sz w:val="17"/>
              </w:rPr>
              <w:t>Mantener fichas de bienes y unidades físicas con código de inventario, ubicación, condición, accesorios y estado.</w:t>
            </w:r>
          </w:p>
        </w:tc>
        <w:tc>
          <w:tcPr>
            <w:tcW w:type="dxa" w:w="2822"/>
            <w:vAlign w:val="center"/>
            <w:tcMar>
              <w:top w:w="110" w:type="dxa"/>
              <w:start w:w="110" w:type="dxa"/>
              <w:bottom w:w="110" w:type="dxa"/>
              <w:end w:w="110" w:type="dxa"/>
            </w:tcMar>
            <w:shd w:fill="EAF1F7"/>
          </w:tcPr>
          <w:p>
            <w:pPr>
              <w:spacing w:after="20" w:line="247" w:lineRule="auto"/>
            </w:pPr>
            <w:r>
              <w:rPr>
                <w:rFonts w:ascii="Arial" w:hAnsi="Arial"/>
                <w:color w:val="1D2730"/>
                <w:sz w:val="17"/>
              </w:rPr>
              <w:t>SQL; derivado</w:t>
            </w:r>
          </w:p>
        </w:tc>
      </w:tr>
      <w:tr>
        <w:trPr>
          <w:cantSplit/>
        </w:trPr>
        <w:tc>
          <w:tcPr>
            <w:tcW w:type="dxa" w:w="1037"/>
            <w:vAlign w:val="center"/>
            <w:tcMar>
              <w:top w:w="110" w:type="dxa"/>
              <w:start w:w="110" w:type="dxa"/>
              <w:bottom w:w="110" w:type="dxa"/>
              <w:end w:w="110" w:type="dxa"/>
            </w:tcMar>
          </w:tcPr>
          <w:p>
            <w:pPr>
              <w:spacing w:after="20" w:line="247" w:lineRule="auto"/>
              <w:jc w:val="center"/>
            </w:pPr>
            <w:r>
              <w:rPr>
                <w:rFonts w:ascii="Arial" w:hAnsi="Arial"/>
                <w:color w:val="1D2730"/>
                <w:sz w:val="17"/>
              </w:rPr>
              <w:t>RF-05</w:t>
            </w:r>
          </w:p>
        </w:tc>
        <w:tc>
          <w:tcPr>
            <w:tcW w:type="dxa" w:w="6019"/>
            <w:vAlign w:val="center"/>
            <w:tcMar>
              <w:top w:w="110" w:type="dxa"/>
              <w:start w:w="110" w:type="dxa"/>
              <w:bottom w:w="110" w:type="dxa"/>
              <w:end w:w="110" w:type="dxa"/>
            </w:tcMar>
          </w:tcPr>
          <w:p>
            <w:pPr>
              <w:spacing w:after="20" w:line="247" w:lineRule="auto"/>
            </w:pPr>
            <w:r>
              <w:rPr>
                <w:rFonts w:ascii="Arial" w:hAnsi="Arial"/>
                <w:color w:val="1D2730"/>
                <w:sz w:val="17"/>
              </w:rPr>
              <w:t>Solicitar una reserva para una unidad durante un intervalo, registrando solicitante y uso previsto.</w:t>
            </w:r>
          </w:p>
        </w:tc>
        <w:tc>
          <w:tcPr>
            <w:tcW w:type="dxa" w:w="2822"/>
            <w:vAlign w:val="center"/>
            <w:tcMar>
              <w:top w:w="110" w:type="dxa"/>
              <w:start w:w="110" w:type="dxa"/>
              <w:bottom w:w="110" w:type="dxa"/>
              <w:end w:w="110" w:type="dxa"/>
            </w:tcMar>
          </w:tcPr>
          <w:p>
            <w:pPr>
              <w:spacing w:after="20" w:line="247" w:lineRule="auto"/>
            </w:pPr>
            <w:r>
              <w:rPr>
                <w:rFonts w:ascii="Arial" w:hAnsi="Arial"/>
                <w:color w:val="1D2730"/>
                <w:sz w:val="17"/>
              </w:rPr>
              <w:t>SQL; derivado</w:t>
            </w:r>
          </w:p>
        </w:tc>
      </w:tr>
      <w:tr>
        <w:trPr>
          <w:cantSplit/>
        </w:trPr>
        <w:tc>
          <w:tcPr>
            <w:tcW w:type="dxa" w:w="1037"/>
            <w:vAlign w:val="center"/>
            <w:tcMar>
              <w:top w:w="110" w:type="dxa"/>
              <w:start w:w="110" w:type="dxa"/>
              <w:bottom w:w="110" w:type="dxa"/>
              <w:end w:w="110" w:type="dxa"/>
            </w:tcMar>
            <w:shd w:fill="EAF1F7"/>
          </w:tcPr>
          <w:p>
            <w:pPr>
              <w:spacing w:after="20" w:line="247" w:lineRule="auto"/>
              <w:jc w:val="center"/>
            </w:pPr>
            <w:r>
              <w:rPr>
                <w:rFonts w:ascii="Arial" w:hAnsi="Arial"/>
                <w:color w:val="1D2730"/>
                <w:sz w:val="17"/>
              </w:rPr>
              <w:t>RF-06</w:t>
            </w:r>
          </w:p>
        </w:tc>
        <w:tc>
          <w:tcPr>
            <w:tcW w:type="dxa" w:w="6019"/>
            <w:vAlign w:val="center"/>
            <w:tcMar>
              <w:top w:w="110" w:type="dxa"/>
              <w:start w:w="110" w:type="dxa"/>
              <w:bottom w:w="110" w:type="dxa"/>
              <w:end w:w="110" w:type="dxa"/>
            </w:tcMar>
            <w:shd w:fill="EAF1F7"/>
          </w:tcPr>
          <w:p>
            <w:pPr>
              <w:spacing w:after="20" w:line="247" w:lineRule="auto"/>
            </w:pPr>
            <w:r>
              <w:rPr>
                <w:rFonts w:ascii="Arial" w:hAnsi="Arial"/>
                <w:color w:val="1D2730"/>
                <w:sz w:val="17"/>
              </w:rPr>
              <w:t>Cambiar el estado de una reserva y guardar el motivo cuando se rechace.</w:t>
            </w:r>
          </w:p>
        </w:tc>
        <w:tc>
          <w:tcPr>
            <w:tcW w:type="dxa" w:w="2822"/>
            <w:vAlign w:val="center"/>
            <w:tcMar>
              <w:top w:w="110" w:type="dxa"/>
              <w:start w:w="110" w:type="dxa"/>
              <w:bottom w:w="110" w:type="dxa"/>
              <w:end w:w="110" w:type="dxa"/>
            </w:tcMar>
            <w:shd w:fill="EAF1F7"/>
          </w:tcPr>
          <w:p>
            <w:pPr>
              <w:spacing w:after="20" w:line="247" w:lineRule="auto"/>
            </w:pPr>
            <w:r>
              <w:rPr>
                <w:rFonts w:ascii="Arial" w:hAnsi="Arial"/>
                <w:color w:val="1D2730"/>
                <w:sz w:val="17"/>
              </w:rPr>
              <w:t>SQL; el flujo de aprobación requiere validar reglas</w:t>
            </w:r>
          </w:p>
        </w:tc>
      </w:tr>
      <w:tr>
        <w:trPr>
          <w:cantSplit/>
        </w:trPr>
        <w:tc>
          <w:tcPr>
            <w:tcW w:type="dxa" w:w="1037"/>
            <w:vAlign w:val="center"/>
            <w:tcMar>
              <w:top w:w="110" w:type="dxa"/>
              <w:start w:w="110" w:type="dxa"/>
              <w:bottom w:w="110" w:type="dxa"/>
              <w:end w:w="110" w:type="dxa"/>
            </w:tcMar>
          </w:tcPr>
          <w:p>
            <w:pPr>
              <w:spacing w:after="20" w:line="247" w:lineRule="auto"/>
              <w:jc w:val="center"/>
            </w:pPr>
            <w:r>
              <w:rPr>
                <w:rFonts w:ascii="Arial" w:hAnsi="Arial"/>
                <w:color w:val="1D2730"/>
                <w:sz w:val="17"/>
              </w:rPr>
              <w:t>RF-07</w:t>
            </w:r>
          </w:p>
        </w:tc>
        <w:tc>
          <w:tcPr>
            <w:tcW w:type="dxa" w:w="6019"/>
            <w:vAlign w:val="center"/>
            <w:tcMar>
              <w:top w:w="110" w:type="dxa"/>
              <w:start w:w="110" w:type="dxa"/>
              <w:bottom w:w="110" w:type="dxa"/>
              <w:end w:w="110" w:type="dxa"/>
            </w:tcMar>
          </w:tcPr>
          <w:p>
            <w:pPr>
              <w:spacing w:after="20" w:line="247" w:lineRule="auto"/>
            </w:pPr>
            <w:r>
              <w:rPr>
                <w:rFonts w:ascii="Arial" w:hAnsi="Arial"/>
                <w:color w:val="1D2730"/>
                <w:sz w:val="17"/>
              </w:rPr>
              <w:t>Registrar un préstamo con solicitante, administrador, unidad, plazo y reserva de origen opcional.</w:t>
            </w:r>
          </w:p>
        </w:tc>
        <w:tc>
          <w:tcPr>
            <w:tcW w:type="dxa" w:w="2822"/>
            <w:vAlign w:val="center"/>
            <w:tcMar>
              <w:top w:w="110" w:type="dxa"/>
              <w:start w:w="110" w:type="dxa"/>
              <w:bottom w:w="110" w:type="dxa"/>
              <w:end w:w="110" w:type="dxa"/>
            </w:tcMar>
          </w:tcPr>
          <w:p>
            <w:pPr>
              <w:spacing w:after="20" w:line="247" w:lineRule="auto"/>
            </w:pPr>
            <w:r>
              <w:rPr>
                <w:rFonts w:ascii="Arial" w:hAnsi="Arial"/>
                <w:color w:val="1D2730"/>
                <w:sz w:val="17"/>
              </w:rPr>
              <w:t>SQL; derivado</w:t>
            </w:r>
          </w:p>
        </w:tc>
      </w:tr>
      <w:tr>
        <w:trPr>
          <w:cantSplit/>
        </w:trPr>
        <w:tc>
          <w:tcPr>
            <w:tcW w:type="dxa" w:w="1037"/>
            <w:vAlign w:val="center"/>
            <w:tcMar>
              <w:top w:w="110" w:type="dxa"/>
              <w:start w:w="110" w:type="dxa"/>
              <w:bottom w:w="110" w:type="dxa"/>
              <w:end w:w="110" w:type="dxa"/>
            </w:tcMar>
            <w:shd w:fill="EAF1F7"/>
          </w:tcPr>
          <w:p>
            <w:pPr>
              <w:spacing w:after="20" w:line="247" w:lineRule="auto"/>
              <w:jc w:val="center"/>
            </w:pPr>
            <w:r>
              <w:rPr>
                <w:rFonts w:ascii="Arial" w:hAnsi="Arial"/>
                <w:color w:val="1D2730"/>
                <w:sz w:val="17"/>
              </w:rPr>
              <w:t>RF-08</w:t>
            </w:r>
          </w:p>
        </w:tc>
        <w:tc>
          <w:tcPr>
            <w:tcW w:type="dxa" w:w="6019"/>
            <w:vAlign w:val="center"/>
            <w:tcMar>
              <w:top w:w="110" w:type="dxa"/>
              <w:start w:w="110" w:type="dxa"/>
              <w:bottom w:w="110" w:type="dxa"/>
              <w:end w:w="110" w:type="dxa"/>
            </w:tcMar>
            <w:shd w:fill="EAF1F7"/>
          </w:tcPr>
          <w:p>
            <w:pPr>
              <w:spacing w:after="20" w:line="247" w:lineRule="auto"/>
            </w:pPr>
            <w:r>
              <w:rPr>
                <w:rFonts w:ascii="Arial" w:hAnsi="Arial"/>
                <w:color w:val="1D2730"/>
                <w:sz w:val="17"/>
              </w:rPr>
              <w:t>Registrar la entrega y la devolución, incluidos fecha, condición, accesorios, responsable y estado de destino de la unidad.</w:t>
            </w:r>
          </w:p>
        </w:tc>
        <w:tc>
          <w:tcPr>
            <w:tcW w:type="dxa" w:w="2822"/>
            <w:vAlign w:val="center"/>
            <w:tcMar>
              <w:top w:w="110" w:type="dxa"/>
              <w:start w:w="110" w:type="dxa"/>
              <w:bottom w:w="110" w:type="dxa"/>
              <w:end w:w="110" w:type="dxa"/>
            </w:tcMar>
            <w:shd w:fill="EAF1F7"/>
          </w:tcPr>
          <w:p>
            <w:pPr>
              <w:spacing w:after="20" w:line="247" w:lineRule="auto"/>
            </w:pPr>
            <w:r>
              <w:rPr>
                <w:rFonts w:ascii="Arial" w:hAnsi="Arial"/>
                <w:color w:val="1D2730"/>
                <w:sz w:val="17"/>
              </w:rPr>
              <w:t>SQL; derivado</w:t>
            </w:r>
          </w:p>
        </w:tc>
      </w:tr>
      <w:tr>
        <w:trPr>
          <w:cantSplit/>
        </w:trPr>
        <w:tc>
          <w:tcPr>
            <w:tcW w:type="dxa" w:w="1037"/>
            <w:vAlign w:val="center"/>
            <w:tcMar>
              <w:top w:w="110" w:type="dxa"/>
              <w:start w:w="110" w:type="dxa"/>
              <w:bottom w:w="110" w:type="dxa"/>
              <w:end w:w="110" w:type="dxa"/>
            </w:tcMar>
          </w:tcPr>
          <w:p>
            <w:pPr>
              <w:spacing w:after="20" w:line="247" w:lineRule="auto"/>
              <w:jc w:val="center"/>
            </w:pPr>
            <w:r>
              <w:rPr>
                <w:rFonts w:ascii="Arial" w:hAnsi="Arial"/>
                <w:color w:val="1D2730"/>
                <w:sz w:val="17"/>
              </w:rPr>
              <w:t>RF-09</w:t>
            </w:r>
          </w:p>
        </w:tc>
        <w:tc>
          <w:tcPr>
            <w:tcW w:type="dxa" w:w="6019"/>
            <w:vAlign w:val="center"/>
            <w:tcMar>
              <w:top w:w="110" w:type="dxa"/>
              <w:start w:w="110" w:type="dxa"/>
              <w:bottom w:w="110" w:type="dxa"/>
              <w:end w:w="110" w:type="dxa"/>
            </w:tcMar>
          </w:tcPr>
          <w:p>
            <w:pPr>
              <w:spacing w:after="20" w:line="247" w:lineRule="auto"/>
            </w:pPr>
            <w:r>
              <w:rPr>
                <w:rFonts w:ascii="Arial" w:hAnsi="Arial"/>
                <w:color w:val="1D2730"/>
                <w:sz w:val="17"/>
              </w:rPr>
              <w:t>Registrar renovaciones con secuencia, vencimiento anterior y nuevo, administrador y fecha de autorización.</w:t>
            </w:r>
          </w:p>
        </w:tc>
        <w:tc>
          <w:tcPr>
            <w:tcW w:type="dxa" w:w="2822"/>
            <w:vAlign w:val="center"/>
            <w:tcMar>
              <w:top w:w="110" w:type="dxa"/>
              <w:start w:w="110" w:type="dxa"/>
              <w:bottom w:w="110" w:type="dxa"/>
              <w:end w:w="110" w:type="dxa"/>
            </w:tcMar>
          </w:tcPr>
          <w:p>
            <w:pPr>
              <w:spacing w:after="20" w:line="247" w:lineRule="auto"/>
            </w:pPr>
            <w:r>
              <w:rPr>
                <w:rFonts w:ascii="Arial" w:hAnsi="Arial"/>
                <w:color w:val="1D2730"/>
                <w:sz w:val="17"/>
              </w:rPr>
              <w:t>SQL; derivado</w:t>
            </w:r>
          </w:p>
        </w:tc>
      </w:tr>
      <w:tr>
        <w:trPr>
          <w:cantSplit/>
        </w:trPr>
        <w:tc>
          <w:tcPr>
            <w:tcW w:type="dxa" w:w="1037"/>
            <w:vAlign w:val="center"/>
            <w:tcMar>
              <w:top w:w="110" w:type="dxa"/>
              <w:start w:w="110" w:type="dxa"/>
              <w:bottom w:w="110" w:type="dxa"/>
              <w:end w:w="110" w:type="dxa"/>
            </w:tcMar>
            <w:shd w:fill="EAF1F7"/>
          </w:tcPr>
          <w:p>
            <w:pPr>
              <w:spacing w:after="20" w:line="247" w:lineRule="auto"/>
              <w:jc w:val="center"/>
            </w:pPr>
            <w:r>
              <w:rPr>
                <w:rFonts w:ascii="Arial" w:hAnsi="Arial"/>
                <w:color w:val="1D2730"/>
                <w:sz w:val="17"/>
              </w:rPr>
              <w:t>RF-10</w:t>
            </w:r>
          </w:p>
        </w:tc>
        <w:tc>
          <w:tcPr>
            <w:tcW w:type="dxa" w:w="6019"/>
            <w:vAlign w:val="center"/>
            <w:tcMar>
              <w:top w:w="110" w:type="dxa"/>
              <w:start w:w="110" w:type="dxa"/>
              <w:bottom w:w="110" w:type="dxa"/>
              <w:end w:w="110" w:type="dxa"/>
            </w:tcMar>
            <w:shd w:fill="EAF1F7"/>
          </w:tcPr>
          <w:p>
            <w:pPr>
              <w:spacing w:after="20" w:line="247" w:lineRule="auto"/>
            </w:pPr>
            <w:r>
              <w:rPr>
                <w:rFonts w:ascii="Arial" w:hAnsi="Arial"/>
                <w:color w:val="1D2730"/>
                <w:sz w:val="17"/>
              </w:rPr>
              <w:t>Consultar personas, disponibilidad, reservas y préstamos por identificador, estado y fechas.</w:t>
            </w:r>
          </w:p>
        </w:tc>
        <w:tc>
          <w:tcPr>
            <w:tcW w:type="dxa" w:w="2822"/>
            <w:vAlign w:val="center"/>
            <w:tcMar>
              <w:top w:w="110" w:type="dxa"/>
              <w:start w:w="110" w:type="dxa"/>
              <w:bottom w:w="110" w:type="dxa"/>
              <w:end w:w="110" w:type="dxa"/>
            </w:tcMar>
            <w:shd w:fill="EAF1F7"/>
          </w:tcPr>
          <w:p>
            <w:pPr>
              <w:spacing w:after="20" w:line="247" w:lineRule="auto"/>
            </w:pPr>
            <w:r>
              <w:rPr>
                <w:rFonts w:ascii="Arial" w:hAnsi="Arial"/>
                <w:color w:val="1D2730"/>
                <w:sz w:val="17"/>
              </w:rPr>
              <w:t>Propuesto; validar filtros y permisos</w:t>
            </w:r>
          </w:p>
        </w:tc>
      </w:tr>
      <w:tr>
        <w:trPr>
          <w:cantSplit/>
        </w:trPr>
        <w:tc>
          <w:tcPr>
            <w:tcW w:type="dxa" w:w="1037"/>
            <w:vAlign w:val="center"/>
            <w:tcMar>
              <w:top w:w="110" w:type="dxa"/>
              <w:start w:w="110" w:type="dxa"/>
              <w:bottom w:w="110" w:type="dxa"/>
              <w:end w:w="110" w:type="dxa"/>
            </w:tcMar>
          </w:tcPr>
          <w:p>
            <w:pPr>
              <w:spacing w:after="20" w:line="247" w:lineRule="auto"/>
              <w:jc w:val="center"/>
            </w:pPr>
            <w:r>
              <w:rPr>
                <w:rFonts w:ascii="Arial" w:hAnsi="Arial"/>
                <w:color w:val="1D2730"/>
                <w:sz w:val="17"/>
              </w:rPr>
              <w:t>RF-11</w:t>
            </w:r>
          </w:p>
        </w:tc>
        <w:tc>
          <w:tcPr>
            <w:tcW w:type="dxa" w:w="6019"/>
            <w:vAlign w:val="center"/>
            <w:tcMar>
              <w:top w:w="110" w:type="dxa"/>
              <w:start w:w="110" w:type="dxa"/>
              <w:bottom w:w="110" w:type="dxa"/>
              <w:end w:w="110" w:type="dxa"/>
            </w:tcMar>
          </w:tcPr>
          <w:p>
            <w:pPr>
              <w:spacing w:after="20" w:line="247" w:lineRule="auto"/>
            </w:pPr>
            <w:r>
              <w:rPr>
                <w:rFonts w:ascii="Arial" w:hAnsi="Arial"/>
                <w:color w:val="1D2730"/>
                <w:sz w:val="17"/>
              </w:rPr>
              <w:t>Consultar el historial de cambios de las operaciones críticas.</w:t>
            </w:r>
          </w:p>
        </w:tc>
        <w:tc>
          <w:tcPr>
            <w:tcW w:type="dxa" w:w="2822"/>
            <w:vAlign w:val="center"/>
            <w:tcMar>
              <w:top w:w="110" w:type="dxa"/>
              <w:start w:w="110" w:type="dxa"/>
              <w:bottom w:w="110" w:type="dxa"/>
              <w:end w:w="110" w:type="dxa"/>
            </w:tcMar>
          </w:tcPr>
          <w:p>
            <w:pPr>
              <w:spacing w:after="20" w:line="247" w:lineRule="auto"/>
            </w:pPr>
            <w:r>
              <w:rPr>
                <w:rFonts w:ascii="Arial" w:hAnsi="Arial"/>
                <w:color w:val="1D2730"/>
                <w:sz w:val="17"/>
              </w:rPr>
              <w:t>Documentación del proyecto; falta definir el modelo de auditoría</w:t>
            </w:r>
          </w:p>
        </w:tc>
      </w:tr>
    </w:tbl>
    <w:p>
      <w:pPr>
        <w:spacing w:after="40"/>
      </w:pPr>
    </w:p>
    <w:p>
      <w:pPr>
        <w:pStyle w:val="Heading3"/>
      </w:pPr>
      <w:r>
        <w:rPr>
          <w:rFonts w:ascii="Arial" w:hAnsi="Arial"/>
        </w:rPr>
        <w:t>Requisitos no funcionales</w:t>
      </w:r>
    </w:p>
    <w:tbl>
      <w:tblPr>
        <w:tblW w:type="auto" w:w="0"/>
        <w:jc w:val="center"/>
        <w:tblLayout w:type="fixed"/>
        <w:tblLook w:firstColumn="1" w:firstRow="1" w:lastColumn="0" w:lastRow="0" w:noHBand="0" w:noVBand="1" w:val="04A0"/>
        <w:tblBorders>
          <w:top w:val="single" w:sz="5" w:space="0" w:color="D4DCE3"/>
          <w:left w:val="single" w:sz="5" w:space="0" w:color="D4DCE3"/>
          <w:bottom w:val="single" w:sz="5" w:space="0" w:color="D4DCE3"/>
          <w:right w:val="single" w:sz="5" w:space="0" w:color="D4DCE3"/>
          <w:insideH w:val="single" w:sz="5" w:space="0" w:color="D4DCE3"/>
          <w:insideV w:val="single" w:sz="5" w:space="0" w:color="D4DCE3"/>
        </w:tblBorders>
      </w:tblPr>
      <w:tblGrid>
        <w:gridCol w:w="3293"/>
        <w:gridCol w:w="3293"/>
        <w:gridCol w:w="3293"/>
      </w:tblGrid>
      <w:tr>
        <w:trPr>
          <w:tblHeader w:val="true"/>
          <w:cantSplit/>
        </w:trPr>
        <w:tc>
          <w:tcPr>
            <w:tcW w:type="dxa" w:w="1037"/>
            <w:vAlign w:val="center"/>
            <w:tcMar>
              <w:top w:w="110" w:type="dxa"/>
              <w:start w:w="110" w:type="dxa"/>
              <w:bottom w:w="110" w:type="dxa"/>
              <w:end w:w="110" w:type="dxa"/>
            </w:tcMar>
            <w:shd w:fill="17324D"/>
          </w:tcPr>
          <w:p>
            <w:pPr>
              <w:spacing w:after="20" w:line="247" w:lineRule="auto"/>
              <w:jc w:val="center"/>
            </w:pPr>
            <w:r>
              <w:rPr>
                <w:rFonts w:ascii="Arial" w:hAnsi="Arial"/>
                <w:b/>
                <w:color w:val="FFFFFF"/>
                <w:sz w:val="17"/>
              </w:rPr>
              <w:t>ID</w:t>
            </w:r>
          </w:p>
        </w:tc>
        <w:tc>
          <w:tcPr>
            <w:tcW w:type="dxa" w:w="6019"/>
            <w:vAlign w:val="center"/>
            <w:tcMar>
              <w:top w:w="110" w:type="dxa"/>
              <w:start w:w="110" w:type="dxa"/>
              <w:bottom w:w="110" w:type="dxa"/>
              <w:end w:w="110" w:type="dxa"/>
            </w:tcMar>
            <w:shd w:fill="17324D"/>
          </w:tcPr>
          <w:p>
            <w:pPr>
              <w:spacing w:after="20" w:line="247" w:lineRule="auto"/>
            </w:pPr>
            <w:r>
              <w:rPr>
                <w:rFonts w:ascii="Arial" w:hAnsi="Arial"/>
                <w:b/>
                <w:color w:val="FFFFFF"/>
                <w:sz w:val="17"/>
              </w:rPr>
              <w:t>Requisito</w:t>
            </w:r>
          </w:p>
        </w:tc>
        <w:tc>
          <w:tcPr>
            <w:tcW w:type="dxa" w:w="2822"/>
            <w:vAlign w:val="center"/>
            <w:tcMar>
              <w:top w:w="110" w:type="dxa"/>
              <w:start w:w="110" w:type="dxa"/>
              <w:bottom w:w="110" w:type="dxa"/>
              <w:end w:w="110" w:type="dxa"/>
            </w:tcMar>
            <w:shd w:fill="17324D"/>
          </w:tcPr>
          <w:p>
            <w:pPr>
              <w:spacing w:after="20" w:line="247" w:lineRule="auto"/>
            </w:pPr>
            <w:r>
              <w:rPr>
                <w:rFonts w:ascii="Arial" w:hAnsi="Arial"/>
                <w:b/>
                <w:color w:val="FFFFFF"/>
                <w:sz w:val="17"/>
              </w:rPr>
              <w:t>Base de diseño</w:t>
            </w:r>
          </w:p>
        </w:tc>
      </w:tr>
      <w:tr>
        <w:trPr>
          <w:cantSplit/>
        </w:trPr>
        <w:tc>
          <w:tcPr>
            <w:tcW w:type="dxa" w:w="1037"/>
            <w:vAlign w:val="center"/>
            <w:tcMar>
              <w:top w:w="110" w:type="dxa"/>
              <w:start w:w="110" w:type="dxa"/>
              <w:bottom w:w="110" w:type="dxa"/>
              <w:end w:w="110" w:type="dxa"/>
            </w:tcMar>
          </w:tcPr>
          <w:p>
            <w:pPr>
              <w:spacing w:after="20" w:line="247" w:lineRule="auto"/>
              <w:jc w:val="center"/>
            </w:pPr>
            <w:r>
              <w:rPr>
                <w:rFonts w:ascii="Arial" w:hAnsi="Arial"/>
                <w:color w:val="1D2730"/>
                <w:sz w:val="17"/>
              </w:rPr>
              <w:t>RNF-01</w:t>
            </w:r>
          </w:p>
        </w:tc>
        <w:tc>
          <w:tcPr>
            <w:tcW w:type="dxa" w:w="6019"/>
            <w:vAlign w:val="center"/>
            <w:tcMar>
              <w:top w:w="110" w:type="dxa"/>
              <w:start w:w="110" w:type="dxa"/>
              <w:bottom w:w="110" w:type="dxa"/>
              <w:end w:w="110" w:type="dxa"/>
            </w:tcMar>
          </w:tcPr>
          <w:p>
            <w:pPr>
              <w:spacing w:after="20" w:line="247" w:lineRule="auto"/>
            </w:pPr>
            <w:r>
              <w:rPr>
                <w:rFonts w:ascii="Arial" w:hAnsi="Arial"/>
                <w:color w:val="1D2730"/>
                <w:sz w:val="17"/>
              </w:rPr>
              <w:t>La base de datos debe conservar identificadores únicos y relaciones válidas entre persona, cuenta, bien, reserva, préstamo y renovación.</w:t>
            </w:r>
          </w:p>
        </w:tc>
        <w:tc>
          <w:tcPr>
            <w:tcW w:type="dxa" w:w="2822"/>
            <w:vAlign w:val="center"/>
            <w:tcMar>
              <w:top w:w="110" w:type="dxa"/>
              <w:start w:w="110" w:type="dxa"/>
              <w:bottom w:w="110" w:type="dxa"/>
              <w:end w:w="110" w:type="dxa"/>
            </w:tcMar>
          </w:tcPr>
          <w:p>
            <w:pPr>
              <w:spacing w:after="20" w:line="247" w:lineRule="auto"/>
            </w:pPr>
            <w:r>
              <w:rPr>
                <w:rFonts w:ascii="Arial" w:hAnsi="Arial"/>
                <w:color w:val="1D2730"/>
                <w:sz w:val="17"/>
              </w:rPr>
              <w:t>UUID, claves únicas y claves foráneas en SQL</w:t>
            </w:r>
          </w:p>
        </w:tc>
      </w:tr>
      <w:tr>
        <w:trPr>
          <w:cantSplit/>
        </w:trPr>
        <w:tc>
          <w:tcPr>
            <w:tcW w:type="dxa" w:w="1037"/>
            <w:vAlign w:val="center"/>
            <w:tcMar>
              <w:top w:w="110" w:type="dxa"/>
              <w:start w:w="110" w:type="dxa"/>
              <w:bottom w:w="110" w:type="dxa"/>
              <w:end w:w="110" w:type="dxa"/>
            </w:tcMar>
            <w:shd w:fill="EAF1F7"/>
          </w:tcPr>
          <w:p>
            <w:pPr>
              <w:spacing w:after="20" w:line="247" w:lineRule="auto"/>
              <w:jc w:val="center"/>
            </w:pPr>
            <w:r>
              <w:rPr>
                <w:rFonts w:ascii="Arial" w:hAnsi="Arial"/>
                <w:color w:val="1D2730"/>
                <w:sz w:val="17"/>
              </w:rPr>
              <w:t>RNF-02</w:t>
            </w:r>
          </w:p>
        </w:tc>
        <w:tc>
          <w:tcPr>
            <w:tcW w:type="dxa" w:w="6019"/>
            <w:vAlign w:val="center"/>
            <w:tcMar>
              <w:top w:w="110" w:type="dxa"/>
              <w:start w:w="110" w:type="dxa"/>
              <w:bottom w:w="110" w:type="dxa"/>
              <w:end w:w="110" w:type="dxa"/>
            </w:tcMar>
            <w:shd w:fill="EAF1F7"/>
          </w:tcPr>
          <w:p>
            <w:pPr>
              <w:spacing w:after="20" w:line="247" w:lineRule="auto"/>
            </w:pPr>
            <w:r>
              <w:rPr>
                <w:rFonts w:ascii="Arial" w:hAnsi="Arial"/>
                <w:color w:val="1D2730"/>
                <w:sz w:val="17"/>
              </w:rPr>
              <w:t>El sistema debe rechazar intervalos de reserva y plazos de préstamo inválidos.</w:t>
            </w:r>
          </w:p>
        </w:tc>
        <w:tc>
          <w:tcPr>
            <w:tcW w:type="dxa" w:w="2822"/>
            <w:vAlign w:val="center"/>
            <w:tcMar>
              <w:top w:w="110" w:type="dxa"/>
              <w:start w:w="110" w:type="dxa"/>
              <w:bottom w:w="110" w:type="dxa"/>
              <w:end w:w="110" w:type="dxa"/>
            </w:tcMar>
            <w:shd w:fill="EAF1F7"/>
          </w:tcPr>
          <w:p>
            <w:pPr>
              <w:spacing w:after="20" w:line="247" w:lineRule="auto"/>
            </w:pPr>
            <w:r>
              <w:rPr>
                <w:rFonts w:ascii="Arial" w:hAnsi="Arial"/>
                <w:color w:val="1D2730"/>
                <w:sz w:val="17"/>
              </w:rPr>
              <w:t xml:space="preserve">Restricciones </w:t>
            </w:r>
            <w:r>
              <w:rPr>
                <w:rFonts w:ascii="Arial" w:hAnsi="Arial"/>
                <w:color w:val="1D2730"/>
                <w:sz w:val="17"/>
              </w:rPr>
              <w:t>CHECK</w:t>
            </w:r>
            <w:r>
              <w:rPr>
                <w:rFonts w:ascii="Arial" w:hAnsi="Arial"/>
                <w:color w:val="1D2730"/>
                <w:sz w:val="17"/>
              </w:rPr>
              <w:t xml:space="preserve"> del esquema</w:t>
            </w:r>
          </w:p>
        </w:tc>
      </w:tr>
      <w:tr>
        <w:trPr>
          <w:cantSplit/>
        </w:trPr>
        <w:tc>
          <w:tcPr>
            <w:tcW w:type="dxa" w:w="1037"/>
            <w:vAlign w:val="center"/>
            <w:tcMar>
              <w:top w:w="110" w:type="dxa"/>
              <w:start w:w="110" w:type="dxa"/>
              <w:bottom w:w="110" w:type="dxa"/>
              <w:end w:w="110" w:type="dxa"/>
            </w:tcMar>
          </w:tcPr>
          <w:p>
            <w:pPr>
              <w:spacing w:after="20" w:line="247" w:lineRule="auto"/>
              <w:jc w:val="center"/>
            </w:pPr>
            <w:r>
              <w:rPr>
                <w:rFonts w:ascii="Arial" w:hAnsi="Arial"/>
                <w:color w:val="1D2730"/>
                <w:sz w:val="17"/>
              </w:rPr>
              <w:t>RNF-03</w:t>
            </w:r>
          </w:p>
        </w:tc>
        <w:tc>
          <w:tcPr>
            <w:tcW w:type="dxa" w:w="6019"/>
            <w:vAlign w:val="center"/>
            <w:tcMar>
              <w:top w:w="110" w:type="dxa"/>
              <w:start w:w="110" w:type="dxa"/>
              <w:bottom w:w="110" w:type="dxa"/>
              <w:end w:w="110" w:type="dxa"/>
            </w:tcMar>
          </w:tcPr>
          <w:p>
            <w:pPr>
              <w:spacing w:after="20" w:line="247" w:lineRule="auto"/>
            </w:pPr>
            <w:r>
              <w:rPr>
                <w:rFonts w:ascii="Arial" w:hAnsi="Arial"/>
                <w:color w:val="1D2730"/>
                <w:sz w:val="17"/>
              </w:rPr>
              <w:t>Las operaciones de entrega y devolución deben mantener la disponibilidad correcta cuando varias solicitudes coincidan.</w:t>
            </w:r>
          </w:p>
        </w:tc>
        <w:tc>
          <w:tcPr>
            <w:tcW w:type="dxa" w:w="2822"/>
            <w:vAlign w:val="center"/>
            <w:tcMar>
              <w:top w:w="110" w:type="dxa"/>
              <w:start w:w="110" w:type="dxa"/>
              <w:bottom w:w="110" w:type="dxa"/>
              <w:end w:w="110" w:type="dxa"/>
            </w:tcMar>
          </w:tcPr>
          <w:p>
            <w:pPr>
              <w:spacing w:after="20" w:line="247" w:lineRule="auto"/>
            </w:pPr>
            <w:r>
              <w:rPr>
                <w:rFonts w:ascii="Arial" w:hAnsi="Arial"/>
                <w:color w:val="1D2730"/>
                <w:sz w:val="17"/>
              </w:rPr>
              <w:t>Recomendación pendiente de implementar con transacciones y control de concurrencia</w:t>
            </w:r>
          </w:p>
        </w:tc>
      </w:tr>
      <w:tr>
        <w:trPr>
          <w:cantSplit/>
        </w:trPr>
        <w:tc>
          <w:tcPr>
            <w:tcW w:type="dxa" w:w="1037"/>
            <w:vAlign w:val="center"/>
            <w:tcMar>
              <w:top w:w="110" w:type="dxa"/>
              <w:start w:w="110" w:type="dxa"/>
              <w:bottom w:w="110" w:type="dxa"/>
              <w:end w:w="110" w:type="dxa"/>
            </w:tcMar>
            <w:shd w:fill="EAF1F7"/>
          </w:tcPr>
          <w:p>
            <w:pPr>
              <w:spacing w:after="20" w:line="247" w:lineRule="auto"/>
              <w:jc w:val="center"/>
            </w:pPr>
            <w:r>
              <w:rPr>
                <w:rFonts w:ascii="Arial" w:hAnsi="Arial"/>
                <w:color w:val="1D2730"/>
                <w:sz w:val="17"/>
              </w:rPr>
              <w:t>RNF-04</w:t>
            </w:r>
          </w:p>
        </w:tc>
        <w:tc>
          <w:tcPr>
            <w:tcW w:type="dxa" w:w="6019"/>
            <w:vAlign w:val="center"/>
            <w:tcMar>
              <w:top w:w="110" w:type="dxa"/>
              <w:start w:w="110" w:type="dxa"/>
              <w:bottom w:w="110" w:type="dxa"/>
              <w:end w:w="110" w:type="dxa"/>
            </w:tcMar>
            <w:shd w:fill="EAF1F7"/>
          </w:tcPr>
          <w:p>
            <w:pPr>
              <w:spacing w:after="20" w:line="247" w:lineRule="auto"/>
            </w:pPr>
            <w:r>
              <w:rPr>
                <w:rFonts w:ascii="Arial" w:hAnsi="Arial"/>
                <w:color w:val="1D2730"/>
                <w:sz w:val="17"/>
              </w:rPr>
              <w:t>Las contraseñas deben almacenarse como hashes; la API debe limitar cada operación a usuarios autorizados.</w:t>
            </w:r>
          </w:p>
        </w:tc>
        <w:tc>
          <w:tcPr>
            <w:tcW w:type="dxa" w:w="2822"/>
            <w:vAlign w:val="center"/>
            <w:tcMar>
              <w:top w:w="110" w:type="dxa"/>
              <w:start w:w="110" w:type="dxa"/>
              <w:bottom w:w="110" w:type="dxa"/>
              <w:end w:w="110" w:type="dxa"/>
            </w:tcMar>
            <w:shd w:fill="EAF1F7"/>
          </w:tcPr>
          <w:p>
            <w:pPr>
              <w:spacing w:after="20" w:line="247" w:lineRule="auto"/>
            </w:pPr>
            <w:r>
              <w:rPr>
                <w:rFonts w:ascii="Arial" w:hAnsi="Arial"/>
                <w:color w:val="1D2730"/>
                <w:sz w:val="17"/>
              </w:rPr>
              <w:t>El SQL guarda un hash; algoritmo y autorización están pendientes</w:t>
            </w:r>
          </w:p>
        </w:tc>
      </w:tr>
      <w:tr>
        <w:trPr>
          <w:cantSplit/>
        </w:trPr>
        <w:tc>
          <w:tcPr>
            <w:tcW w:type="dxa" w:w="1037"/>
            <w:vAlign w:val="center"/>
            <w:tcMar>
              <w:top w:w="110" w:type="dxa"/>
              <w:start w:w="110" w:type="dxa"/>
              <w:bottom w:w="110" w:type="dxa"/>
              <w:end w:w="110" w:type="dxa"/>
            </w:tcMar>
          </w:tcPr>
          <w:p>
            <w:pPr>
              <w:spacing w:after="20" w:line="247" w:lineRule="auto"/>
              <w:jc w:val="center"/>
            </w:pPr>
            <w:r>
              <w:rPr>
                <w:rFonts w:ascii="Arial" w:hAnsi="Arial"/>
                <w:color w:val="1D2730"/>
                <w:sz w:val="17"/>
              </w:rPr>
              <w:t>RNF-05</w:t>
            </w:r>
          </w:p>
        </w:tc>
        <w:tc>
          <w:tcPr>
            <w:tcW w:type="dxa" w:w="6019"/>
            <w:vAlign w:val="center"/>
            <w:tcMar>
              <w:top w:w="110" w:type="dxa"/>
              <w:start w:w="110" w:type="dxa"/>
              <w:bottom w:w="110" w:type="dxa"/>
              <w:end w:w="110" w:type="dxa"/>
            </w:tcMar>
          </w:tcPr>
          <w:p>
            <w:pPr>
              <w:spacing w:after="20" w:line="247" w:lineRule="auto"/>
            </w:pPr>
            <w:r>
              <w:rPr>
                <w:rFonts w:ascii="Arial" w:hAnsi="Arial"/>
                <w:color w:val="1D2730"/>
                <w:sz w:val="17"/>
              </w:rPr>
              <w:t>Las fechas de operación deben incluir zona horaria y conservar una referencia temporal coherente.</w:t>
            </w:r>
          </w:p>
        </w:tc>
        <w:tc>
          <w:tcPr>
            <w:tcW w:type="dxa" w:w="2822"/>
            <w:vAlign w:val="center"/>
            <w:tcMar>
              <w:top w:w="110" w:type="dxa"/>
              <w:start w:w="110" w:type="dxa"/>
              <w:bottom w:w="110" w:type="dxa"/>
              <w:end w:w="110" w:type="dxa"/>
            </w:tcMar>
          </w:tcPr>
          <w:p>
            <w:pPr>
              <w:spacing w:after="20" w:line="247" w:lineRule="auto"/>
            </w:pPr>
            <w:r>
              <w:rPr>
                <w:rFonts w:ascii="Arial" w:hAnsi="Arial"/>
                <w:color w:val="1D2730"/>
                <w:sz w:val="17"/>
              </w:rPr>
              <w:t xml:space="preserve">Uso de </w:t>
            </w:r>
            <w:r>
              <w:rPr>
                <w:rFonts w:ascii="Arial" w:hAnsi="Arial"/>
                <w:color w:val="1D2730"/>
                <w:sz w:val="17"/>
              </w:rPr>
              <w:t>TIMESTAMPTZ</w:t>
            </w:r>
            <w:r>
              <w:rPr>
                <w:rFonts w:ascii="Arial" w:hAnsi="Arial"/>
                <w:color w:val="1D2730"/>
                <w:sz w:val="17"/>
              </w:rPr>
              <w:t xml:space="preserve"> en el esquema</w:t>
            </w:r>
          </w:p>
        </w:tc>
      </w:tr>
      <w:tr>
        <w:trPr>
          <w:cantSplit/>
        </w:trPr>
        <w:tc>
          <w:tcPr>
            <w:tcW w:type="dxa" w:w="1037"/>
            <w:vAlign w:val="center"/>
            <w:tcMar>
              <w:top w:w="110" w:type="dxa"/>
              <w:start w:w="110" w:type="dxa"/>
              <w:bottom w:w="110" w:type="dxa"/>
              <w:end w:w="110" w:type="dxa"/>
            </w:tcMar>
            <w:shd w:fill="EAF1F7"/>
          </w:tcPr>
          <w:p>
            <w:pPr>
              <w:spacing w:after="20" w:line="247" w:lineRule="auto"/>
              <w:jc w:val="center"/>
            </w:pPr>
            <w:r>
              <w:rPr>
                <w:rFonts w:ascii="Arial" w:hAnsi="Arial"/>
                <w:color w:val="1D2730"/>
                <w:sz w:val="17"/>
              </w:rPr>
              <w:t>RNF-06</w:t>
            </w:r>
          </w:p>
        </w:tc>
        <w:tc>
          <w:tcPr>
            <w:tcW w:type="dxa" w:w="6019"/>
            <w:vAlign w:val="center"/>
            <w:tcMar>
              <w:top w:w="110" w:type="dxa"/>
              <w:start w:w="110" w:type="dxa"/>
              <w:bottom w:w="110" w:type="dxa"/>
              <w:end w:w="110" w:type="dxa"/>
            </w:tcMar>
            <w:shd w:fill="EAF1F7"/>
          </w:tcPr>
          <w:p>
            <w:pPr>
              <w:spacing w:after="20" w:line="247" w:lineRule="auto"/>
            </w:pPr>
            <w:r>
              <w:rPr>
                <w:rFonts w:ascii="Arial" w:hAnsi="Arial"/>
                <w:color w:val="1D2730"/>
                <w:sz w:val="17"/>
              </w:rPr>
              <w:t>El dominio debe poder probarse sin depender de FastAPI ni de SQLAlchemy.</w:t>
            </w:r>
          </w:p>
        </w:tc>
        <w:tc>
          <w:tcPr>
            <w:tcW w:type="dxa" w:w="2822"/>
            <w:vAlign w:val="center"/>
            <w:tcMar>
              <w:top w:w="110" w:type="dxa"/>
              <w:start w:w="110" w:type="dxa"/>
              <w:bottom w:w="110" w:type="dxa"/>
              <w:end w:w="110" w:type="dxa"/>
            </w:tcMar>
            <w:shd w:fill="EAF1F7"/>
          </w:tcPr>
          <w:p>
            <w:pPr>
              <w:spacing w:after="20" w:line="247" w:lineRule="auto"/>
            </w:pPr>
            <w:r>
              <w:rPr>
                <w:rFonts w:ascii="Arial" w:hAnsi="Arial"/>
                <w:color w:val="1D2730"/>
                <w:sz w:val="17"/>
              </w:rPr>
              <w:t>Decisión de arquitectura propuesta</w:t>
            </w:r>
          </w:p>
        </w:tc>
      </w:tr>
      <w:tr>
        <w:trPr>
          <w:cantSplit/>
        </w:trPr>
        <w:tc>
          <w:tcPr>
            <w:tcW w:type="dxa" w:w="1037"/>
            <w:vAlign w:val="center"/>
            <w:tcMar>
              <w:top w:w="110" w:type="dxa"/>
              <w:start w:w="110" w:type="dxa"/>
              <w:bottom w:w="110" w:type="dxa"/>
              <w:end w:w="110" w:type="dxa"/>
            </w:tcMar>
          </w:tcPr>
          <w:p>
            <w:pPr>
              <w:spacing w:after="20" w:line="247" w:lineRule="auto"/>
              <w:jc w:val="center"/>
            </w:pPr>
            <w:r>
              <w:rPr>
                <w:rFonts w:ascii="Arial" w:hAnsi="Arial"/>
                <w:color w:val="1D2730"/>
                <w:sz w:val="17"/>
              </w:rPr>
              <w:t>RNF-07</w:t>
            </w:r>
          </w:p>
        </w:tc>
        <w:tc>
          <w:tcPr>
            <w:tcW w:type="dxa" w:w="6019"/>
            <w:vAlign w:val="center"/>
            <w:tcMar>
              <w:top w:w="110" w:type="dxa"/>
              <w:start w:w="110" w:type="dxa"/>
              <w:bottom w:w="110" w:type="dxa"/>
              <w:end w:w="110" w:type="dxa"/>
            </w:tcMar>
          </w:tcPr>
          <w:p>
            <w:pPr>
              <w:spacing w:after="20" w:line="247" w:lineRule="auto"/>
            </w:pPr>
            <w:r>
              <w:rPr>
                <w:rFonts w:ascii="Arial" w:hAnsi="Arial"/>
                <w:color w:val="1D2730"/>
                <w:sz w:val="17"/>
              </w:rPr>
              <w:t>Las modificaciones del esquema deben ser reproducibles mediante migraciones versionadas.</w:t>
            </w:r>
          </w:p>
        </w:tc>
        <w:tc>
          <w:tcPr>
            <w:tcW w:type="dxa" w:w="2822"/>
            <w:vAlign w:val="center"/>
            <w:tcMar>
              <w:top w:w="110" w:type="dxa"/>
              <w:start w:w="110" w:type="dxa"/>
              <w:bottom w:w="110" w:type="dxa"/>
              <w:end w:w="110" w:type="dxa"/>
            </w:tcMar>
          </w:tcPr>
          <w:p>
            <w:pPr>
              <w:spacing w:after="20" w:line="247" w:lineRule="auto"/>
            </w:pPr>
            <w:r>
              <w:rPr>
                <w:rFonts w:ascii="Arial" w:hAnsi="Arial"/>
                <w:color w:val="1D2730"/>
                <w:sz w:val="17"/>
              </w:rPr>
              <w:t>Propuesta de Alembic</w:t>
            </w:r>
          </w:p>
        </w:tc>
      </w:tr>
      <w:tr>
        <w:trPr>
          <w:cantSplit/>
        </w:trPr>
        <w:tc>
          <w:tcPr>
            <w:tcW w:type="dxa" w:w="1037"/>
            <w:vAlign w:val="center"/>
            <w:tcMar>
              <w:top w:w="110" w:type="dxa"/>
              <w:start w:w="110" w:type="dxa"/>
              <w:bottom w:w="110" w:type="dxa"/>
              <w:end w:w="110" w:type="dxa"/>
            </w:tcMar>
            <w:shd w:fill="EAF1F7"/>
          </w:tcPr>
          <w:p>
            <w:pPr>
              <w:spacing w:after="20" w:line="247" w:lineRule="auto"/>
              <w:jc w:val="center"/>
            </w:pPr>
            <w:r>
              <w:rPr>
                <w:rFonts w:ascii="Arial" w:hAnsi="Arial"/>
                <w:color w:val="1D2730"/>
                <w:sz w:val="17"/>
              </w:rPr>
              <w:t>RNF-08</w:t>
            </w:r>
          </w:p>
        </w:tc>
        <w:tc>
          <w:tcPr>
            <w:tcW w:type="dxa" w:w="6019"/>
            <w:vAlign w:val="center"/>
            <w:tcMar>
              <w:top w:w="110" w:type="dxa"/>
              <w:start w:w="110" w:type="dxa"/>
              <w:bottom w:w="110" w:type="dxa"/>
              <w:end w:w="110" w:type="dxa"/>
            </w:tcMar>
            <w:shd w:fill="EAF1F7"/>
          </w:tcPr>
          <w:p>
            <w:pPr>
              <w:spacing w:after="20" w:line="247" w:lineRule="auto"/>
            </w:pPr>
            <w:r>
              <w:rPr>
                <w:rFonts w:ascii="Arial" w:hAnsi="Arial"/>
                <w:color w:val="1D2730"/>
                <w:sz w:val="17"/>
              </w:rPr>
              <w:t>La API debe publicar sus operaciones y estructuras de datos mediante OpenAPI.</w:t>
            </w:r>
          </w:p>
        </w:tc>
        <w:tc>
          <w:tcPr>
            <w:tcW w:type="dxa" w:w="2822"/>
            <w:vAlign w:val="center"/>
            <w:tcMar>
              <w:top w:w="110" w:type="dxa"/>
              <w:start w:w="110" w:type="dxa"/>
              <w:bottom w:w="110" w:type="dxa"/>
              <w:end w:w="110" w:type="dxa"/>
            </w:tcMar>
            <w:shd w:fill="EAF1F7"/>
          </w:tcPr>
          <w:p>
            <w:pPr>
              <w:spacing w:after="20" w:line="247" w:lineRule="auto"/>
            </w:pPr>
            <w:r>
              <w:rPr>
                <w:rFonts w:ascii="Arial" w:hAnsi="Arial"/>
                <w:color w:val="1D2730"/>
                <w:sz w:val="17"/>
              </w:rPr>
              <w:t>FastAPI propuesto</w:t>
            </w:r>
          </w:p>
        </w:tc>
      </w:tr>
    </w:tbl>
    <w:p>
      <w:pPr>
        <w:spacing w:after="40"/>
      </w:pPr>
    </w:p>
    <w:p>
      <w:pPr>
        <w:widowControl/>
        <w:jc w:val="left"/>
      </w:pPr>
      <w:r>
        <w:rPr>
          <w:rFonts w:ascii="Arial" w:hAnsi="Arial"/>
        </w:rPr>
        <w:t>Los materiales no fijan metas medibles de rendimiento, disponibilidad, retención de datos o accesibilidad. Esos valores deben levantarse con los usuarios y responsables institucionales antes de aprobar requisitos no funcionales definitivos.</w:t>
      </w:r>
    </w:p>
    <w:p>
      <w:pPr>
        <w:pStyle w:val="Heading2"/>
      </w:pPr>
      <w:r>
        <w:rPr>
          <w:rFonts w:ascii="Arial" w:hAnsi="Arial"/>
        </w:rPr>
        <w:t>Modelo de dominio</w:t>
      </w:r>
    </w:p>
    <w:p>
      <w:pPr>
        <w:widowControl/>
        <w:jc w:val="left"/>
      </w:pPr>
      <w:r>
        <w:rPr>
          <w:rFonts w:ascii="Arial" w:hAnsi="Arial"/>
        </w:rPr>
        <w:t xml:space="preserve">El modelo conserva los conceptos y asociaciones representados por el SQL. </w:t>
      </w:r>
      <w:r>
        <w:rPr>
          <w:rFonts w:ascii="Menlo" w:hAnsi="Menlo"/>
          <w:color w:val="245B84"/>
          <w:sz w:val="18"/>
        </w:rPr>
        <w:t>Persona</w:t>
      </w:r>
      <w:r>
        <w:rPr>
          <w:rFonts w:ascii="Arial" w:hAnsi="Arial"/>
        </w:rPr>
        <w:t xml:space="preserve"> identifica al solicitante o al personal que opera el sistema. </w:t>
      </w:r>
      <w:r>
        <w:rPr>
          <w:rFonts w:ascii="Menlo" w:hAnsi="Menlo"/>
          <w:color w:val="245B84"/>
          <w:sz w:val="18"/>
        </w:rPr>
        <w:t>Cuenta</w:t>
      </w:r>
      <w:r>
        <w:rPr>
          <w:rFonts w:ascii="Arial" w:hAnsi="Arial"/>
        </w:rPr>
        <w:t xml:space="preserve"> contiene las credenciales de acceso. El inventario se organiza como categoría, tipo, ficha y unidad física. Una reserva se solicita para una unidad durante un intervalo. Un préstamo registra la entrega y devolución de esa unidad, y puede provenir de una reserva. Las renovaciones forman un historial ordenado del préstamo [F2, F3].</w:t>
      </w:r>
    </w:p>
    <w:p>
      <w:pPr>
        <w:sectPr>
          <w:footerReference w:type="default" r:id="rId11"/>
          <w:pgSz w:w="12240" w:h="15840"/>
          <w:pgMar w:top="1123" w:right="1181" w:bottom="1123" w:left="1181" w:header="720" w:footer="720" w:gutter="0"/>
          <w:cols w:space="720"/>
          <w:docGrid w:linePitch="360"/>
        </w:sectPr>
      </w:pPr>
    </w:p>
    <w:p>
      <w:pPr>
        <w:spacing w:after="140"/>
        <w:jc w:val="left"/>
      </w:pPr>
      <w:r>
        <w:rPr>
          <w:rFonts w:ascii="Arial" w:hAnsi="Arial"/>
          <w:b/>
          <w:color w:val="000000"/>
          <w:sz w:val="34"/>
        </w:rPr>
        <w:t>Diagrama de clases del dominio</w:t>
      </w:r>
    </w:p>
    <w:p>
      <w:pPr>
        <w:spacing w:after="0"/>
        <w:jc w:val="center"/>
      </w:pPr>
      <w:r>
        <w:drawing>
          <wp:inline xmlns:a="http://schemas.openxmlformats.org/drawingml/2006/main" xmlns:pic="http://schemas.openxmlformats.org/drawingml/2006/picture">
            <wp:extent cx="8823960" cy="5514975"/>
            <wp:docPr id="1" name="Picture 1" descr="Clases del esquema actual y multiplicidades de sus asociaciones." title="Diagrama de clases del dominio"/>
            <wp:cNvGraphicFramePr>
              <a:graphicFrameLocks noChangeAspect="1"/>
            </wp:cNvGraphicFramePr>
            <a:graphic>
              <a:graphicData uri="http://schemas.openxmlformats.org/drawingml/2006/picture">
                <pic:pic>
                  <pic:nvPicPr>
                    <pic:cNvPr id="0" name="modelo-dominio.png"/>
                    <pic:cNvPicPr/>
                  </pic:nvPicPr>
                  <pic:blipFill>
                    <a:blip r:embed="rId9"/>
                    <a:stretch>
                      <a:fillRect/>
                    </a:stretch>
                  </pic:blipFill>
                  <pic:spPr>
                    <a:xfrm>
                      <a:off x="0" y="0"/>
                      <a:ext cx="8823960" cy="5514975"/>
                    </a:xfrm>
                    <a:prstGeom prst="rect"/>
                  </pic:spPr>
                </pic:pic>
              </a:graphicData>
            </a:graphic>
          </wp:inline>
        </w:drawing>
      </w:r>
    </w:p>
    <w:p>
      <w:pPr>
        <w:pStyle w:val="Caption"/>
        <w:jc w:val="center"/>
      </w:pPr>
      <w:r>
        <w:rPr>
          <w:rFonts w:ascii="Arial" w:hAnsi="Arial"/>
          <w:color w:val="4C5B67"/>
          <w:sz w:val="18"/>
        </w:rPr>
        <w:t>Figura 1. Clases del esquema actual y multiplicidades de sus asociaciones.</w:t>
      </w:r>
    </w:p>
    <w:p>
      <w:pPr>
        <w:sectPr>
          <w:footerReference w:type="default" r:id="rId12"/>
          <w:pgSz w:w="15840" w:h="12240" w:orient="landscape"/>
          <w:pgMar w:top="792" w:right="936" w:bottom="792" w:left="936" w:header="720" w:footer="720" w:gutter="0"/>
          <w:cols w:space="720"/>
          <w:docGrid w:linePitch="360"/>
        </w:sectPr>
      </w:pPr>
    </w:p>
    <w:p>
      <w:pPr>
        <w:widowControl/>
        <w:jc w:val="left"/>
      </w:pPr>
      <w:r>
        <w:rPr>
          <w:rFonts w:ascii="Arial" w:hAnsi="Arial"/>
        </w:rPr>
        <w:t>La notación de multiplicidad expresa las relaciones definidas por las claves foráneas del esquema. Una persona puede tener cero o una cuenta; cada cuenta corresponde a una persona. Una reserva referencia a una persona y a una unidad. Un préstamo registra por separado solicitante, administrador y unidad, además de una reserva de origen opcional. Cada renovación pertenece a un préstamo y la secuencia no se repite dentro de ese préstamo [F3].</w:t>
      </w:r>
    </w:p>
    <w:p>
      <w:pPr>
        <w:pStyle w:val="Heading3"/>
      </w:pPr>
      <w:r>
        <w:rPr>
          <w:rFonts w:ascii="Arial" w:hAnsi="Arial"/>
        </w:rPr>
        <w:t>Reglas e invariantes del negocio</w:t>
      </w:r>
    </w:p>
    <w:p>
      <w:pPr>
        <w:pStyle w:val="ListBullet"/>
        <w:spacing w:after="60"/>
      </w:pPr>
      <w:r>
        <w:rPr>
          <w:rFonts w:ascii="Arial" w:hAnsi="Arial"/>
        </w:rPr>
        <w:t>El código de inventario identifica una sola unidad física.</w:t>
      </w:r>
    </w:p>
    <w:p>
      <w:pPr>
        <w:pStyle w:val="ListBullet"/>
        <w:spacing w:after="60"/>
      </w:pPr>
      <w:r>
        <w:rPr>
          <w:rFonts w:ascii="Arial" w:hAnsi="Arial"/>
        </w:rPr>
        <w:t>El inicio de una reserva debe preceder a su fin. El inicio del plazo de un préstamo debe preceder a su vencimiento.</w:t>
      </w:r>
    </w:p>
    <w:p>
      <w:pPr>
        <w:pStyle w:val="ListBullet"/>
        <w:spacing w:after="60"/>
      </w:pPr>
      <w:r>
        <w:rPr>
          <w:rFonts w:ascii="Arial" w:hAnsi="Arial"/>
        </w:rPr>
        <w:t>La secuencia de renovaciones empieza en uno, no se repite por préstamo y el nuevo vencimiento es posterior al anterior.</w:t>
      </w:r>
    </w:p>
    <w:p>
      <w:pPr>
        <w:pStyle w:val="ListBullet"/>
        <w:spacing w:after="60"/>
      </w:pPr>
      <w:r>
        <w:rPr>
          <w:rFonts w:ascii="Arial" w:hAnsi="Arial"/>
        </w:rPr>
        <w:t>La entrega y la devolución deben registrar quién fue responsable y la condición reportada del bien.</w:t>
      </w:r>
    </w:p>
    <w:p>
      <w:pPr>
        <w:pStyle w:val="ListBullet"/>
        <w:spacing w:after="60"/>
      </w:pPr>
      <w:r>
        <w:rPr>
          <w:rFonts w:ascii="Arial" w:hAnsi="Arial"/>
        </w:rPr>
        <w:t>Una unidad no debe tener más de un préstamo activo o vencido a la vez. El índice parcial actual facilita la consulta, pero no impone unicidad; la base necesita una restricción o índice único parcial si se confirma esta regla.</w:t>
      </w:r>
    </w:p>
    <w:p>
      <w:pPr>
        <w:widowControl/>
        <w:jc w:val="left"/>
      </w:pPr>
      <w:r>
        <w:rPr>
          <w:rFonts w:ascii="Arial" w:hAnsi="Arial"/>
        </w:rPr>
        <w:t>Las tres primeras reglas aparecen directamente en restricciones o claves del SQL. Las dos últimas se desprenden del flujo operativo propuesto y requieren modelarse y probarse en la aplicación. El modelo conceptual completo también incluye políticas, vinculación académica, garantías, incidencias, sanciones y auditoría; esos contextos no forman parte del SQL recibido [F2, F3].</w:t>
      </w:r>
    </w:p>
    <w:p>
      <w:pPr>
        <w:pStyle w:val="Heading2"/>
      </w:pPr>
      <w:r>
        <w:rPr>
          <w:rFonts w:ascii="Arial" w:hAnsi="Arial"/>
        </w:rPr>
        <w:t>Arquitectura en capas</w:t>
      </w:r>
    </w:p>
    <w:p>
      <w:pPr>
        <w:widowControl/>
        <w:jc w:val="left"/>
      </w:pPr>
      <w:r>
        <w:rPr>
          <w:rFonts w:ascii="Arial" w:hAnsi="Arial"/>
        </w:rPr>
        <w:t>Se propone un monolito modular desplegado como una aplicación. Los contextos delimitados se mantienen como paquetes internos con responsabilidades claras. La arquitectura separa el acceso HTTP, los casos de uso, las reglas del dominio y los adaptadores técnicos. Las dependencias del código apuntan hacia el dominio; la infraestructura implementa las interfaces que necesita la aplicación.</w:t>
      </w:r>
    </w:p>
    <w:p>
      <w:pPr>
        <w:sectPr>
          <w:footerReference w:type="default" r:id="rId13"/>
          <w:pgSz w:w="12240" w:h="15840"/>
          <w:pgMar w:top="1123" w:right="1181" w:bottom="1123" w:left="1181" w:header="720" w:footer="720" w:gutter="0"/>
          <w:cols w:space="720"/>
          <w:docGrid w:linePitch="360"/>
        </w:sectPr>
      </w:pPr>
    </w:p>
    <w:p>
      <w:pPr>
        <w:spacing w:after="140"/>
        <w:jc w:val="left"/>
      </w:pPr>
      <w:r>
        <w:rPr>
          <w:rFonts w:ascii="Arial" w:hAnsi="Arial"/>
          <w:b/>
          <w:color w:val="000000"/>
          <w:sz w:val="34"/>
        </w:rPr>
        <w:t>Diagrama de paquetes y clases de la arquitectura</w:t>
      </w:r>
    </w:p>
    <w:p>
      <w:pPr>
        <w:spacing w:after="0"/>
        <w:jc w:val="center"/>
      </w:pPr>
      <w:r>
        <w:drawing>
          <wp:inline xmlns:a="http://schemas.openxmlformats.org/drawingml/2006/main" xmlns:pic="http://schemas.openxmlformats.org/drawingml/2006/picture">
            <wp:extent cx="8823960" cy="5514975"/>
            <wp:docPr id="2" name="Picture 2" descr="Paquetes de presentación, aplicación, dominio e infraestructura, con sus dependencias." title="Diagrama de paquetes y clases de la arquitectura"/>
            <wp:cNvGraphicFramePr>
              <a:graphicFrameLocks noChangeAspect="1"/>
            </wp:cNvGraphicFramePr>
            <a:graphic>
              <a:graphicData uri="http://schemas.openxmlformats.org/drawingml/2006/picture">
                <pic:pic>
                  <pic:nvPicPr>
                    <pic:cNvPr id="0" name="arquitectura-capas.png"/>
                    <pic:cNvPicPr/>
                  </pic:nvPicPr>
                  <pic:blipFill>
                    <a:blip r:embed="rId10"/>
                    <a:stretch>
                      <a:fillRect/>
                    </a:stretch>
                  </pic:blipFill>
                  <pic:spPr>
                    <a:xfrm>
                      <a:off x="0" y="0"/>
                      <a:ext cx="8823960" cy="5514975"/>
                    </a:xfrm>
                    <a:prstGeom prst="rect"/>
                  </pic:spPr>
                </pic:pic>
              </a:graphicData>
            </a:graphic>
          </wp:inline>
        </w:drawing>
      </w:r>
    </w:p>
    <w:p>
      <w:pPr>
        <w:pStyle w:val="Caption"/>
        <w:jc w:val="center"/>
      </w:pPr>
      <w:r>
        <w:rPr>
          <w:rFonts w:ascii="Arial" w:hAnsi="Arial"/>
          <w:color w:val="4C5B67"/>
          <w:sz w:val="18"/>
        </w:rPr>
        <w:t>Figura 2. Paquetes de presentación, aplicación, dominio e infraestructura, con sus dependencias.</w:t>
      </w:r>
    </w:p>
    <w:p>
      <w:pPr>
        <w:sectPr>
          <w:footerReference w:type="default" r:id="rId14"/>
          <w:pgSz w:w="15840" w:h="12240" w:orient="landscape"/>
          <w:pgMar w:top="792" w:right="936" w:bottom="792" w:left="936" w:header="720" w:footer="720" w:gutter="0"/>
          <w:cols w:space="720"/>
          <w:docGrid w:linePitch="360"/>
        </w:sectPr>
      </w:pPr>
    </w:p>
    <w:p>
      <w:pPr>
        <w:widowControl/>
        <w:jc w:val="left"/>
      </w:pPr>
      <w:r>
        <w:rPr>
          <w:rFonts w:ascii="Arial" w:hAnsi="Arial"/>
        </w:rPr>
        <w:t>La capa de presentación traduce solicitudes HTTP a comandos o consultas y convierte respuestas en esquemas de API. La capa de aplicación coordina casos de uso como registrar una unidad, crear una reserva, entregar un préstamo o recibir una devolución. El dominio contiene entidades, reglas y contratos de repositorio. La infraestructura implementa persistencia PostgreSQL, seguridad, configuración y migraciones.</w:t>
      </w:r>
    </w:p>
    <w:p>
      <w:pPr>
        <w:pStyle w:val="Heading3"/>
      </w:pPr>
      <w:r>
        <w:rPr>
          <w:rFonts w:ascii="Arial" w:hAnsi="Arial"/>
        </w:rPr>
        <w:t>Flujo de registro de préstamo</w:t>
      </w:r>
    </w:p>
    <w:p>
      <w:pPr>
        <w:widowControl/>
        <w:jc w:val="left"/>
      </w:pPr>
      <w:r>
        <w:rPr>
          <w:rFonts w:ascii="Arial" w:hAnsi="Arial"/>
        </w:rPr>
        <w:t>El personal inicia el caso de uso de entrega desde la API. La aplicación valida al solicitante, comprueba que la unidad se pueda prestar y confirma que no exista otra operación incompatible. Después crea el préstamo y registra la evidencia de entrega dentro de una transacción. El repositorio guarda los cambios en PostgreSQL y el sistema devuelve el préstamo creado. La validación de políticas y condición académica se añadirá cuando esos contextos estén disponibles.</w:t>
      </w:r>
    </w:p>
    <w:p>
      <w:pPr>
        <w:widowControl/>
        <w:jc w:val="left"/>
      </w:pPr>
      <w:r>
        <w:rPr>
          <w:rFonts w:ascii="Arial" w:hAnsi="Arial"/>
        </w:rPr>
        <w:t>La arquitectura no propone llamadas HTTP entre módulos internos ni microservicios separados en esta etapa. Las transacciones de inventario y préstamo necesitan mantener consistencia, y el equipo aún está construyendo la primera versión del producto.</w:t>
      </w:r>
    </w:p>
    <w:p>
      <w:pPr>
        <w:pStyle w:val="Heading2"/>
      </w:pPr>
      <w:r>
        <w:rPr>
          <w:rFonts w:ascii="Arial" w:hAnsi="Arial"/>
        </w:rPr>
        <w:t>Tecnologías propuestas</w:t>
      </w:r>
    </w:p>
    <w:tbl>
      <w:tblPr>
        <w:tblW w:type="auto" w:w="0"/>
        <w:jc w:val="center"/>
        <w:tblLayout w:type="fixed"/>
        <w:tblLook w:firstColumn="1" w:firstRow="1" w:lastColumn="0" w:lastRow="0" w:noHBand="0" w:noVBand="1" w:val="04A0"/>
        <w:tblBorders>
          <w:top w:val="single" w:sz="5" w:space="0" w:color="D4DCE3"/>
          <w:left w:val="single" w:sz="5" w:space="0" w:color="D4DCE3"/>
          <w:bottom w:val="single" w:sz="5" w:space="0" w:color="D4DCE3"/>
          <w:right w:val="single" w:sz="5" w:space="0" w:color="D4DCE3"/>
          <w:insideH w:val="single" w:sz="5" w:space="0" w:color="D4DCE3"/>
          <w:insideV w:val="single" w:sz="5" w:space="0" w:color="D4DCE3"/>
        </w:tblBorders>
      </w:tblPr>
      <w:tblGrid>
        <w:gridCol w:w="3293"/>
        <w:gridCol w:w="3293"/>
        <w:gridCol w:w="3293"/>
      </w:tblGrid>
      <w:tr>
        <w:trPr>
          <w:tblHeader w:val="true"/>
          <w:cantSplit/>
        </w:trPr>
        <w:tc>
          <w:tcPr>
            <w:tcW w:type="dxa" w:w="2592"/>
            <w:vAlign w:val="center"/>
            <w:tcMar>
              <w:top w:w="110" w:type="dxa"/>
              <w:start w:w="110" w:type="dxa"/>
              <w:bottom w:w="110" w:type="dxa"/>
              <w:end w:w="110" w:type="dxa"/>
            </w:tcMar>
            <w:shd w:fill="17324D"/>
          </w:tcPr>
          <w:p>
            <w:pPr>
              <w:spacing w:after="20" w:line="247" w:lineRule="auto"/>
            </w:pPr>
            <w:r>
              <w:rPr>
                <w:rFonts w:ascii="Arial" w:hAnsi="Arial"/>
                <w:b/>
                <w:color w:val="FFFFFF"/>
                <w:sz w:val="17"/>
              </w:rPr>
              <w:t>Componente</w:t>
            </w:r>
          </w:p>
        </w:tc>
        <w:tc>
          <w:tcPr>
            <w:tcW w:type="dxa" w:w="5112"/>
            <w:vAlign w:val="center"/>
            <w:tcMar>
              <w:top w:w="110" w:type="dxa"/>
              <w:start w:w="110" w:type="dxa"/>
              <w:bottom w:w="110" w:type="dxa"/>
              <w:end w:w="110" w:type="dxa"/>
            </w:tcMar>
            <w:shd w:fill="17324D"/>
          </w:tcPr>
          <w:p>
            <w:pPr>
              <w:spacing w:after="20" w:line="247" w:lineRule="auto"/>
            </w:pPr>
            <w:r>
              <w:rPr>
                <w:rFonts w:ascii="Arial" w:hAnsi="Arial"/>
                <w:b/>
                <w:color w:val="FFFFFF"/>
                <w:sz w:val="17"/>
              </w:rPr>
              <w:t>Tecnología</w:t>
            </w:r>
          </w:p>
        </w:tc>
        <w:tc>
          <w:tcPr>
            <w:tcW w:type="dxa" w:w="2808"/>
            <w:vAlign w:val="center"/>
            <w:tcMar>
              <w:top w:w="110" w:type="dxa"/>
              <w:start w:w="110" w:type="dxa"/>
              <w:bottom w:w="110" w:type="dxa"/>
              <w:end w:w="110" w:type="dxa"/>
            </w:tcMar>
            <w:shd w:fill="17324D"/>
          </w:tcPr>
          <w:p>
            <w:pPr>
              <w:spacing w:after="20" w:line="247" w:lineRule="auto"/>
            </w:pPr>
            <w:r>
              <w:rPr>
                <w:rFonts w:ascii="Arial" w:hAnsi="Arial"/>
                <w:b/>
                <w:color w:val="FFFFFF"/>
                <w:sz w:val="17"/>
              </w:rPr>
              <w:t>Uso en el sistema</w:t>
            </w:r>
          </w:p>
        </w:tc>
      </w:tr>
      <w:tr>
        <w:trPr>
          <w:cantSplit/>
        </w:trPr>
        <w:tc>
          <w:tcPr>
            <w:tcW w:type="dxa" w:w="2592"/>
            <w:vAlign w:val="center"/>
            <w:tcMar>
              <w:top w:w="110" w:type="dxa"/>
              <w:start w:w="110" w:type="dxa"/>
              <w:bottom w:w="110" w:type="dxa"/>
              <w:end w:w="110" w:type="dxa"/>
            </w:tcMar>
          </w:tcPr>
          <w:p>
            <w:pPr>
              <w:spacing w:after="20" w:line="247" w:lineRule="auto"/>
            </w:pPr>
            <w:r>
              <w:rPr>
                <w:rFonts w:ascii="Arial" w:hAnsi="Arial"/>
                <w:color w:val="1D2730"/>
                <w:sz w:val="17"/>
              </w:rPr>
              <w:t>Lenguaje</w:t>
            </w:r>
          </w:p>
        </w:tc>
        <w:tc>
          <w:tcPr>
            <w:tcW w:type="dxa" w:w="5112"/>
            <w:vAlign w:val="center"/>
            <w:tcMar>
              <w:top w:w="110" w:type="dxa"/>
              <w:start w:w="110" w:type="dxa"/>
              <w:bottom w:w="110" w:type="dxa"/>
              <w:end w:w="110" w:type="dxa"/>
            </w:tcMar>
          </w:tcPr>
          <w:p>
            <w:pPr>
              <w:spacing w:after="20" w:line="247" w:lineRule="auto"/>
            </w:pPr>
            <w:r>
              <w:rPr>
                <w:rFonts w:ascii="Arial" w:hAnsi="Arial"/>
                <w:color w:val="1D2730"/>
                <w:sz w:val="17"/>
              </w:rPr>
              <w:t>Python 3.13 o superior</w:t>
            </w:r>
          </w:p>
        </w:tc>
        <w:tc>
          <w:tcPr>
            <w:tcW w:type="dxa" w:w="2808"/>
            <w:vAlign w:val="center"/>
            <w:tcMar>
              <w:top w:w="110" w:type="dxa"/>
              <w:start w:w="110" w:type="dxa"/>
              <w:bottom w:w="110" w:type="dxa"/>
              <w:end w:w="110" w:type="dxa"/>
            </w:tcMar>
          </w:tcPr>
          <w:p>
            <w:pPr>
              <w:spacing w:after="20" w:line="247" w:lineRule="auto"/>
            </w:pPr>
            <w:r>
              <w:rPr>
                <w:rFonts w:ascii="Arial" w:hAnsi="Arial"/>
                <w:color w:val="1D2730"/>
                <w:sz w:val="17"/>
              </w:rPr>
              <w:t>Reglas, casos de uso y API</w:t>
            </w:r>
          </w:p>
        </w:tc>
      </w:tr>
      <w:tr>
        <w:trPr>
          <w:cantSplit/>
        </w:trPr>
        <w:tc>
          <w:tcPr>
            <w:tcW w:type="dxa" w:w="2592"/>
            <w:vAlign w:val="center"/>
            <w:tcMar>
              <w:top w:w="110" w:type="dxa"/>
              <w:start w:w="110" w:type="dxa"/>
              <w:bottom w:w="110" w:type="dxa"/>
              <w:end w:w="110" w:type="dxa"/>
            </w:tcMar>
            <w:shd w:fill="EAF1F7"/>
          </w:tcPr>
          <w:p>
            <w:pPr>
              <w:spacing w:after="20" w:line="247" w:lineRule="auto"/>
            </w:pPr>
            <w:r>
              <w:rPr>
                <w:rFonts w:ascii="Arial" w:hAnsi="Arial"/>
                <w:color w:val="1D2730"/>
                <w:sz w:val="17"/>
              </w:rPr>
              <w:t>API</w:t>
            </w:r>
          </w:p>
        </w:tc>
        <w:tc>
          <w:tcPr>
            <w:tcW w:type="dxa" w:w="5112"/>
            <w:vAlign w:val="center"/>
            <w:tcMar>
              <w:top w:w="110" w:type="dxa"/>
              <w:start w:w="110" w:type="dxa"/>
              <w:bottom w:w="110" w:type="dxa"/>
              <w:end w:w="110" w:type="dxa"/>
            </w:tcMar>
            <w:shd w:fill="EAF1F7"/>
          </w:tcPr>
          <w:p>
            <w:pPr>
              <w:spacing w:after="20" w:line="247" w:lineRule="auto"/>
            </w:pPr>
            <w:r>
              <w:rPr>
                <w:rFonts w:ascii="Arial" w:hAnsi="Arial"/>
                <w:color w:val="1D2730"/>
                <w:sz w:val="17"/>
              </w:rPr>
              <w:t>FastAPI y Pydantic</w:t>
            </w:r>
          </w:p>
        </w:tc>
        <w:tc>
          <w:tcPr>
            <w:tcW w:type="dxa" w:w="2808"/>
            <w:vAlign w:val="center"/>
            <w:tcMar>
              <w:top w:w="110" w:type="dxa"/>
              <w:start w:w="110" w:type="dxa"/>
              <w:bottom w:w="110" w:type="dxa"/>
              <w:end w:w="110" w:type="dxa"/>
            </w:tcMar>
            <w:shd w:fill="EAF1F7"/>
          </w:tcPr>
          <w:p>
            <w:pPr>
              <w:spacing w:after="20" w:line="247" w:lineRule="auto"/>
            </w:pPr>
            <w:r>
              <w:rPr>
                <w:rFonts w:ascii="Arial" w:hAnsi="Arial"/>
                <w:color w:val="1D2730"/>
                <w:sz w:val="17"/>
              </w:rPr>
              <w:t>Rutas HTTP, validación y OpenAPI</w:t>
            </w:r>
          </w:p>
        </w:tc>
      </w:tr>
      <w:tr>
        <w:trPr>
          <w:cantSplit/>
        </w:trPr>
        <w:tc>
          <w:tcPr>
            <w:tcW w:type="dxa" w:w="2592"/>
            <w:vAlign w:val="center"/>
            <w:tcMar>
              <w:top w:w="110" w:type="dxa"/>
              <w:start w:w="110" w:type="dxa"/>
              <w:bottom w:w="110" w:type="dxa"/>
              <w:end w:w="110" w:type="dxa"/>
            </w:tcMar>
          </w:tcPr>
          <w:p>
            <w:pPr>
              <w:spacing w:after="20" w:line="247" w:lineRule="auto"/>
            </w:pPr>
            <w:r>
              <w:rPr>
                <w:rFonts w:ascii="Arial" w:hAnsi="Arial"/>
                <w:color w:val="1D2730"/>
                <w:sz w:val="17"/>
              </w:rPr>
              <w:t>Base de datos</w:t>
            </w:r>
          </w:p>
        </w:tc>
        <w:tc>
          <w:tcPr>
            <w:tcW w:type="dxa" w:w="5112"/>
            <w:vAlign w:val="center"/>
            <w:tcMar>
              <w:top w:w="110" w:type="dxa"/>
              <w:start w:w="110" w:type="dxa"/>
              <w:bottom w:w="110" w:type="dxa"/>
              <w:end w:w="110" w:type="dxa"/>
            </w:tcMar>
          </w:tcPr>
          <w:p>
            <w:pPr>
              <w:spacing w:after="20" w:line="247" w:lineRule="auto"/>
            </w:pPr>
            <w:r>
              <w:rPr>
                <w:rFonts w:ascii="Arial" w:hAnsi="Arial"/>
                <w:color w:val="1D2730"/>
                <w:sz w:val="17"/>
              </w:rPr>
              <w:t>PostgreSQL</w:t>
            </w:r>
          </w:p>
        </w:tc>
        <w:tc>
          <w:tcPr>
            <w:tcW w:type="dxa" w:w="2808"/>
            <w:vAlign w:val="center"/>
            <w:tcMar>
              <w:top w:w="110" w:type="dxa"/>
              <w:start w:w="110" w:type="dxa"/>
              <w:bottom w:w="110" w:type="dxa"/>
              <w:end w:w="110" w:type="dxa"/>
            </w:tcMar>
          </w:tcPr>
          <w:p>
            <w:pPr>
              <w:spacing w:after="20" w:line="247" w:lineRule="auto"/>
            </w:pPr>
            <w:r>
              <w:rPr>
                <w:rFonts w:ascii="Arial" w:hAnsi="Arial"/>
                <w:color w:val="1D2730"/>
                <w:sz w:val="17"/>
              </w:rPr>
              <w:t>Persistencia relacional y restricciones</w:t>
            </w:r>
          </w:p>
        </w:tc>
      </w:tr>
      <w:tr>
        <w:trPr>
          <w:cantSplit/>
        </w:trPr>
        <w:tc>
          <w:tcPr>
            <w:tcW w:type="dxa" w:w="2592"/>
            <w:vAlign w:val="center"/>
            <w:tcMar>
              <w:top w:w="110" w:type="dxa"/>
              <w:start w:w="110" w:type="dxa"/>
              <w:bottom w:w="110" w:type="dxa"/>
              <w:end w:w="110" w:type="dxa"/>
            </w:tcMar>
            <w:shd w:fill="EAF1F7"/>
          </w:tcPr>
          <w:p>
            <w:pPr>
              <w:spacing w:after="20" w:line="247" w:lineRule="auto"/>
            </w:pPr>
            <w:r>
              <w:rPr>
                <w:rFonts w:ascii="Arial" w:hAnsi="Arial"/>
                <w:color w:val="1D2730"/>
                <w:sz w:val="17"/>
              </w:rPr>
              <w:t>Acceso a datos</w:t>
            </w:r>
          </w:p>
        </w:tc>
        <w:tc>
          <w:tcPr>
            <w:tcW w:type="dxa" w:w="5112"/>
            <w:vAlign w:val="center"/>
            <w:tcMar>
              <w:top w:w="110" w:type="dxa"/>
              <w:start w:w="110" w:type="dxa"/>
              <w:bottom w:w="110" w:type="dxa"/>
              <w:end w:w="110" w:type="dxa"/>
            </w:tcMar>
            <w:shd w:fill="EAF1F7"/>
          </w:tcPr>
          <w:p>
            <w:pPr>
              <w:spacing w:after="20" w:line="247" w:lineRule="auto"/>
            </w:pPr>
            <w:r>
              <w:rPr>
                <w:rFonts w:ascii="Arial" w:hAnsi="Arial"/>
                <w:color w:val="1D2730"/>
                <w:sz w:val="17"/>
              </w:rPr>
              <w:t>SQLAlchemy 2 y Psycopg 3</w:t>
            </w:r>
          </w:p>
        </w:tc>
        <w:tc>
          <w:tcPr>
            <w:tcW w:type="dxa" w:w="2808"/>
            <w:vAlign w:val="center"/>
            <w:tcMar>
              <w:top w:w="110" w:type="dxa"/>
              <w:start w:w="110" w:type="dxa"/>
              <w:bottom w:w="110" w:type="dxa"/>
              <w:end w:w="110" w:type="dxa"/>
            </w:tcMar>
            <w:shd w:fill="EAF1F7"/>
          </w:tcPr>
          <w:p>
            <w:pPr>
              <w:spacing w:after="20" w:line="247" w:lineRule="auto"/>
            </w:pPr>
            <w:r>
              <w:rPr>
                <w:rFonts w:ascii="Arial" w:hAnsi="Arial"/>
                <w:color w:val="1D2730"/>
                <w:sz w:val="17"/>
              </w:rPr>
              <w:t>Mapeo y transacciones</w:t>
            </w:r>
          </w:p>
        </w:tc>
      </w:tr>
      <w:tr>
        <w:trPr>
          <w:cantSplit/>
        </w:trPr>
        <w:tc>
          <w:tcPr>
            <w:tcW w:type="dxa" w:w="2592"/>
            <w:vAlign w:val="center"/>
            <w:tcMar>
              <w:top w:w="110" w:type="dxa"/>
              <w:start w:w="110" w:type="dxa"/>
              <w:bottom w:w="110" w:type="dxa"/>
              <w:end w:w="110" w:type="dxa"/>
            </w:tcMar>
          </w:tcPr>
          <w:p>
            <w:pPr>
              <w:spacing w:after="20" w:line="247" w:lineRule="auto"/>
            </w:pPr>
            <w:r>
              <w:rPr>
                <w:rFonts w:ascii="Arial" w:hAnsi="Arial"/>
                <w:color w:val="1D2730"/>
                <w:sz w:val="17"/>
              </w:rPr>
              <w:t>Migraciones</w:t>
            </w:r>
          </w:p>
        </w:tc>
        <w:tc>
          <w:tcPr>
            <w:tcW w:type="dxa" w:w="5112"/>
            <w:vAlign w:val="center"/>
            <w:tcMar>
              <w:top w:w="110" w:type="dxa"/>
              <w:start w:w="110" w:type="dxa"/>
              <w:bottom w:w="110" w:type="dxa"/>
              <w:end w:w="110" w:type="dxa"/>
            </w:tcMar>
          </w:tcPr>
          <w:p>
            <w:pPr>
              <w:spacing w:after="20" w:line="247" w:lineRule="auto"/>
            </w:pPr>
            <w:r>
              <w:rPr>
                <w:rFonts w:ascii="Arial" w:hAnsi="Arial"/>
                <w:color w:val="1D2730"/>
                <w:sz w:val="17"/>
              </w:rPr>
              <w:t>Alembic</w:t>
            </w:r>
          </w:p>
        </w:tc>
        <w:tc>
          <w:tcPr>
            <w:tcW w:type="dxa" w:w="2808"/>
            <w:vAlign w:val="center"/>
            <w:tcMar>
              <w:top w:w="110" w:type="dxa"/>
              <w:start w:w="110" w:type="dxa"/>
              <w:bottom w:w="110" w:type="dxa"/>
              <w:end w:w="110" w:type="dxa"/>
            </w:tcMar>
          </w:tcPr>
          <w:p>
            <w:pPr>
              <w:spacing w:after="20" w:line="247" w:lineRule="auto"/>
            </w:pPr>
            <w:r>
              <w:rPr>
                <w:rFonts w:ascii="Arial" w:hAnsi="Arial"/>
                <w:color w:val="1D2730"/>
                <w:sz w:val="17"/>
              </w:rPr>
              <w:t>Evolución versionada del esquema</w:t>
            </w:r>
          </w:p>
        </w:tc>
      </w:tr>
      <w:tr>
        <w:trPr>
          <w:cantSplit/>
        </w:trPr>
        <w:tc>
          <w:tcPr>
            <w:tcW w:type="dxa" w:w="2592"/>
            <w:vAlign w:val="center"/>
            <w:tcMar>
              <w:top w:w="110" w:type="dxa"/>
              <w:start w:w="110" w:type="dxa"/>
              <w:bottom w:w="110" w:type="dxa"/>
              <w:end w:w="110" w:type="dxa"/>
            </w:tcMar>
            <w:shd w:fill="EAF1F7"/>
          </w:tcPr>
          <w:p>
            <w:pPr>
              <w:spacing w:after="20" w:line="247" w:lineRule="auto"/>
            </w:pPr>
            <w:r>
              <w:rPr>
                <w:rFonts w:ascii="Arial" w:hAnsi="Arial"/>
                <w:color w:val="1D2730"/>
                <w:sz w:val="17"/>
              </w:rPr>
              <w:t>Autenticación</w:t>
            </w:r>
          </w:p>
        </w:tc>
        <w:tc>
          <w:tcPr>
            <w:tcW w:type="dxa" w:w="5112"/>
            <w:vAlign w:val="center"/>
            <w:tcMar>
              <w:top w:w="110" w:type="dxa"/>
              <w:start w:w="110" w:type="dxa"/>
              <w:bottom w:w="110" w:type="dxa"/>
              <w:end w:w="110" w:type="dxa"/>
            </w:tcMar>
            <w:shd w:fill="EAF1F7"/>
          </w:tcPr>
          <w:p>
            <w:pPr>
              <w:spacing w:after="20" w:line="247" w:lineRule="auto"/>
            </w:pPr>
            <w:r>
              <w:rPr>
                <w:rFonts w:ascii="Arial" w:hAnsi="Arial"/>
                <w:color w:val="1D2730"/>
                <w:sz w:val="17"/>
              </w:rPr>
              <w:t>Hash Argon2id y tokens de acceso</w:t>
            </w:r>
          </w:p>
        </w:tc>
        <w:tc>
          <w:tcPr>
            <w:tcW w:type="dxa" w:w="2808"/>
            <w:vAlign w:val="center"/>
            <w:tcMar>
              <w:top w:w="110" w:type="dxa"/>
              <w:start w:w="110" w:type="dxa"/>
              <w:bottom w:w="110" w:type="dxa"/>
              <w:end w:w="110" w:type="dxa"/>
            </w:tcMar>
            <w:shd w:fill="EAF1F7"/>
          </w:tcPr>
          <w:p>
            <w:pPr>
              <w:spacing w:after="20" w:line="247" w:lineRule="auto"/>
            </w:pPr>
            <w:r>
              <w:rPr>
                <w:rFonts w:ascii="Arial" w:hAnsi="Arial"/>
                <w:color w:val="1D2730"/>
                <w:sz w:val="17"/>
              </w:rPr>
              <w:t>Credenciales y sesiones de API; diseño por concretar</w:t>
            </w:r>
          </w:p>
        </w:tc>
      </w:tr>
      <w:tr>
        <w:trPr>
          <w:cantSplit/>
        </w:trPr>
        <w:tc>
          <w:tcPr>
            <w:tcW w:type="dxa" w:w="2592"/>
            <w:vAlign w:val="center"/>
            <w:tcMar>
              <w:top w:w="110" w:type="dxa"/>
              <w:start w:w="110" w:type="dxa"/>
              <w:bottom w:w="110" w:type="dxa"/>
              <w:end w:w="110" w:type="dxa"/>
            </w:tcMar>
          </w:tcPr>
          <w:p>
            <w:pPr>
              <w:spacing w:after="20" w:line="247" w:lineRule="auto"/>
            </w:pPr>
            <w:r>
              <w:rPr>
                <w:rFonts w:ascii="Arial" w:hAnsi="Arial"/>
                <w:color w:val="1D2730"/>
                <w:sz w:val="17"/>
              </w:rPr>
              <w:t>Pruebas y calidad</w:t>
            </w:r>
          </w:p>
        </w:tc>
        <w:tc>
          <w:tcPr>
            <w:tcW w:type="dxa" w:w="5112"/>
            <w:vAlign w:val="center"/>
            <w:tcMar>
              <w:top w:w="110" w:type="dxa"/>
              <w:start w:w="110" w:type="dxa"/>
              <w:bottom w:w="110" w:type="dxa"/>
              <w:end w:w="110" w:type="dxa"/>
            </w:tcMar>
          </w:tcPr>
          <w:p>
            <w:pPr>
              <w:spacing w:after="20" w:line="247" w:lineRule="auto"/>
            </w:pPr>
            <w:r>
              <w:rPr>
                <w:rFonts w:ascii="Arial" w:hAnsi="Arial"/>
                <w:color w:val="1D2730"/>
                <w:sz w:val="17"/>
              </w:rPr>
              <w:t>pytest, Ruff y mypy</w:t>
            </w:r>
          </w:p>
        </w:tc>
        <w:tc>
          <w:tcPr>
            <w:tcW w:type="dxa" w:w="2808"/>
            <w:vAlign w:val="center"/>
            <w:tcMar>
              <w:top w:w="110" w:type="dxa"/>
              <w:start w:w="110" w:type="dxa"/>
              <w:bottom w:w="110" w:type="dxa"/>
              <w:end w:w="110" w:type="dxa"/>
            </w:tcMar>
          </w:tcPr>
          <w:p>
            <w:pPr>
              <w:spacing w:after="20" w:line="247" w:lineRule="auto"/>
            </w:pPr>
            <w:r>
              <w:rPr>
                <w:rFonts w:ascii="Arial" w:hAnsi="Arial"/>
                <w:color w:val="1D2730"/>
                <w:sz w:val="17"/>
              </w:rPr>
              <w:t>Pruebas, estilo y tipado</w:t>
            </w:r>
          </w:p>
        </w:tc>
      </w:tr>
      <w:tr>
        <w:trPr>
          <w:cantSplit/>
        </w:trPr>
        <w:tc>
          <w:tcPr>
            <w:tcW w:type="dxa" w:w="2592"/>
            <w:vAlign w:val="center"/>
            <w:tcMar>
              <w:top w:w="110" w:type="dxa"/>
              <w:start w:w="110" w:type="dxa"/>
              <w:bottom w:w="110" w:type="dxa"/>
              <w:end w:w="110" w:type="dxa"/>
            </w:tcMar>
            <w:shd w:fill="EAF1F7"/>
          </w:tcPr>
          <w:p>
            <w:pPr>
              <w:spacing w:after="20" w:line="247" w:lineRule="auto"/>
            </w:pPr>
            <w:r>
              <w:rPr>
                <w:rFonts w:ascii="Arial" w:hAnsi="Arial"/>
                <w:color w:val="1D2730"/>
                <w:sz w:val="17"/>
              </w:rPr>
              <w:t>Entorno local</w:t>
            </w:r>
          </w:p>
        </w:tc>
        <w:tc>
          <w:tcPr>
            <w:tcW w:type="dxa" w:w="5112"/>
            <w:vAlign w:val="center"/>
            <w:tcMar>
              <w:top w:w="110" w:type="dxa"/>
              <w:start w:w="110" w:type="dxa"/>
              <w:bottom w:w="110" w:type="dxa"/>
              <w:end w:w="110" w:type="dxa"/>
            </w:tcMar>
            <w:shd w:fill="EAF1F7"/>
          </w:tcPr>
          <w:p>
            <w:pPr>
              <w:spacing w:after="20" w:line="247" w:lineRule="auto"/>
            </w:pPr>
            <w:r>
              <w:rPr>
                <w:rFonts w:ascii="Arial" w:hAnsi="Arial"/>
                <w:color w:val="1D2730"/>
                <w:sz w:val="17"/>
              </w:rPr>
              <w:t>Docker Compose</w:t>
            </w:r>
          </w:p>
        </w:tc>
        <w:tc>
          <w:tcPr>
            <w:tcW w:type="dxa" w:w="2808"/>
            <w:vAlign w:val="center"/>
            <w:tcMar>
              <w:top w:w="110" w:type="dxa"/>
              <w:start w:w="110" w:type="dxa"/>
              <w:bottom w:w="110" w:type="dxa"/>
              <w:end w:w="110" w:type="dxa"/>
            </w:tcMar>
            <w:shd w:fill="EAF1F7"/>
          </w:tcPr>
          <w:p>
            <w:pPr>
              <w:spacing w:after="20" w:line="247" w:lineRule="auto"/>
            </w:pPr>
            <w:r>
              <w:rPr>
                <w:rFonts w:ascii="Arial" w:hAnsi="Arial"/>
                <w:color w:val="1D2730"/>
                <w:sz w:val="17"/>
              </w:rPr>
              <w:t>Ejecución reproducible de PostgreSQL</w:t>
            </w:r>
          </w:p>
        </w:tc>
      </w:tr>
    </w:tbl>
    <w:p>
      <w:pPr>
        <w:spacing w:after="40"/>
      </w:pPr>
    </w:p>
    <w:p>
      <w:pPr>
        <w:widowControl/>
        <w:jc w:val="left"/>
      </w:pPr>
      <w:r>
        <w:rPr>
          <w:rFonts w:ascii="Arial" w:hAnsi="Arial"/>
        </w:rPr>
        <w:t>Estas tecnologías siguen la propuesta documentada en el repositorio [F4]. La interfaz web no está definida en este informe; debe elegirse cuando los flujos de API e inventario estén estabilizados.</w:t>
      </w:r>
    </w:p>
    <w:p>
      <w:pPr>
        <w:pStyle w:val="Heading2"/>
      </w:pPr>
      <w:r>
        <w:rPr>
          <w:rFonts w:ascii="Arial" w:hAnsi="Arial"/>
        </w:rPr>
        <w:t>Revisión del esquema SQL</w:t>
      </w:r>
    </w:p>
    <w:p>
      <w:pPr>
        <w:widowControl/>
        <w:jc w:val="left"/>
      </w:pPr>
      <w:r>
        <w:rPr>
          <w:rFonts w:ascii="Arial" w:hAnsi="Arial"/>
        </w:rPr>
        <w:t>El esquema es una base concreta para BC-01, BC-03, BC-05 y BC-06. Incluye claves UUID, unicidad de CUI, correo, usuario y código de inventario; restricciones para intervalos; estados de reserva, unidad y préstamo; y datos de entrega, devolución y renovación [F3]. Antes de migrarlo al proyecto conviene cerrar las siguientes decisiones.</w:t>
      </w:r>
    </w:p>
    <w:p>
      <w:r>
        <w:br w:type="page"/>
      </w:r>
    </w:p>
    <w:tbl>
      <w:tblPr>
        <w:tblW w:type="auto" w:w="0"/>
        <w:jc w:val="center"/>
        <w:tblLayout w:type="fixed"/>
        <w:tblLook w:firstColumn="1" w:firstRow="1" w:lastColumn="0" w:lastRow="0" w:noHBand="0" w:noVBand="1" w:val="04A0"/>
        <w:tblBorders>
          <w:top w:val="single" w:sz="5" w:space="0" w:color="D4DCE3"/>
          <w:left w:val="single" w:sz="5" w:space="0" w:color="D4DCE3"/>
          <w:bottom w:val="single" w:sz="5" w:space="0" w:color="D4DCE3"/>
          <w:right w:val="single" w:sz="5" w:space="0" w:color="D4DCE3"/>
          <w:insideH w:val="single" w:sz="5" w:space="0" w:color="D4DCE3"/>
          <w:insideV w:val="single" w:sz="5" w:space="0" w:color="D4DCE3"/>
        </w:tblBorders>
      </w:tblPr>
      <w:tblGrid>
        <w:gridCol w:w="3293"/>
        <w:gridCol w:w="3293"/>
        <w:gridCol w:w="3293"/>
      </w:tblGrid>
      <w:tr>
        <w:trPr>
          <w:tblHeader w:val="true"/>
          <w:cantSplit/>
        </w:trPr>
        <w:tc>
          <w:tcPr>
            <w:tcW w:type="dxa" w:w="2088"/>
            <w:vAlign w:val="center"/>
            <w:tcMar>
              <w:top w:w="110" w:type="dxa"/>
              <w:start w:w="110" w:type="dxa"/>
              <w:bottom w:w="110" w:type="dxa"/>
              <w:end w:w="110" w:type="dxa"/>
            </w:tcMar>
            <w:shd w:fill="17324D"/>
          </w:tcPr>
          <w:p>
            <w:pPr>
              <w:spacing w:after="20" w:line="247" w:lineRule="auto"/>
            </w:pPr>
            <w:r>
              <w:rPr>
                <w:rFonts w:ascii="Arial" w:hAnsi="Arial"/>
                <w:b/>
                <w:color w:val="FFFFFF"/>
                <w:sz w:val="17"/>
              </w:rPr>
              <w:t>Hallazgo</w:t>
            </w:r>
          </w:p>
        </w:tc>
        <w:tc>
          <w:tcPr>
            <w:tcW w:type="dxa" w:w="3672"/>
            <w:vAlign w:val="center"/>
            <w:tcMar>
              <w:top w:w="110" w:type="dxa"/>
              <w:start w:w="110" w:type="dxa"/>
              <w:bottom w:w="110" w:type="dxa"/>
              <w:end w:w="110" w:type="dxa"/>
            </w:tcMar>
            <w:shd w:fill="17324D"/>
          </w:tcPr>
          <w:p>
            <w:pPr>
              <w:spacing w:after="20" w:line="247" w:lineRule="auto"/>
            </w:pPr>
            <w:r>
              <w:rPr>
                <w:rFonts w:ascii="Arial" w:hAnsi="Arial"/>
                <w:b/>
                <w:color w:val="FFFFFF"/>
                <w:sz w:val="17"/>
              </w:rPr>
              <w:t>Consecuencia</w:t>
            </w:r>
          </w:p>
        </w:tc>
        <w:tc>
          <w:tcPr>
            <w:tcW w:type="dxa" w:w="4118"/>
            <w:vAlign w:val="center"/>
            <w:tcMar>
              <w:top w:w="110" w:type="dxa"/>
              <w:start w:w="110" w:type="dxa"/>
              <w:bottom w:w="110" w:type="dxa"/>
              <w:end w:w="110" w:type="dxa"/>
            </w:tcMar>
            <w:shd w:fill="17324D"/>
          </w:tcPr>
          <w:p>
            <w:pPr>
              <w:spacing w:after="20" w:line="247" w:lineRule="auto"/>
            </w:pPr>
            <w:r>
              <w:rPr>
                <w:rFonts w:ascii="Arial" w:hAnsi="Arial"/>
                <w:b/>
                <w:color w:val="FFFFFF"/>
                <w:sz w:val="17"/>
              </w:rPr>
              <w:t>Acción recomendada</w:t>
            </w:r>
          </w:p>
        </w:tc>
      </w:tr>
      <w:tr>
        <w:trPr>
          <w:cantSplit/>
        </w:trPr>
        <w:tc>
          <w:tcPr>
            <w:tcW w:type="dxa" w:w="2088"/>
            <w:vAlign w:val="center"/>
            <w:tcMar>
              <w:top w:w="110" w:type="dxa"/>
              <w:start w:w="110" w:type="dxa"/>
              <w:bottom w:w="110" w:type="dxa"/>
              <w:end w:w="110" w:type="dxa"/>
            </w:tcMar>
          </w:tcPr>
          <w:p>
            <w:pPr>
              <w:spacing w:after="20" w:line="247" w:lineRule="auto"/>
            </w:pPr>
            <w:r>
              <w:rPr>
                <w:rFonts w:ascii="Arial" w:hAnsi="Arial"/>
                <w:color w:val="1D2730"/>
                <w:sz w:val="17"/>
              </w:rPr>
              <w:t>idx_prestamo_unidad</w:t>
            </w:r>
            <w:r>
              <w:rPr>
                <w:rFonts w:ascii="Arial" w:hAnsi="Arial"/>
                <w:color w:val="1D2730"/>
                <w:sz w:val="17"/>
              </w:rPr>
              <w:t xml:space="preserve"> es un índice parcial no único.</w:t>
            </w:r>
          </w:p>
        </w:tc>
        <w:tc>
          <w:tcPr>
            <w:tcW w:type="dxa" w:w="3672"/>
            <w:vAlign w:val="center"/>
            <w:tcMar>
              <w:top w:w="110" w:type="dxa"/>
              <w:start w:w="110" w:type="dxa"/>
              <w:bottom w:w="110" w:type="dxa"/>
              <w:end w:w="110" w:type="dxa"/>
            </w:tcMar>
          </w:tcPr>
          <w:p>
            <w:pPr>
              <w:spacing w:after="20" w:line="247" w:lineRule="auto"/>
            </w:pPr>
            <w:r>
              <w:rPr>
                <w:rFonts w:ascii="Arial" w:hAnsi="Arial"/>
                <w:color w:val="1D2730"/>
                <w:sz w:val="17"/>
              </w:rPr>
              <w:t>La base permite más de un préstamo activo o vencido sobre la misma unidad.</w:t>
            </w:r>
          </w:p>
        </w:tc>
        <w:tc>
          <w:tcPr>
            <w:tcW w:type="dxa" w:w="4118"/>
            <w:vAlign w:val="center"/>
            <w:tcMar>
              <w:top w:w="110" w:type="dxa"/>
              <w:start w:w="110" w:type="dxa"/>
              <w:bottom w:w="110" w:type="dxa"/>
              <w:end w:w="110" w:type="dxa"/>
            </w:tcMar>
          </w:tcPr>
          <w:p>
            <w:pPr>
              <w:spacing w:after="20" w:line="247" w:lineRule="auto"/>
            </w:pPr>
            <w:r>
              <w:rPr>
                <w:rFonts w:ascii="Arial" w:hAnsi="Arial"/>
                <w:color w:val="1D2730"/>
                <w:sz w:val="17"/>
              </w:rPr>
              <w:t>Si la regla se confirma, reemplazarlo por un índice único parcial o una restricción equivalente.</w:t>
            </w:r>
          </w:p>
        </w:tc>
      </w:tr>
      <w:tr>
        <w:trPr>
          <w:cantSplit/>
        </w:trPr>
        <w:tc>
          <w:tcPr>
            <w:tcW w:type="dxa" w:w="2088"/>
            <w:vAlign w:val="center"/>
            <w:tcMar>
              <w:top w:w="110" w:type="dxa"/>
              <w:start w:w="110" w:type="dxa"/>
              <w:bottom w:w="110" w:type="dxa"/>
              <w:end w:w="110" w:type="dxa"/>
            </w:tcMar>
            <w:shd w:fill="EAF1F7"/>
          </w:tcPr>
          <w:p>
            <w:pPr>
              <w:spacing w:after="20" w:line="247" w:lineRule="auto"/>
            </w:pPr>
            <w:r>
              <w:rPr>
                <w:rFonts w:ascii="Arial" w:hAnsi="Arial"/>
                <w:color w:val="1D2730"/>
                <w:sz w:val="17"/>
              </w:rPr>
              <w:t xml:space="preserve">El préstamo inicia como </w:t>
            </w:r>
            <w:r>
              <w:rPr>
                <w:rFonts w:ascii="Arial" w:hAnsi="Arial"/>
                <w:color w:val="1D2730"/>
                <w:sz w:val="17"/>
              </w:rPr>
              <w:t>ACTIVO</w:t>
            </w:r>
            <w:r>
              <w:rPr>
                <w:rFonts w:ascii="Arial" w:hAnsi="Arial"/>
                <w:color w:val="1D2730"/>
                <w:sz w:val="17"/>
              </w:rPr>
              <w:t>, aunque los datos de entrega pueden ser nulos.</w:t>
            </w:r>
          </w:p>
        </w:tc>
        <w:tc>
          <w:tcPr>
            <w:tcW w:type="dxa" w:w="3672"/>
            <w:vAlign w:val="center"/>
            <w:tcMar>
              <w:top w:w="110" w:type="dxa"/>
              <w:start w:w="110" w:type="dxa"/>
              <w:bottom w:w="110" w:type="dxa"/>
              <w:end w:w="110" w:type="dxa"/>
            </w:tcMar>
            <w:shd w:fill="EAF1F7"/>
          </w:tcPr>
          <w:p>
            <w:pPr>
              <w:spacing w:after="20" w:line="247" w:lineRule="auto"/>
            </w:pPr>
            <w:r>
              <w:rPr>
                <w:rFonts w:ascii="Arial" w:hAnsi="Arial"/>
                <w:color w:val="1D2730"/>
                <w:sz w:val="17"/>
              </w:rPr>
              <w:t>Puede existir un préstamo aparentemente activo antes de entregar físicamente el bien.</w:t>
            </w:r>
          </w:p>
        </w:tc>
        <w:tc>
          <w:tcPr>
            <w:tcW w:type="dxa" w:w="4118"/>
            <w:vAlign w:val="center"/>
            <w:tcMar>
              <w:top w:w="110" w:type="dxa"/>
              <w:start w:w="110" w:type="dxa"/>
              <w:bottom w:w="110" w:type="dxa"/>
              <w:end w:w="110" w:type="dxa"/>
            </w:tcMar>
            <w:shd w:fill="EAF1F7"/>
          </w:tcPr>
          <w:p>
            <w:pPr>
              <w:spacing w:after="20" w:line="247" w:lineRule="auto"/>
            </w:pPr>
            <w:r>
              <w:rPr>
                <w:rFonts w:ascii="Arial" w:hAnsi="Arial"/>
                <w:color w:val="1D2730"/>
                <w:sz w:val="17"/>
              </w:rPr>
              <w:t>Definir un estado previo a la entrega o activar el préstamo al confirmar la entrega.</w:t>
            </w:r>
          </w:p>
        </w:tc>
      </w:tr>
      <w:tr>
        <w:trPr>
          <w:cantSplit/>
        </w:trPr>
        <w:tc>
          <w:tcPr>
            <w:tcW w:type="dxa" w:w="2088"/>
            <w:vAlign w:val="center"/>
            <w:tcMar>
              <w:top w:w="110" w:type="dxa"/>
              <w:start w:w="110" w:type="dxa"/>
              <w:bottom w:w="110" w:type="dxa"/>
              <w:end w:w="110" w:type="dxa"/>
            </w:tcMar>
          </w:tcPr>
          <w:p>
            <w:pPr>
              <w:spacing w:after="20" w:line="247" w:lineRule="auto"/>
            </w:pPr>
            <w:r>
              <w:rPr>
                <w:rFonts w:ascii="Arial" w:hAnsi="Arial"/>
                <w:color w:val="1D2730"/>
                <w:sz w:val="17"/>
              </w:rPr>
              <w:t>Reserva y préstamo se enlazan en ambos sentidos.</w:t>
            </w:r>
          </w:p>
        </w:tc>
        <w:tc>
          <w:tcPr>
            <w:tcW w:type="dxa" w:w="3672"/>
            <w:vAlign w:val="center"/>
            <w:tcMar>
              <w:top w:w="110" w:type="dxa"/>
              <w:start w:w="110" w:type="dxa"/>
              <w:bottom w:w="110" w:type="dxa"/>
              <w:end w:w="110" w:type="dxa"/>
            </w:tcMar>
          </w:tcPr>
          <w:p>
            <w:pPr>
              <w:spacing w:after="20" w:line="247" w:lineRule="auto"/>
            </w:pPr>
            <w:r>
              <w:rPr>
                <w:rFonts w:ascii="Arial" w:hAnsi="Arial"/>
                <w:color w:val="1D2730"/>
                <w:sz w:val="17"/>
              </w:rPr>
              <w:t>Se crean dos referencias para representar el préstamo generado por una reserva.</w:t>
            </w:r>
          </w:p>
        </w:tc>
        <w:tc>
          <w:tcPr>
            <w:tcW w:type="dxa" w:w="4118"/>
            <w:vAlign w:val="center"/>
            <w:tcMar>
              <w:top w:w="110" w:type="dxa"/>
              <w:start w:w="110" w:type="dxa"/>
              <w:bottom w:w="110" w:type="dxa"/>
              <w:end w:w="110" w:type="dxa"/>
            </w:tcMar>
          </w:tcPr>
          <w:p>
            <w:pPr>
              <w:spacing w:after="20" w:line="247" w:lineRule="auto"/>
            </w:pPr>
            <w:r>
              <w:rPr>
                <w:rFonts w:ascii="Arial" w:hAnsi="Arial"/>
                <w:color w:val="1D2730"/>
                <w:sz w:val="17"/>
              </w:rPr>
              <w:t>Elegir una relación autoritativa y conservar la otra solo si hay una necesidad de consulta clara.</w:t>
            </w:r>
          </w:p>
        </w:tc>
      </w:tr>
      <w:tr>
        <w:trPr>
          <w:cantSplit/>
        </w:trPr>
        <w:tc>
          <w:tcPr>
            <w:tcW w:type="dxa" w:w="2088"/>
            <w:vAlign w:val="center"/>
            <w:tcMar>
              <w:top w:w="110" w:type="dxa"/>
              <w:start w:w="110" w:type="dxa"/>
              <w:bottom w:w="110" w:type="dxa"/>
              <w:end w:w="110" w:type="dxa"/>
            </w:tcMar>
            <w:shd w:fill="EAF1F7"/>
          </w:tcPr>
          <w:p>
            <w:pPr>
              <w:spacing w:after="20" w:line="247" w:lineRule="auto"/>
            </w:pPr>
            <w:r>
              <w:rPr>
                <w:rFonts w:ascii="Arial" w:hAnsi="Arial"/>
                <w:color w:val="1D2730"/>
                <w:sz w:val="17"/>
              </w:rPr>
              <w:t>unidad_tiempo</w:t>
            </w:r>
            <w:r>
              <w:rPr>
                <w:rFonts w:ascii="Arial" w:hAnsi="Arial"/>
                <w:color w:val="1D2730"/>
                <w:sz w:val="17"/>
              </w:rPr>
              <w:t xml:space="preserve"> está declarado, pero no se usa; no hay tablas de políticas.</w:t>
            </w:r>
          </w:p>
        </w:tc>
        <w:tc>
          <w:tcPr>
            <w:tcW w:type="dxa" w:w="3672"/>
            <w:vAlign w:val="center"/>
            <w:tcMar>
              <w:top w:w="110" w:type="dxa"/>
              <w:start w:w="110" w:type="dxa"/>
              <w:bottom w:w="110" w:type="dxa"/>
              <w:end w:w="110" w:type="dxa"/>
            </w:tcMar>
            <w:shd w:fill="EAF1F7"/>
          </w:tcPr>
          <w:p>
            <w:pPr>
              <w:spacing w:after="20" w:line="247" w:lineRule="auto"/>
            </w:pPr>
            <w:r>
              <w:rPr>
                <w:rFonts w:ascii="Arial" w:hAnsi="Arial"/>
                <w:color w:val="1D2730"/>
                <w:sz w:val="17"/>
              </w:rPr>
              <w:t>El esquema no permite calcular el plazo permitido según perfil o tipo de bien.</w:t>
            </w:r>
          </w:p>
        </w:tc>
        <w:tc>
          <w:tcPr>
            <w:tcW w:type="dxa" w:w="4118"/>
            <w:vAlign w:val="center"/>
            <w:tcMar>
              <w:top w:w="110" w:type="dxa"/>
              <w:start w:w="110" w:type="dxa"/>
              <w:bottom w:w="110" w:type="dxa"/>
              <w:end w:w="110" w:type="dxa"/>
            </w:tcMar>
            <w:shd w:fill="EAF1F7"/>
          </w:tcPr>
          <w:p>
            <w:pPr>
              <w:spacing w:after="20" w:line="247" w:lineRule="auto"/>
            </w:pPr>
            <w:r>
              <w:rPr>
                <w:rFonts w:ascii="Arial" w:hAnsi="Arial"/>
                <w:color w:val="1D2730"/>
                <w:sz w:val="17"/>
              </w:rPr>
              <w:t>Incorporar BC-04 y guardar en el préstamo una copia de las condiciones aplicadas.</w:t>
            </w:r>
          </w:p>
        </w:tc>
      </w:tr>
      <w:tr>
        <w:trPr>
          <w:cantSplit/>
        </w:trPr>
        <w:tc>
          <w:tcPr>
            <w:tcW w:type="dxa" w:w="2088"/>
            <w:vAlign w:val="center"/>
            <w:tcMar>
              <w:top w:w="110" w:type="dxa"/>
              <w:start w:w="110" w:type="dxa"/>
              <w:bottom w:w="110" w:type="dxa"/>
              <w:end w:w="110" w:type="dxa"/>
            </w:tcMar>
          </w:tcPr>
          <w:p>
            <w:pPr>
              <w:spacing w:after="20" w:line="247" w:lineRule="auto"/>
            </w:pPr>
            <w:r>
              <w:rPr>
                <w:rFonts w:ascii="Arial" w:hAnsi="Arial"/>
                <w:color w:val="1D2730"/>
                <w:sz w:val="17"/>
              </w:rPr>
              <w:t xml:space="preserve">La persona tiene un </w:t>
            </w:r>
            <w:r>
              <w:rPr>
                <w:rFonts w:ascii="Arial" w:hAnsi="Arial"/>
                <w:color w:val="1D2730"/>
                <w:sz w:val="17"/>
              </w:rPr>
              <w:t>rol_base</w:t>
            </w:r>
            <w:r>
              <w:rPr>
                <w:rFonts w:ascii="Arial" w:hAnsi="Arial"/>
                <w:color w:val="1D2730"/>
                <w:sz w:val="17"/>
              </w:rPr>
              <w:t>; no hay roles administrativos ni permisos separados.</w:t>
            </w:r>
          </w:p>
        </w:tc>
        <w:tc>
          <w:tcPr>
            <w:tcW w:type="dxa" w:w="3672"/>
            <w:vAlign w:val="center"/>
            <w:tcMar>
              <w:top w:w="110" w:type="dxa"/>
              <w:start w:w="110" w:type="dxa"/>
              <w:bottom w:w="110" w:type="dxa"/>
              <w:end w:w="110" w:type="dxa"/>
            </w:tcMar>
          </w:tcPr>
          <w:p>
            <w:pPr>
              <w:spacing w:after="20" w:line="247" w:lineRule="auto"/>
            </w:pPr>
            <w:r>
              <w:rPr>
                <w:rFonts w:ascii="Arial" w:hAnsi="Arial"/>
                <w:color w:val="1D2730"/>
                <w:sz w:val="17"/>
              </w:rPr>
              <w:t>Los permisos operativos no se pueden asignar de forma granular.</w:t>
            </w:r>
          </w:p>
        </w:tc>
        <w:tc>
          <w:tcPr>
            <w:tcW w:type="dxa" w:w="4118"/>
            <w:vAlign w:val="center"/>
            <w:tcMar>
              <w:top w:w="110" w:type="dxa"/>
              <w:start w:w="110" w:type="dxa"/>
              <w:bottom w:w="110" w:type="dxa"/>
              <w:end w:w="110" w:type="dxa"/>
            </w:tcMar>
          </w:tcPr>
          <w:p>
            <w:pPr>
              <w:spacing w:after="20" w:line="247" w:lineRule="auto"/>
            </w:pPr>
            <w:r>
              <w:rPr>
                <w:rFonts w:ascii="Arial" w:hAnsi="Arial"/>
                <w:color w:val="1D2730"/>
                <w:sz w:val="17"/>
              </w:rPr>
              <w:t>Definir autorización por rol y atribuciones administrativas dentro de BC-01.</w:t>
            </w:r>
          </w:p>
        </w:tc>
      </w:tr>
      <w:tr>
        <w:trPr>
          <w:cantSplit/>
        </w:trPr>
        <w:tc>
          <w:tcPr>
            <w:tcW w:type="dxa" w:w="2088"/>
            <w:vAlign w:val="center"/>
            <w:tcMar>
              <w:top w:w="110" w:type="dxa"/>
              <w:start w:w="110" w:type="dxa"/>
              <w:bottom w:w="110" w:type="dxa"/>
              <w:end w:w="110" w:type="dxa"/>
            </w:tcMar>
            <w:shd w:fill="EAF1F7"/>
          </w:tcPr>
          <w:p>
            <w:pPr>
              <w:spacing w:after="20" w:line="247" w:lineRule="auto"/>
            </w:pPr>
            <w:r>
              <w:rPr>
                <w:rFonts w:ascii="Arial" w:hAnsi="Arial"/>
                <w:color w:val="1D2730"/>
                <w:sz w:val="17"/>
              </w:rPr>
              <w:t>No aparece el contexto de auditoría ni vínculo académico.</w:t>
            </w:r>
          </w:p>
        </w:tc>
        <w:tc>
          <w:tcPr>
            <w:tcW w:type="dxa" w:w="3672"/>
            <w:vAlign w:val="center"/>
            <w:tcMar>
              <w:top w:w="110" w:type="dxa"/>
              <w:start w:w="110" w:type="dxa"/>
              <w:bottom w:w="110" w:type="dxa"/>
              <w:end w:w="110" w:type="dxa"/>
            </w:tcMar>
            <w:shd w:fill="EAF1F7"/>
          </w:tcPr>
          <w:p>
            <w:pPr>
              <w:spacing w:after="20" w:line="247" w:lineRule="auto"/>
            </w:pPr>
            <w:r>
              <w:rPr>
                <w:rFonts w:ascii="Arial" w:hAnsi="Arial"/>
                <w:color w:val="1D2730"/>
                <w:sz w:val="17"/>
              </w:rPr>
              <w:t>No se reconstruyen cambios ni se valida elegibilidad académica con el esquema actual.</w:t>
            </w:r>
          </w:p>
        </w:tc>
        <w:tc>
          <w:tcPr>
            <w:tcW w:type="dxa" w:w="4118"/>
            <w:vAlign w:val="center"/>
            <w:tcMar>
              <w:top w:w="110" w:type="dxa"/>
              <w:start w:w="110" w:type="dxa"/>
              <w:bottom w:w="110" w:type="dxa"/>
              <w:end w:w="110" w:type="dxa"/>
            </w:tcMar>
            <w:shd w:fill="EAF1F7"/>
          </w:tcPr>
          <w:p>
            <w:pPr>
              <w:spacing w:after="20" w:line="247" w:lineRule="auto"/>
            </w:pPr>
            <w:r>
              <w:rPr>
                <w:rFonts w:ascii="Arial" w:hAnsi="Arial"/>
                <w:color w:val="1D2730"/>
                <w:sz w:val="17"/>
              </w:rPr>
              <w:t>Diseñar esos contextos y definir fuente institucional de datos antes de producción.</w:t>
            </w:r>
          </w:p>
        </w:tc>
      </w:tr>
    </w:tbl>
    <w:p>
      <w:pPr>
        <w:spacing w:after="40"/>
      </w:pPr>
    </w:p>
    <w:p>
      <w:pPr>
        <w:pStyle w:val="Heading2"/>
      </w:pPr>
      <w:r>
        <w:rPr>
          <w:rFonts w:ascii="Arial" w:hAnsi="Arial"/>
        </w:rPr>
        <w:t>Avance y siguiente etapa</w:t>
      </w:r>
    </w:p>
    <w:p>
      <w:pPr>
        <w:widowControl/>
        <w:jc w:val="left"/>
      </w:pPr>
      <w:r>
        <w:rPr>
          <w:rFonts w:ascii="Arial" w:hAnsi="Arial"/>
        </w:rPr>
        <w:t>El trabajo existente es una base de documentación y entorno. El repositorio contiene una API mínima de salud, el servicio local de PostgreSQL y la propuesta de tecnologías. El SQL adjunto es un insumo de diseño externo al repositorio; todavía no existe una migración ni una implementación funcional de las tablas [F4].</w:t>
      </w:r>
    </w:p>
    <w:p>
      <w:pPr>
        <w:widowControl/>
        <w:jc w:val="left"/>
      </w:pPr>
      <w:r>
        <w:rPr>
          <w:rFonts w:ascii="Arial" w:hAnsi="Arial"/>
        </w:rPr>
        <w:t>La siguiente etapa debe integrar la configuración de base de datos y Alembic, después modelar identidad y catálogo, proteger las operaciones de inventario y añadir pruebas. Reservas y préstamos se implementarán cuando la autenticación y la disponibilidad de unidades ya tengan un flujo consistente. Este orden sigue el incremento inicial planificado en el proyecto [F4].</w:t>
      </w:r>
    </w:p>
    <w:p>
      <w:pPr>
        <w:pStyle w:val="Heading2"/>
      </w:pPr>
      <w:r>
        <w:rPr>
          <w:rFonts w:ascii="Arial" w:hAnsi="Arial"/>
        </w:rPr>
        <w:t>Conclusiones</w:t>
      </w:r>
    </w:p>
    <w:p>
      <w:pPr>
        <w:widowControl/>
        <w:jc w:val="left"/>
      </w:pPr>
      <w:r>
        <w:rPr>
          <w:rFonts w:ascii="Arial" w:hAnsi="Arial"/>
        </w:rPr>
        <w:t>El examen presenta un diseño que conecta requisitos, dominio y arquitectura. El esquema ya precisa las entidades principales para registrar personas, bienes, unidades, reservas, préstamos y renovaciones. La arquitectura en capas propuesta permite trasladar esos conceptos a Python manteniendo las reglas separadas de la API y de PostgreSQL.</w:t>
      </w:r>
    </w:p>
    <w:p>
      <w:pPr>
        <w:widowControl/>
        <w:jc w:val="left"/>
      </w:pPr>
      <w:r>
        <w:rPr>
          <w:rFonts w:ascii="Arial" w:hAnsi="Arial"/>
        </w:rPr>
        <w:t>El siguiente paso técnico es integrar el SQL mediante migraciones y revisar las invariantes de préstamo activo, ciclo de entrega y política aplicada. Las reglas de roles, elegibilidad académica, auditoría y operación deben validarse con la EPCC antes de considerarlas cerradas.</w:t>
      </w:r>
    </w:p>
    <w:p>
      <w:r>
        <w:br w:type="page"/>
      </w:r>
    </w:p>
    <w:p>
      <w:pPr>
        <w:pStyle w:val="Heading2"/>
      </w:pPr>
      <w:r>
        <w:rPr>
          <w:rFonts w:ascii="Arial" w:hAnsi="Arial"/>
        </w:rPr>
        <w:t>Guion breve para la exposición</w:t>
      </w:r>
    </w:p>
    <w:p>
      <w:pPr>
        <w:pStyle w:val="ListNumber"/>
        <w:spacing w:after="60"/>
      </w:pPr>
      <w:r>
        <w:rPr>
          <w:rFonts w:ascii="Arial" w:hAnsi="Arial"/>
        </w:rPr>
        <w:t>Presentar el problema: controlar qué unidad se presta, a quién, por cuánto tiempo y en qué condición se devuelve.</w:t>
      </w:r>
    </w:p>
    <w:p>
      <w:pPr>
        <w:pStyle w:val="ListNumber"/>
        <w:spacing w:after="60"/>
      </w:pPr>
      <w:r>
        <w:rPr>
          <w:rFonts w:ascii="Arial" w:hAnsi="Arial"/>
        </w:rPr>
        <w:t>Explicar los requisitos funcionales y las cualidades esperadas de consistencia, seguridad y trazabilidad.</w:t>
      </w:r>
    </w:p>
    <w:p>
      <w:pPr>
        <w:pStyle w:val="ListNumber"/>
        <w:spacing w:after="60"/>
      </w:pPr>
      <w:r>
        <w:rPr>
          <w:rFonts w:ascii="Arial" w:hAnsi="Arial"/>
        </w:rPr>
        <w:t>Recorrer el modelo: Persona y Cuenta; jerarquía del inventario; Reserva; Préstamo y Renovación.</w:t>
      </w:r>
    </w:p>
    <w:p>
      <w:pPr>
        <w:pStyle w:val="ListNumber"/>
        <w:spacing w:after="60"/>
      </w:pPr>
      <w:r>
        <w:rPr>
          <w:rFonts w:ascii="Arial" w:hAnsi="Arial"/>
        </w:rPr>
        <w:t>Mostrar cómo la arquitectura separa API, casos de uso, dominio e infraestructura.</w:t>
      </w:r>
    </w:p>
    <w:p>
      <w:pPr>
        <w:pStyle w:val="ListNumber"/>
        <w:spacing w:after="60"/>
      </w:pPr>
      <w:r>
        <w:rPr>
          <w:rFonts w:ascii="Arial" w:hAnsi="Arial"/>
        </w:rPr>
        <w:t>Cerrar con el avance real y las decisiones pendientes antes de implementar préstamos.</w:t>
      </w:r>
    </w:p>
    <w:p>
      <w:pPr>
        <w:pStyle w:val="Heading2"/>
      </w:pPr>
      <w:r>
        <w:rPr>
          <w:rFonts w:ascii="Arial" w:hAnsi="Arial"/>
        </w:rPr>
        <w:t>Fuentes</w:t>
      </w:r>
    </w:p>
    <w:p>
      <w:pPr>
        <w:pStyle w:val="ListBullet"/>
        <w:spacing w:after="60"/>
      </w:pPr>
      <w:r>
        <w:rPr>
          <w:rFonts w:ascii="Arial" w:hAnsi="Arial"/>
        </w:rPr>
        <w:t>[F1] Pauta del primer examen compartida por el usuario. Solicita requisitos, modelo de dominio y arquitectura en capas con diagramas UML de paquetes y clases.</w:t>
      </w:r>
    </w:p>
    <w:p>
      <w:pPr>
        <w:pStyle w:val="ListBullet"/>
        <w:spacing w:after="60"/>
      </w:pPr>
      <w:r>
        <w:rPr>
          <w:rFonts w:ascii="Arial" w:hAnsi="Arial"/>
        </w:rPr>
        <w:t>[F2] Diagrama de clases del modelo de dominio del Sistema de Gestión de Préstamos de Bienes EPCC UNSA compartido previamente en el proyecto.</w:t>
      </w:r>
    </w:p>
    <w:p>
      <w:pPr>
        <w:pStyle w:val="ListBullet"/>
        <w:spacing w:after="60"/>
      </w:pPr>
      <w:r>
        <w:rPr>
          <w:rFonts w:ascii="Arial" w:hAnsi="Arial"/>
        </w:rPr>
        <w:t xml:space="preserve">[F3] </w:t>
      </w:r>
      <w:r>
        <w:rPr>
          <w:rFonts w:ascii="Menlo" w:hAnsi="Menlo"/>
          <w:color w:val="245B84"/>
          <w:sz w:val="18"/>
        </w:rPr>
        <w:t>sistema_gestion_prestamos_bienes_epcc_unsa.sql</w:t>
      </w:r>
      <w:r>
        <w:rPr>
          <w:rFonts w:ascii="Arial" w:hAnsi="Arial"/>
        </w:rPr>
        <w:t>, esquema PostgreSQL derivado del modelo de dominio v6/v7; el encabezado declara cobertura parcial de BC-01 y cobertura de BC-03, BC-05 y BC-06.</w:t>
      </w:r>
    </w:p>
    <w:p>
      <w:pPr>
        <w:pStyle w:val="ListBullet"/>
        <w:spacing w:after="60"/>
      </w:pPr>
      <w:r>
        <w:rPr>
          <w:rFonts w:ascii="Arial" w:hAnsi="Arial"/>
        </w:rPr>
        <w:t>[F4] Repositorio Sistema_Prestamos_EPCC, documentación de visión, arquitectura, dominio y plan de implementación; estado revisado al 29 de septiembre de 2026.</w:t>
      </w:r>
    </w:p>
    <w:sectPr w:rsidR="00FC693F" w:rsidRPr="0006063C" w:rsidSect="00034616">
      <w:footerReference w:type="default" r:id="rId15"/>
      <w:pgSz w:w="12240" w:h="15840"/>
      <w:pgMar w:top="1123" w:right="1181" w:bottom="1123"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after="0"/>
      <w:jc w:val="center"/>
    </w:pPr>
    <w:r>
      <w:rPr>
        <w:rFonts w:ascii="Arial" w:hAnsi="Arial"/>
        <w:color w:val="4C5B67"/>
        <w:sz w:val="16"/>
      </w:rPr>
      <w:t xml:space="preserve">Sistema de Préstamos EPCC  |  Primer examen  |  Página </w:t>
    </w:r>
    <w: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after="0"/>
      <w:jc w:val="center"/>
    </w:pPr>
    <w:r>
      <w:rPr>
        <w:rFonts w:ascii="Arial" w:hAnsi="Arial"/>
        <w:color w:val="4C5B67"/>
        <w:sz w:val="16"/>
      </w:rPr>
      <w:t xml:space="preserve">Sistema de Préstamos EPCC  |  Primer examen  |  Página </w:t>
    </w:r>
    <w: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after="0"/>
      <w:jc w:val="center"/>
    </w:pPr>
    <w:r>
      <w:rPr>
        <w:rFonts w:ascii="Arial" w:hAnsi="Arial"/>
        <w:color w:val="4C5B67"/>
        <w:sz w:val="16"/>
      </w:rPr>
      <w:t xml:space="preserve">Sistema de Préstamos EPCC  |  Primer examen  |  Página </w:t>
    </w:r>
    <w:r>
      <w:fldChar w:fldCharType="begin"/>
      <w:instrText xml:space="preserve">PAGE</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after="0"/>
      <w:jc w:val="center"/>
    </w:pPr>
    <w:r>
      <w:rPr>
        <w:rFonts w:ascii="Arial" w:hAnsi="Arial"/>
        <w:color w:val="4C5B67"/>
        <w:sz w:val="16"/>
      </w:rPr>
      <w:t xml:space="preserve">Sistema de Préstamos EPCC  |  Primer examen  |  Página </w:t>
    </w:r>
    <w:r>
      <w:fldChar w:fldCharType="begin"/>
      <w:instrText xml:space="preserve">PAGE</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after="0"/>
      <w:jc w:val="center"/>
    </w:pPr>
    <w:r>
      <w:rPr>
        <w:rFonts w:ascii="Arial" w:hAnsi="Arial"/>
        <w:color w:val="4C5B67"/>
        <w:sz w:val="16"/>
      </w:rPr>
      <w:t xml:space="preserve">Sistema de Préstamos EPCC  |  Primer examen  |  Página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1D27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60" w:line="240" w:lineRule="auto" w:before="144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40" w:after="80"/>
    </w:pPr>
    <w:rPr>
      <w:rFonts w:ascii="Arial" w:hAnsi="Arial"/>
      <w:b/>
      <w:bCs/>
      <w:color w:val="4C5B67"/>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de préstamos de bienes de la EPCC</dc:title>
  <dc:subject>Informe para el primer examen</dc:subject>
  <dc:creator/>
  <cp:keywords>EPCC, requisitos, modelo de dominio, UML, arquitectura en capas</cp:keywords>
  <dc:description>generated by python-docx</dc:description>
  <cp:lastModifiedBy/>
  <cp:revision>1</cp:revision>
  <dcterms:created xsi:type="dcterms:W3CDTF">2013-12-23T23:15:00Z</dcterms:created>
  <dcterms:modified xsi:type="dcterms:W3CDTF">2013-12-23T23:15:00Z</dcterms:modified>
  <cp:category/>
</cp:coreProperties>
</file>