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DC50" w14:textId="77777777" w:rsidR="00C7001D" w:rsidRPr="00C7001D" w:rsidRDefault="00C7001D" w:rsidP="00C7001D">
      <w:pPr>
        <w:rPr>
          <w:b/>
          <w:bCs/>
          <w:sz w:val="28"/>
          <w:szCs w:val="28"/>
        </w:rPr>
      </w:pPr>
      <w:r w:rsidRPr="00C7001D">
        <w:rPr>
          <w:b/>
          <w:bCs/>
          <w:sz w:val="28"/>
          <w:szCs w:val="28"/>
        </w:rPr>
        <w:t>Supervisión continuada a distancia</w:t>
      </w:r>
    </w:p>
    <w:p w14:paraId="7290A381" w14:textId="77777777" w:rsidR="00C7001D" w:rsidRPr="00C7001D" w:rsidRDefault="00C7001D" w:rsidP="00C7001D">
      <w:r w:rsidRPr="00C7001D">
        <w:t>La supervisión continuada a distancia tiene como objetivos: comprobar el cumplimiento de la regulación prudencial, y mantener actualizado el conocimiento de las entidades y su perfil de riesgo supervisor para, en su caso, tomar las medidas supervisoras necesarias para mejorarlo.</w:t>
      </w:r>
    </w:p>
    <w:p w14:paraId="31DD7FC7" w14:textId="77777777" w:rsidR="00C7001D" w:rsidRPr="00C7001D" w:rsidRDefault="00C7001D" w:rsidP="00C7001D">
      <w:r w:rsidRPr="00C7001D">
        <w:t>El perfil de riesgo supervisor valora la probabilidad de que una entidad de crédito pueda tener problemas de solvencia, rentabilidad o liquidez en el futuro, o, de modo más general, pueda generar situaciones indeseadas para el sistema financiero.</w:t>
      </w:r>
    </w:p>
    <w:p w14:paraId="197BCF22" w14:textId="77777777" w:rsidR="00C7001D" w:rsidRPr="00C7001D" w:rsidRDefault="00C7001D" w:rsidP="00C7001D">
      <w:r w:rsidRPr="00C7001D">
        <w:t>La supervisión continuada incluye actividades de carácter recurrente o periódico y otras de carácter puntual o ad hoc. Entre las primeras destaca el proceso de revisión y evaluación supervisora –SREP, por sus siglas en inglés-, pero también cabe citar, entre otras, los seguimientos periódicos de la evolución económica y financiera de las entidades, la revisión de los planes de recuperación o las reuniones periódicas con responsables de las entidades.</w:t>
      </w:r>
    </w:p>
    <w:p w14:paraId="3DC61D06" w14:textId="77777777" w:rsidR="00C7001D" w:rsidRPr="00C7001D" w:rsidRDefault="00C7001D" w:rsidP="00C7001D">
      <w:r w:rsidRPr="00C7001D">
        <w:t>Entre las actividades de carácter puntual o ad hoc encontramos, entre otras, revisiones de detalle específicas, que tienen por objeto analizar áreas que susciten mayor preocupación supervisora o profundizar en el conocimiento de aspectos específicos de una entidad, y revisiones horizontales o transversales, en las que se analizan de manera homogénea, para todas o varias entidades, áreas o aspectos que se consideran prioritarios o de interés supervisor.</w:t>
      </w:r>
    </w:p>
    <w:p w14:paraId="74544891" w14:textId="77777777" w:rsidR="00C7001D" w:rsidRPr="00C7001D" w:rsidRDefault="00C7001D" w:rsidP="00C7001D">
      <w:r w:rsidRPr="00C7001D">
        <w:t>El SREP es una de las tareas recurrentes fundamentales de la supervisión a distancia y se desarrolla de acuerdo con las directrices de la Autoridad Bancaria Europea (EBA, por sus siglas en inglés) (EBA/GL/2022/03). El Banco Central Europeo (BCE) aplica una metodología común del SREP a todas las entidades significativas, lo que facilita comparaciones entre pares y análisis transversales. Por su parte, el Banco de España (</w:t>
      </w:r>
      <w:proofErr w:type="spellStart"/>
      <w:r w:rsidRPr="00C7001D">
        <w:t>BdE</w:t>
      </w:r>
      <w:proofErr w:type="spellEnd"/>
      <w:r w:rsidRPr="00C7001D">
        <w:t>) aplica la metodología aprobada por el BCE para LSI.</w:t>
      </w:r>
    </w:p>
    <w:p w14:paraId="6070D743" w14:textId="77777777" w:rsidR="00C7001D" w:rsidRPr="00C7001D" w:rsidRDefault="00C7001D" w:rsidP="00C7001D">
      <w:r w:rsidRPr="00C7001D">
        <w:t>Las conclusiones del SREP incorporan la información recopilada en todas las tareas supervisoras, y en ellas se determina o actualiza el perfil de riesgo. En definitiva, se ofrece una imagen de la situación del banco respecto a sus riesgos, se evalúa la idoneidad de su gobernanza y de la gestión y control de los riesgos, y se valora el grado de adecuación de su nivel de capital y liquidez.</w:t>
      </w:r>
    </w:p>
    <w:p w14:paraId="63FF1774" w14:textId="77777777" w:rsidR="00C7001D" w:rsidRPr="00C7001D" w:rsidRDefault="00C7001D" w:rsidP="00C7001D">
      <w:r w:rsidRPr="00C7001D">
        <w:t>Además, este proceso también contribuye a determinar la intensidad supervisora a aplicar a cada entidad y concluye con las denominadas decisiones de capital y de liquidez. Estas decisiones contienen, como elemento destacado, el requerimiento de recursos propios adicionales (P2R) y la orientación sobre recursos propios adicionales (P2G), que se mantienen vigentes hasta que se adopta la siguiente decisión de capital y liquidez.</w:t>
      </w:r>
    </w:p>
    <w:p w14:paraId="4C33AF7B" w14:textId="77777777" w:rsidR="00C7001D" w:rsidRPr="00C7001D" w:rsidRDefault="00C7001D" w:rsidP="00C7001D">
      <w:r w:rsidRPr="00C7001D">
        <w:lastRenderedPageBreak/>
        <w:t>Además, también como resultado del SREP, se pueden dirigir a las entidades requerimientos y recomendaciones de carácter cualitativo sobre cualquier aspecto que se considere mejorable.</w:t>
      </w:r>
    </w:p>
    <w:p w14:paraId="75DFE290" w14:textId="77777777" w:rsidR="00C7001D" w:rsidRPr="00C7001D" w:rsidRDefault="00C7001D" w:rsidP="00C7001D">
      <w:r w:rsidRPr="00C7001D">
        <w:t>El P2R es un requerimiento específico cuya finalidad es cubrir aquellos riesgos subestimados o no contemplados por el requerimiento mínimo de capital (conocido como Pilar 1). El P2R es vinculante y, por tanto, su eventual incumplimiento puede tener consecuencias legales.</w:t>
      </w:r>
    </w:p>
    <w:p w14:paraId="2903A932" w14:textId="77777777" w:rsidR="00C7001D" w:rsidRPr="00C7001D" w:rsidRDefault="00C7001D" w:rsidP="00C7001D">
      <w:r w:rsidRPr="00C7001D">
        <w:t>Por su parte el P2G es una orientación específica para cada banco, que refleja el nivel de capital que el supervisor espera que mantenga la entidad, no es vinculante desde un punto de vista legal y actúa como un colchón adicional para asegurar que los bancos resistan un período estresado. Se determina aplicando una metodología basada en la Directiva   de Requerimientos de Capital y en las aportaciones de la EBA, a partir de los resultados de las pruebas de resistencia periódicas, que examinan el impacto que tendría una perturbación económica en el capital de los bancos.</w:t>
      </w:r>
    </w:p>
    <w:p w14:paraId="0C7EB8D0" w14:textId="77777777" w:rsidR="00C7001D" w:rsidRPr="00C7001D" w:rsidRDefault="00C7001D" w:rsidP="00C7001D">
      <w:r w:rsidRPr="00C7001D">
        <w:t>El diálogo entre el supervisor y el supervisado constituye una pieza fundamental de la supervisión continuada, especialmente durante el SREP. Resulta esencial para la transmisión de las debilidades detectadas, de la valoración supervisora de la entidad, de las prioridades y expectativas supervisoras, así como para propiciar el intercambio de opiniones y dialogar sobre las principales áreas de atención supervisora.</w:t>
      </w:r>
    </w:p>
    <w:p w14:paraId="7484A846" w14:textId="77777777" w:rsidR="00C7001D" w:rsidRPr="00C7001D" w:rsidRDefault="00C7001D" w:rsidP="00C7001D">
      <w:r w:rsidRPr="00C7001D">
        <w:t>En el caso de las </w:t>
      </w:r>
      <w:r w:rsidRPr="00C7001D">
        <w:rPr>
          <w:b/>
          <w:bCs/>
        </w:rPr>
        <w:t>entidades significativas (SI)</w:t>
      </w:r>
      <w:r w:rsidRPr="00C7001D">
        <w:t>, los equipos de supervisión continuada (JST, por sus siglas en inglés) son los encargados de llevar a cabo su supervisión continuada. Estos equipos están integrados por supervisores del BCE y de las autoridades nacionales. El Banco de España participa de manera relevante en los JST de las entidades significativas españolas, así como en los JST de los grupos bancarios significativos de países del Mecanismo Único de Supervisión (MUS) que tienen presencia relevante en nuestro país.</w:t>
      </w:r>
    </w:p>
    <w:p w14:paraId="203885C9" w14:textId="77777777" w:rsidR="00C7001D" w:rsidRPr="00C7001D" w:rsidRDefault="00C7001D" w:rsidP="00C7001D">
      <w:r w:rsidRPr="00C7001D">
        <w:t>En el caso de las </w:t>
      </w:r>
      <w:r w:rsidRPr="00C7001D">
        <w:rPr>
          <w:b/>
          <w:bCs/>
        </w:rPr>
        <w:t>entidades menos significativas (LSI) españolas, la supervisión directa</w:t>
      </w:r>
      <w:r w:rsidRPr="00C7001D">
        <w:t xml:space="preserve"> le corresponde al </w:t>
      </w:r>
      <w:proofErr w:type="spellStart"/>
      <w:r w:rsidRPr="00C7001D">
        <w:t>BdE</w:t>
      </w:r>
      <w:proofErr w:type="spellEnd"/>
      <w:r w:rsidRPr="00C7001D">
        <w:t xml:space="preserve"> como autoridad nacional competente. Por su parte el BCE ejerce una supervisión indirecta para asegurar que las actividades supervisoras se ajustan a elevados estándares de calidad y arrojan resultados coherentes en los diversos países participantes en el MUS. El plan anual de actividades supervisoras de las LSI españolas es aprobado por la Comisión Ejecutiva del </w:t>
      </w:r>
      <w:proofErr w:type="spellStart"/>
      <w:r w:rsidRPr="00C7001D">
        <w:t>BdE</w:t>
      </w:r>
      <w:proofErr w:type="spellEnd"/>
      <w:r w:rsidRPr="00C7001D">
        <w:t xml:space="preserve"> y recoge las actividades de supervisión in situ y a distancia previstas para el siguiente año. </w:t>
      </w:r>
    </w:p>
    <w:p w14:paraId="0E719A7A" w14:textId="127DB8A6" w:rsidR="00C7001D" w:rsidRDefault="00C7001D">
      <w:r>
        <w:br w:type="page"/>
      </w:r>
    </w:p>
    <w:p w14:paraId="13D3C12A" w14:textId="77777777" w:rsidR="00C7001D" w:rsidRPr="00C7001D" w:rsidRDefault="00C7001D" w:rsidP="00C7001D">
      <w:pPr>
        <w:rPr>
          <w:b/>
          <w:bCs/>
          <w:sz w:val="28"/>
          <w:szCs w:val="28"/>
        </w:rPr>
      </w:pPr>
      <w:r w:rsidRPr="00C7001D">
        <w:rPr>
          <w:b/>
          <w:bCs/>
          <w:sz w:val="28"/>
          <w:szCs w:val="28"/>
        </w:rPr>
        <w:lastRenderedPageBreak/>
        <w:t>Supervisión in situ</w:t>
      </w:r>
    </w:p>
    <w:p w14:paraId="3DA61690" w14:textId="77777777" w:rsidR="00C7001D" w:rsidRPr="00C7001D" w:rsidRDefault="00C7001D" w:rsidP="00C7001D">
      <w:r w:rsidRPr="00C7001D">
        <w:t>La supervisión in situ es un elemento esencial, complementario e insustituible de la supervisión a distancia de las entidades. Las misiones in situ suponen exámenes más exhaustivos de determinados aspectos y complementan la supervisión continuada a distancia. Incluyen las denominadas inspecciones y las investigaciones de modelos internos.</w:t>
      </w:r>
    </w:p>
    <w:p w14:paraId="27BC75E5" w14:textId="77777777" w:rsidR="00C7001D" w:rsidRPr="00C7001D" w:rsidRDefault="00C7001D" w:rsidP="00C7001D">
      <w:r w:rsidRPr="00C7001D">
        <w:t>Mientras que las primeras permiten analizar en profundidad cualquier riesgo que pueda afectar a las entidades, las segundas se refieren a la revisión, y, cuando proceda, la autorización de los modelos internos de cálculo de requerimientos de capital necesarios para cubrir los riesgos de crédito, contraparte y mercado.</w:t>
      </w:r>
    </w:p>
    <w:p w14:paraId="04039508" w14:textId="77777777" w:rsidR="00C7001D" w:rsidRPr="00C7001D" w:rsidRDefault="00C7001D" w:rsidP="00C7001D">
      <w:r w:rsidRPr="00C7001D">
        <w:t>En las misiones, un equipo nombrado por el Banco Central Europeo (BCE) si se trata de entidades significativas (SI), o por el Banco de España (</w:t>
      </w:r>
      <w:proofErr w:type="spellStart"/>
      <w:r w:rsidRPr="00C7001D">
        <w:t>BdE</w:t>
      </w:r>
      <w:proofErr w:type="spellEnd"/>
      <w:r w:rsidRPr="00C7001D">
        <w:t xml:space="preserve">) en el caso de entidades menos significativas (LSI), bajo el liderazgo de un ¨encargado¨ (Head </w:t>
      </w:r>
      <w:proofErr w:type="spellStart"/>
      <w:r w:rsidRPr="00C7001D">
        <w:t>of</w:t>
      </w:r>
      <w:proofErr w:type="spellEnd"/>
      <w:r w:rsidRPr="00C7001D">
        <w:t xml:space="preserve"> Mission), realiza una revisión en profundidad del área bajo análisis. Normalmente, las inspecciones se desarrollan en parte en las propias dependencias de la entidad inspeccionada. De la revisión resulta la identificación de deficiencias (</w:t>
      </w:r>
      <w:proofErr w:type="spellStart"/>
      <w:r w:rsidRPr="00C7001D">
        <w:t>findings</w:t>
      </w:r>
      <w:proofErr w:type="spellEnd"/>
      <w:r w:rsidRPr="00C7001D">
        <w:t>), que se clasifican por su importancia, o severidad, y de las correspondientes acciones supervisoras que se derivan de esas deficiencias.</w:t>
      </w:r>
    </w:p>
    <w:p w14:paraId="18790849" w14:textId="77777777" w:rsidR="00C7001D" w:rsidRPr="00C7001D" w:rsidRDefault="00C7001D" w:rsidP="00C7001D">
      <w:r w:rsidRPr="00C7001D">
        <w:t xml:space="preserve">Las entidades deben corregir las deficiencias conforme a las indicaciones del BCE, o en su caso del </w:t>
      </w:r>
      <w:proofErr w:type="spellStart"/>
      <w:r w:rsidRPr="00C7001D">
        <w:t>BdE</w:t>
      </w:r>
      <w:proofErr w:type="spellEnd"/>
      <w:r w:rsidRPr="00C7001D">
        <w:t>, para lo que han de presentar el correspondiente plan de medidas correctoras. Los equipos encargados del seguimiento a distancia (JST en el caso de las SI o grupos de seguimiento en el caso de LSI) se responsabilizan del seguimiento y evaluación de la remediación de las deficiencias hasta su subsanación.</w:t>
      </w:r>
    </w:p>
    <w:p w14:paraId="763F8AB8" w14:textId="77777777" w:rsidR="00C7001D" w:rsidRPr="00C7001D" w:rsidRDefault="00C7001D" w:rsidP="00C7001D">
      <w:r w:rsidRPr="00C7001D">
        <w:t>En las inspecciones se evalúan, entre otros aspectos, la gestión de los riesgos por las entidades, sus sistemas de control interno, el modelo de negocio y la gobernanza. Las conclusiones alcanzadas contribuyen a la determinación del perfil de riesgo supervisor asignado a la entidad.</w:t>
      </w:r>
    </w:p>
    <w:p w14:paraId="7EB9A981" w14:textId="77777777" w:rsidR="00C7001D" w:rsidRPr="00C7001D" w:rsidRDefault="00C7001D" w:rsidP="00C7001D">
      <w:r w:rsidRPr="00C7001D">
        <w:t>Las investigaciones de modelos internos tienen como objetivo evaluar si los modelos internos utilizados para calcular requerimientos de capital cumplen los requisitos regulatorios. Pueden realizarse a solicitud de una entidad (aprobación inicial o modificaciones importantes), o a iniciativa del supervisor. Las propuestas relativas al uso de modelos internos se elaboran una vez completada la investigación y, la decisión correspondiente debe ser aprobada por el BCE, o el Banco de España en caso de LSI.</w:t>
      </w:r>
    </w:p>
    <w:p w14:paraId="33A8B306" w14:textId="77777777" w:rsidR="00C7001D" w:rsidRPr="00C7001D" w:rsidRDefault="00C7001D" w:rsidP="00C7001D">
      <w:r w:rsidRPr="00C7001D">
        <w:t xml:space="preserve">El BCE decide anualmente el Plan de Supervisión in situ para cada entidad significativa. El Banco de España participa activamente en la ejecución del Plan de Inspección a SI españolas. En el caso de las LSI, es el Banco de España quien aprueba anualmente el </w:t>
      </w:r>
      <w:r w:rsidRPr="00C7001D">
        <w:lastRenderedPageBreak/>
        <w:t>plan de actividades supervisoras que incluye las actividades in situ planificadas para el siguiente año.</w:t>
      </w:r>
    </w:p>
    <w:p w14:paraId="652086B5" w14:textId="77777777" w:rsidR="00C7001D" w:rsidRPr="00C7001D" w:rsidRDefault="00C7001D" w:rsidP="00C7001D">
      <w:pPr>
        <w:rPr>
          <w:b/>
          <w:bCs/>
          <w:sz w:val="28"/>
          <w:szCs w:val="28"/>
        </w:rPr>
      </w:pPr>
      <w:r w:rsidRPr="00C7001D">
        <w:rPr>
          <w:b/>
          <w:bCs/>
          <w:sz w:val="28"/>
          <w:szCs w:val="28"/>
        </w:rPr>
        <w:t xml:space="preserve">Pruebas de resistencia (stress </w:t>
      </w:r>
      <w:proofErr w:type="spellStart"/>
      <w:r w:rsidRPr="00C7001D">
        <w:rPr>
          <w:b/>
          <w:bCs/>
          <w:sz w:val="28"/>
          <w:szCs w:val="28"/>
        </w:rPr>
        <w:t>tests</w:t>
      </w:r>
      <w:proofErr w:type="spellEnd"/>
      <w:r w:rsidRPr="00C7001D">
        <w:rPr>
          <w:b/>
          <w:bCs/>
          <w:sz w:val="28"/>
          <w:szCs w:val="28"/>
        </w:rPr>
        <w:t>)</w:t>
      </w:r>
    </w:p>
    <w:p w14:paraId="2BDCC8DD" w14:textId="69686083" w:rsidR="00C7001D" w:rsidRPr="00C7001D" w:rsidRDefault="00C7001D" w:rsidP="00C7001D">
      <w:r w:rsidRPr="00C7001D">
        <w:t>Las </w:t>
      </w:r>
      <w:hyperlink r:id="rId5" w:tgtFrame="_blank" w:history="1">
        <w:r w:rsidRPr="00C7001D">
          <w:rPr>
            <w:rStyle w:val="Hipervnculo"/>
          </w:rPr>
          <w:t>pruebas de resistencia (o stress test)</w:t>
        </w:r>
        <w:r w:rsidRPr="00C7001D">
          <w:rPr>
            <w:rStyle w:val="Hipervnculo"/>
          </w:rPr>
          <w:drawing>
            <wp:inline distT="0" distB="0" distL="0" distR="0" wp14:anchorId="3192EA50" wp14:editId="6A9B7870">
              <wp:extent cx="114300" cy="114300"/>
              <wp:effectExtent l="0" t="0" r="0" b="0"/>
              <wp:docPr id="746160363" name="Imagen 8" descr="Abre en nueva ventan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bre en nueva ventana">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evalúan la fortaleza de los bancos ante posibles escenarios macroeconómicos futuros desfavorables (mediante la estimación del impacto en la solvencia), o el grado de resistencia ante otro tipo de riesgos como pueden ser el de liquidez, el climático, etc. Sus resultados se publican, permiten identificar vulnerabilidades y abordarlas en una fase temprana, así como alimentar el proceso periódico de evaluación supervisora de las entidades. Por ello pueden influir en los requerimientos (P2R) y recomendaciones (P2G) de capital aplicables a cada banco (Pilar 2).</w:t>
      </w:r>
    </w:p>
    <w:p w14:paraId="50128A78" w14:textId="0206A120" w:rsidR="00C7001D" w:rsidRPr="00C7001D" w:rsidRDefault="00C7001D" w:rsidP="00C7001D">
      <w:r w:rsidRPr="00C7001D">
        <w:t>Cada dos años, la Autoridad Bancaria Europea se encarga de coordinar con las autoridades nacionales competentes las </w:t>
      </w:r>
      <w:hyperlink r:id="rId7" w:tgtFrame="_blank" w:history="1">
        <w:r w:rsidRPr="00C7001D">
          <w:rPr>
            <w:rStyle w:val="Hipervnculo"/>
          </w:rPr>
          <w:t>pruebas de resistencia a una muestra de los mayores bancos de la Unión Europea</w:t>
        </w:r>
        <w:r w:rsidRPr="00C7001D">
          <w:rPr>
            <w:rStyle w:val="Hipervnculo"/>
          </w:rPr>
          <w:drawing>
            <wp:inline distT="0" distB="0" distL="0" distR="0" wp14:anchorId="6C33BDC6" wp14:editId="75ACD224">
              <wp:extent cx="114300" cy="114300"/>
              <wp:effectExtent l="0" t="0" r="0" b="0"/>
              <wp:docPr id="10952408" name="Imagen 7" descr="Abre en nueva ventana">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bre en nueva ventana">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Estas pruebas constan de dos escenarios (base y adverso) y se realizan bajo una metodología y criterios homogéneos para todas las entidades. Paralelamente, el </w:t>
      </w:r>
      <w:hyperlink r:id="rId8" w:tgtFrame="_blank" w:history="1">
        <w:r w:rsidRPr="00C7001D">
          <w:rPr>
            <w:rStyle w:val="Hipervnculo"/>
          </w:rPr>
          <w:t>Banco Central Europeo</w:t>
        </w:r>
        <w:r w:rsidRPr="00C7001D">
          <w:rPr>
            <w:rStyle w:val="Hipervnculo"/>
          </w:rPr>
          <w:drawing>
            <wp:inline distT="0" distB="0" distL="0" distR="0" wp14:anchorId="18045669" wp14:editId="5C8CD535">
              <wp:extent cx="114300" cy="114300"/>
              <wp:effectExtent l="0" t="0" r="0" b="0"/>
              <wp:docPr id="619254199" name="Imagen 6" descr="Abre en nueva ventana">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bre en nueva ventana">
                        <a:hlinkClick r:id="rId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xml:space="preserve">, complementa esta prueba añadiendo a la muestra el resto de </w:t>
      </w:r>
      <w:proofErr w:type="spellStart"/>
      <w:r w:rsidRPr="00C7001D">
        <w:t>SIs</w:t>
      </w:r>
      <w:proofErr w:type="spellEnd"/>
      <w:r w:rsidRPr="00C7001D">
        <w:t xml:space="preserve"> bajo su supervisión directa, aplicando el mismo escenario y unos criterios coherentes con los de la EBA. De este modo, todas las </w:t>
      </w:r>
      <w:proofErr w:type="spellStart"/>
      <w:r w:rsidRPr="00C7001D">
        <w:t>SIs</w:t>
      </w:r>
      <w:proofErr w:type="spellEnd"/>
      <w:r w:rsidRPr="00C7001D">
        <w:t xml:space="preserve"> españolas son sometidas a una prueba de resistencia cada dos años.</w:t>
      </w:r>
    </w:p>
    <w:p w14:paraId="725702AB" w14:textId="7487AEE8" w:rsidR="00C7001D" w:rsidRPr="00C7001D" w:rsidRDefault="00C7001D" w:rsidP="00C7001D">
      <w:r w:rsidRPr="00C7001D">
        <w:t>Para los años en los que no se realiza este ejercicio, el Banco Central Europeo lleva a cabo una </w:t>
      </w:r>
      <w:hyperlink r:id="rId9" w:anchor=":~:text=test%202018%20%E2%80%93%20completed-,Thematic%20stress%20tests,-In%20years%20when" w:tgtFrame="_blank" w:history="1">
        <w:r w:rsidRPr="00C7001D">
          <w:rPr>
            <w:rStyle w:val="Hipervnculo"/>
          </w:rPr>
          <w:t>prueba de resistencia temática</w:t>
        </w:r>
        <w:r w:rsidRPr="00C7001D">
          <w:rPr>
            <w:rStyle w:val="Hipervnculo"/>
          </w:rPr>
          <w:drawing>
            <wp:inline distT="0" distB="0" distL="0" distR="0" wp14:anchorId="7973A8D2" wp14:editId="0B1D0CFB">
              <wp:extent cx="114300" cy="114300"/>
              <wp:effectExtent l="0" t="0" r="0" b="0"/>
              <wp:docPr id="2018814961" name="Imagen 5" descr="Abre en nueva ventana">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bre en nueva ventana">
                        <a:hlinkClick r:id="rId1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xml:space="preserve"> a las </w:t>
      </w:r>
      <w:proofErr w:type="spellStart"/>
      <w:r w:rsidRPr="00C7001D">
        <w:t>SIs</w:t>
      </w:r>
      <w:proofErr w:type="spellEnd"/>
      <w:r w:rsidRPr="00C7001D">
        <w:t xml:space="preserve"> del área del euro sobre algún riesgo que considere relevante.</w:t>
      </w:r>
    </w:p>
    <w:p w14:paraId="0F0E5B9A" w14:textId="77777777" w:rsidR="00C7001D" w:rsidRPr="00C7001D" w:rsidRDefault="00C7001D" w:rsidP="00C7001D">
      <w:r w:rsidRPr="00C7001D">
        <w:t xml:space="preserve">A su vez, anualmente el Banco de España realiza una prueba de resistencia a las </w:t>
      </w:r>
      <w:proofErr w:type="spellStart"/>
      <w:r w:rsidRPr="00C7001D">
        <w:t>LSIs</w:t>
      </w:r>
      <w:proofErr w:type="spellEnd"/>
      <w:r w:rsidRPr="00C7001D">
        <w:t xml:space="preserve"> (FLESB -</w:t>
      </w:r>
      <w:r w:rsidRPr="00C7001D">
        <w:rPr>
          <w:i/>
          <w:iCs/>
          <w:lang w:val="en"/>
        </w:rPr>
        <w:t>Forward Looking Exercise on Spanish Banks</w:t>
      </w:r>
      <w:r w:rsidRPr="00C7001D">
        <w:t>-) usando los mismos escenarios que en los ejercicios de la EBA o recomendados por ella. Sus resultados se publican formando parte de la </w:t>
      </w:r>
      <w:hyperlink r:id="rId11" w:history="1">
        <w:r w:rsidRPr="00C7001D">
          <w:rPr>
            <w:rStyle w:val="Hipervnculo"/>
          </w:rPr>
          <w:t>Memoria de Supervisión</w:t>
        </w:r>
      </w:hyperlink>
      <w:r w:rsidRPr="00C7001D">
        <w:t>.</w:t>
      </w:r>
    </w:p>
    <w:p w14:paraId="3EA2A43A" w14:textId="77E12A7E" w:rsidR="00C7001D" w:rsidRPr="00C7001D" w:rsidRDefault="00C7001D" w:rsidP="00C7001D">
      <w:pPr>
        <w:rPr>
          <w:b/>
          <w:bCs/>
          <w:sz w:val="28"/>
          <w:szCs w:val="28"/>
        </w:rPr>
      </w:pPr>
      <w:r w:rsidRPr="00C7001D">
        <w:rPr>
          <w:b/>
          <w:bCs/>
          <w:sz w:val="28"/>
          <w:szCs w:val="28"/>
        </w:rPr>
        <w:t>Objetivos básicos</w:t>
      </w:r>
    </w:p>
    <w:p w14:paraId="00831446" w14:textId="77777777" w:rsidR="00C7001D" w:rsidRPr="00C7001D" w:rsidRDefault="00C7001D" w:rsidP="00C7001D">
      <w:r w:rsidRPr="00C7001D">
        <w:t>La finalidad básica de la supervisión bancaria es salvaguardar la estabilidad del sistema financiero, tratando de impedir que las importantes funciones que desempeña el sector bancario en la economía sufran perturbaciones significativas o puedan llegar a colapsarse. Por ello, el supervisor dirige su atención a la solvencia y actuación de las entidades supervisadas.</w:t>
      </w:r>
    </w:p>
    <w:p w14:paraId="3FAD74AE" w14:textId="77777777" w:rsidR="00C7001D" w:rsidRPr="00C7001D" w:rsidRDefault="00C7001D" w:rsidP="00C7001D">
      <w:r w:rsidRPr="00C7001D">
        <w:t>Este marco ubica el alcance razonable de la supervisión bancaria, que se concreta en un doble aspecto:</w:t>
      </w:r>
    </w:p>
    <w:p w14:paraId="7C621A57" w14:textId="77777777" w:rsidR="00C7001D" w:rsidRPr="00C7001D" w:rsidRDefault="00C7001D" w:rsidP="00C7001D">
      <w:pPr>
        <w:numPr>
          <w:ilvl w:val="0"/>
          <w:numId w:val="2"/>
        </w:numPr>
      </w:pPr>
      <w:r w:rsidRPr="00C7001D">
        <w:t>Se trata de </w:t>
      </w:r>
      <w:r w:rsidRPr="00C7001D">
        <w:rPr>
          <w:b/>
          <w:bCs/>
        </w:rPr>
        <w:t>minimizar los efectos de las crisis individuales</w:t>
      </w:r>
      <w:r w:rsidRPr="00C7001D">
        <w:t xml:space="preserve">; lo que no significa que se pueda evitar que existan entidades mal gestionadas o ineficientes, ya </w:t>
      </w:r>
      <w:r w:rsidRPr="00C7001D">
        <w:lastRenderedPageBreak/>
        <w:t>que la responsabilidad del buen hacer de los bancos recae directa y exclusivamente en sus gestores.</w:t>
      </w:r>
      <w:r w:rsidRPr="00C7001D">
        <w:br/>
        <w:t>Desde este punto de vista, la función supervisora consiste en diseñar y aplicar sistemas de análisis de las entidades que ayuden a prevenir y que permitan reducir el número, importancia y coste de las eventuales crisis que puedan producirse.</w:t>
      </w:r>
    </w:p>
    <w:p w14:paraId="5A996CD2" w14:textId="77777777" w:rsidR="00C7001D" w:rsidRPr="00C7001D" w:rsidRDefault="00C7001D" w:rsidP="00C7001D">
      <w:pPr>
        <w:numPr>
          <w:ilvl w:val="0"/>
          <w:numId w:val="2"/>
        </w:numPr>
      </w:pPr>
      <w:r w:rsidRPr="00C7001D">
        <w:t>El objetivo de la estabilidad financiera requiere algo más que reducir las crisis individuales e impedir que una o varias crisis individuales generen incumplimientos en cadena que afecten al sistema. Es imprescindible asegurar el buen funcionamiento de los sistemas de pagos e implantar la </w:t>
      </w:r>
      <w:r w:rsidRPr="00C7001D">
        <w:rPr>
          <w:b/>
          <w:bCs/>
        </w:rPr>
        <w:t>debida protección frente a los riesgos de contagio</w:t>
      </w:r>
      <w:r w:rsidRPr="00C7001D">
        <w:t>. En consecuencia, la reducción del denominado riesgo de sistema es sin lugar a dudas una preocupación —y una tarea supervisora— de primera magnitud, a la que se dedican los mayores esfuerzos.</w:t>
      </w:r>
    </w:p>
    <w:p w14:paraId="4AF09FD0" w14:textId="77777777" w:rsidR="00C7001D" w:rsidRPr="00C7001D" w:rsidRDefault="00C7001D" w:rsidP="00C7001D">
      <w:r w:rsidRPr="00C7001D">
        <w:t>En 2014 se aprobó a nivel europeo una normativa de recuperación y resolución bancaria (Directiva 2014/59/UE) que contribuye con nuevos enfoques, herramientas y autoridades a la consecución de los objetivos anteriores.</w:t>
      </w:r>
    </w:p>
    <w:p w14:paraId="0C2FBB25" w14:textId="77777777" w:rsidR="00C7001D" w:rsidRPr="00C7001D" w:rsidRDefault="00C7001D" w:rsidP="00C7001D">
      <w:r w:rsidRPr="00C7001D">
        <w:t>En todo caso, el fortalecimiento de la eficiencia se consigue mediante la respuesta de las entidades a los estímulos de la competencia. De ahí se deriva que la actual supervisión bancaria no pueda ser de signo intervencionista, sino respetuosa con los mecanismos del mercado y con el margen de autonomía que en materia empresarial corresponde a los administradores y los gestores.</w:t>
      </w:r>
    </w:p>
    <w:p w14:paraId="1E2B1FFC" w14:textId="77777777" w:rsidR="00C7001D" w:rsidRPr="00C7001D" w:rsidRDefault="00C7001D" w:rsidP="00C7001D">
      <w:r w:rsidRPr="00C7001D">
        <w:t>Atendiendo al mandato legal recibido, la supervisión del Banco de España, actualmente ejercida en el marco del Mecanismo Único de Supervisión, está diseñada con el objetivo de verificar el cumplimiento de las normas específicas bancarias de su competencia. Además de las relacionadas con la situación financiera y solvencia de las entidades, destacan las que se refieren a la protección de la clientela y transparencia hacia el mercado.</w:t>
      </w:r>
    </w:p>
    <w:p w14:paraId="7776BA18" w14:textId="77777777" w:rsidR="00C7001D" w:rsidRPr="00C7001D" w:rsidRDefault="00C7001D" w:rsidP="00C7001D">
      <w:r w:rsidRPr="00C7001D">
        <w:t>En este contexto, es importante señalar la existencia de otras disposiciones que no afectan de forma exclusiva a las entidades de crédito y cuya supervisión corresponde a diferentes autoridades competentes, en especial:</w:t>
      </w:r>
    </w:p>
    <w:p w14:paraId="20CE29B9" w14:textId="77777777" w:rsidR="00C7001D" w:rsidRPr="00C7001D" w:rsidRDefault="00C7001D" w:rsidP="00C7001D">
      <w:pPr>
        <w:numPr>
          <w:ilvl w:val="0"/>
          <w:numId w:val="3"/>
        </w:numPr>
      </w:pPr>
      <w:r w:rsidRPr="00C7001D">
        <w:t>Las autoridades fiscales, con competencias relativas a las normas tributarias.</w:t>
      </w:r>
    </w:p>
    <w:p w14:paraId="2023738D" w14:textId="77777777" w:rsidR="00C7001D" w:rsidRPr="00C7001D" w:rsidRDefault="00C7001D" w:rsidP="00C7001D">
      <w:pPr>
        <w:numPr>
          <w:ilvl w:val="0"/>
          <w:numId w:val="3"/>
        </w:numPr>
      </w:pPr>
      <w:r w:rsidRPr="00C7001D">
        <w:t>La Comisión Nacional del Mercado de Valores (CNMV), con competencias relativas a las normas de funcionamiento de dichos mercados.</w:t>
      </w:r>
    </w:p>
    <w:p w14:paraId="0B14BDCB" w14:textId="77777777" w:rsidR="00C7001D" w:rsidRPr="00C7001D" w:rsidRDefault="00C7001D" w:rsidP="00C7001D">
      <w:pPr>
        <w:numPr>
          <w:ilvl w:val="0"/>
          <w:numId w:val="3"/>
        </w:numPr>
      </w:pPr>
      <w:r w:rsidRPr="00C7001D">
        <w:t>La Dirección General de Seguros y Fondos de Pensiones (DGSFP), encargada de las normas relativas a los contratos de seguros y fondos de pensiones.</w:t>
      </w:r>
    </w:p>
    <w:p w14:paraId="35C1D8DB" w14:textId="77777777" w:rsidR="00C7001D" w:rsidRPr="00C7001D" w:rsidRDefault="00C7001D" w:rsidP="00C7001D">
      <w:pPr>
        <w:numPr>
          <w:ilvl w:val="0"/>
          <w:numId w:val="3"/>
        </w:numPr>
      </w:pPr>
      <w:r w:rsidRPr="00C7001D">
        <w:lastRenderedPageBreak/>
        <w:t>El Servicio Ejecutivo de la Comisión de Prevención del Blanqueo de Capitales e Infracciones Monetarias (</w:t>
      </w:r>
      <w:proofErr w:type="spellStart"/>
      <w:r w:rsidRPr="00C7001D">
        <w:t>Sepblac</w:t>
      </w:r>
      <w:proofErr w:type="spellEnd"/>
      <w:r w:rsidRPr="00C7001D">
        <w:t>), con competencias sobre estas materias.</w:t>
      </w:r>
    </w:p>
    <w:p w14:paraId="68A927AB" w14:textId="77777777" w:rsidR="00C7001D" w:rsidRPr="00C7001D" w:rsidRDefault="00C7001D" w:rsidP="00C7001D">
      <w:r w:rsidRPr="00C7001D">
        <w:t>Límites de la supervisión</w:t>
      </w:r>
    </w:p>
    <w:p w14:paraId="3C63AA5B" w14:textId="77777777" w:rsidR="00C7001D" w:rsidRPr="00C7001D" w:rsidRDefault="00C7001D" w:rsidP="00C7001D">
      <w:r w:rsidRPr="00C7001D">
        <w:t>Las funciones supervisoras se concretan y acotan a la luz de los objetivos antes señalados, lo que permite su deslinde de otras instancias que desarrollan funciones con las que mantiene en ocasiones algunas concomitancias. Entre ellas cabe destacar:</w:t>
      </w:r>
    </w:p>
    <w:p w14:paraId="568B39BA" w14:textId="77777777" w:rsidR="00C7001D" w:rsidRPr="00C7001D" w:rsidRDefault="00C7001D" w:rsidP="00C7001D">
      <w:pPr>
        <w:numPr>
          <w:ilvl w:val="0"/>
          <w:numId w:val="4"/>
        </w:numPr>
      </w:pPr>
      <w:r w:rsidRPr="00C7001D">
        <w:t>La </w:t>
      </w:r>
      <w:r w:rsidRPr="00C7001D">
        <w:rPr>
          <w:b/>
          <w:bCs/>
        </w:rPr>
        <w:t>gestión y administración de las entidades</w:t>
      </w:r>
      <w:r w:rsidRPr="00C7001D">
        <w:t>. Aunque los administradores y los gestores son los responsables de su marcha, de sus éxitos y de sus fracasos, el supervisor realiza los análisis y comprobaciones precisos para obtener un conocimiento razonable de su solvencia y situación. Utiliza para ello los procedimientos más adecuados al caso a la vista de la situación de cada entidad, teniendo en cuenta su tamaño, su complejidad, su perfil de riesgo y la posibilidad de que las eventuales dificultades o incumplimientos de la entidad contagien al sistema financiero.</w:t>
      </w:r>
      <w:r w:rsidRPr="00C7001D">
        <w:br/>
        <w:t>Tales actuaciones no suponen, ni pueden suponer, la revisión exhaustiva de las operaciones realizadas por la entidad, tarea que solamente se encomienda -con carácter excepcional y en caso de especial gravedad-, a los interventores administrativos, nombrados de acuerdo con lo previsto en la legislación sobre supervisión y resolución bancaria.</w:t>
      </w:r>
    </w:p>
    <w:p w14:paraId="36327827" w14:textId="77777777" w:rsidR="00C7001D" w:rsidRPr="00C7001D" w:rsidRDefault="00C7001D" w:rsidP="00C7001D">
      <w:pPr>
        <w:numPr>
          <w:ilvl w:val="0"/>
          <w:numId w:val="4"/>
        </w:numPr>
      </w:pPr>
      <w:r w:rsidRPr="00C7001D">
        <w:t>La </w:t>
      </w:r>
      <w:r w:rsidRPr="00C7001D">
        <w:rPr>
          <w:b/>
          <w:bCs/>
        </w:rPr>
        <w:t>auditoría interna y de control de riesgos</w:t>
      </w:r>
      <w:r w:rsidRPr="00C7001D">
        <w:t>. El auditor interno revisa las distintas áreas de la entidad, lo que asegura la aplicación correcta de los controles internos establecidos por los administradores y directivos, incluidas las normas internas y los procedimientos en vigor. En cambio, el supervisor se apoya, entre otros, en el trabajo del auditor interno y, como él, realiza labores de revisión, pero en ningún caso toma parte en la gestión de las entidades de crédito.</w:t>
      </w:r>
    </w:p>
    <w:p w14:paraId="49383301" w14:textId="77777777" w:rsidR="00C7001D" w:rsidRPr="00C7001D" w:rsidRDefault="00C7001D" w:rsidP="00C7001D">
      <w:pPr>
        <w:numPr>
          <w:ilvl w:val="0"/>
          <w:numId w:val="4"/>
        </w:numPr>
      </w:pPr>
      <w:r w:rsidRPr="00C7001D">
        <w:t>La </w:t>
      </w:r>
      <w:r w:rsidRPr="00C7001D">
        <w:rPr>
          <w:b/>
          <w:bCs/>
        </w:rPr>
        <w:t>auditoría externa de cuentas</w:t>
      </w:r>
      <w:r w:rsidRPr="00C7001D">
        <w:t>. El auditor externo ha de verificar y dictaminar si las cuentas anuales expresan la imagen fiel del patrimonio, de la situación financiera y de los resultados de la empresa auditada, plasmando su opinión en un informe que se deposita en el Registro Mercantil para garantizar su adecuada publicidad y surtir los efectos correspondientes frente a terceros. Con todo, el Banco de España también realiza tareas de verificación de datos durante las inspecciones in situ como parte del proceso de supervisión continuada de las entidades de crédito y los grupos consolidados, pero su trabajo está enfocado al logro de los objetivos descritos con anterioridad, no a facilitar información a terceros sobre las conclusiones alcanzadas. De hecho, con las salvedades expresamente previstas, todos los datos e informaciones que obren en su poder tienen carácter reservado y no pueden divulgarse a terceros, tal como se prevé en el artículo 82 de la Ley 10/2014, de 26 de junio.</w:t>
      </w:r>
    </w:p>
    <w:p w14:paraId="0C09881B" w14:textId="77777777" w:rsidR="00C7001D" w:rsidRPr="00C7001D" w:rsidRDefault="00C7001D" w:rsidP="00C7001D">
      <w:pPr>
        <w:numPr>
          <w:ilvl w:val="0"/>
          <w:numId w:val="4"/>
        </w:numPr>
      </w:pPr>
      <w:r w:rsidRPr="00C7001D">
        <w:lastRenderedPageBreak/>
        <w:t>Los </w:t>
      </w:r>
      <w:r w:rsidRPr="00C7001D">
        <w:rPr>
          <w:b/>
          <w:bCs/>
        </w:rPr>
        <w:t>sistemas de garantía de inversores y depositantes</w:t>
      </w:r>
      <w:r w:rsidRPr="00C7001D">
        <w:t>. La supervisión financiera persigue la estabilidad del sistema -lo que implica una disminución en la probabilidad de la existencia de crisis bancarias- e indirectamente la protección de los depositantes y acreedores. Sin embargo, las autoridades supervisoras no garantizan, en sentido propio, las operaciones de los clientes bancarios.</w:t>
      </w:r>
      <w:r w:rsidRPr="00C7001D">
        <w:br/>
        <w:t>Para asumir esta función, en los países desarrollados se han organizado sistemas de garantía que prevén, en casos de crisis y en determinadas condiciones, el reembolso de los depósitos o la indemnización por la pérdida de los valores confiados a las entidades de crédito.</w:t>
      </w:r>
      <w:r w:rsidRPr="00C7001D">
        <w:br/>
        <w:t>El sistema español está regulado básicamente en el Real Decreto 2606/1996, de 20 de diciembre, de Fondos de Garantía de Depósitos de Entidades de Crédito (FGD). Este real decreto prevé el pago de indemnizaciones a los depositantes y titulares de valores o instrumentos financieros que estuvieran depositados en las entidades de crédito con motivo de la prestación de un servicio de inversión.</w:t>
      </w:r>
    </w:p>
    <w:p w14:paraId="64B72602" w14:textId="77777777" w:rsidR="00C7001D" w:rsidRPr="00C7001D" w:rsidRDefault="00C7001D" w:rsidP="00C7001D">
      <w:pPr>
        <w:numPr>
          <w:ilvl w:val="0"/>
          <w:numId w:val="4"/>
        </w:numPr>
      </w:pPr>
      <w:r w:rsidRPr="00C7001D">
        <w:t>Los </w:t>
      </w:r>
      <w:r w:rsidRPr="00C7001D">
        <w:rPr>
          <w:b/>
          <w:bCs/>
        </w:rPr>
        <w:t>sistemas de resolución</w:t>
      </w:r>
      <w:r w:rsidRPr="00C7001D">
        <w:t>. Son los encargados de gestionar situaciones de inviabilidad de una entidad minimizando el riesgo para la estabilidad financiera y el coste para el conjunto de la sociedad.</w:t>
      </w:r>
    </w:p>
    <w:p w14:paraId="613A0F63" w14:textId="77777777" w:rsidR="00C7001D" w:rsidRPr="00C7001D" w:rsidRDefault="00C7001D" w:rsidP="00C7001D">
      <w:r w:rsidRPr="00C7001D">
        <w:t>El ejercicio de las competencias supervisoras tiene presentes los objetivos y límites anteriores. Asigna los recursos de forma eficiente y define sus planes de supervisión teniendo en cuenta la importancia y el perfil de riesgo de cada entidad y el carácter prioritario del seguimiento de su solvencia.</w:t>
      </w:r>
    </w:p>
    <w:p w14:paraId="0B6D420D" w14:textId="77777777" w:rsidR="00C7001D" w:rsidRPr="00C7001D" w:rsidRDefault="00C7001D" w:rsidP="00C7001D">
      <w:r w:rsidRPr="00C7001D">
        <w:t>Además, las actuaciones supervisoras se basan en la prudencia y tienen una orientación constructiva, pues su objetivo es solucionar los problemas que se presenten en beneficio de la solvencia y viabilidad de las entidades de crédito y de la estabilidad del sistema.</w:t>
      </w:r>
    </w:p>
    <w:p w14:paraId="798BB493" w14:textId="77777777" w:rsidR="00C7001D" w:rsidRPr="00C7001D" w:rsidRDefault="00C7001D" w:rsidP="00C7001D">
      <w:r w:rsidRPr="00C7001D">
        <w:t>Esto da pie a la realización discreta de actuaciones a lo largo de un espacio de tiempo -que puede ser amplio- y, adicionalmente, a la toma de decisiones y medidas urgentes en aquellos casos en que la entidad se enfrente a situaciones de deterioro progresivo.</w:t>
      </w:r>
    </w:p>
    <w:p w14:paraId="4B86163A" w14:textId="02716310" w:rsidR="00C7001D" w:rsidRPr="00C7001D" w:rsidRDefault="00C7001D" w:rsidP="00C7001D">
      <w:r w:rsidRPr="00C7001D">
        <w:t>ASBA</w:t>
      </w:r>
    </w:p>
    <w:p w14:paraId="720F8768" w14:textId="77777777" w:rsidR="00C7001D" w:rsidRPr="00C7001D" w:rsidRDefault="00C7001D" w:rsidP="00C7001D">
      <w:r w:rsidRPr="00C7001D">
        <w:t>La Asociación de Supervisores Bancarios de las Américas (ASBA) reúne a los supervisores de América del Norte, América Central, América del Sur y España. Su misión consiste en:</w:t>
      </w:r>
    </w:p>
    <w:p w14:paraId="58CAA6E7" w14:textId="77777777" w:rsidR="00C7001D" w:rsidRPr="00C7001D" w:rsidRDefault="00C7001D" w:rsidP="00C7001D">
      <w:pPr>
        <w:numPr>
          <w:ilvl w:val="0"/>
          <w:numId w:val="6"/>
        </w:numPr>
      </w:pPr>
      <w:r w:rsidRPr="00C7001D">
        <w:t>Desarrollar, diseminar y promover prácticas de supervisión bancaria en línea con estándares internacionales.</w:t>
      </w:r>
    </w:p>
    <w:p w14:paraId="7171CB26" w14:textId="77777777" w:rsidR="00C7001D" w:rsidRPr="00C7001D" w:rsidRDefault="00C7001D" w:rsidP="00C7001D">
      <w:pPr>
        <w:numPr>
          <w:ilvl w:val="0"/>
          <w:numId w:val="6"/>
        </w:numPr>
      </w:pPr>
      <w:r w:rsidRPr="00C7001D">
        <w:lastRenderedPageBreak/>
        <w:t>Apoyar el desarrollo de competencias y de recursos en supervisión bancaria a través de la efectiva provisión de capacitación y servicios de cooperación técnica.</w:t>
      </w:r>
    </w:p>
    <w:p w14:paraId="358B6BD7" w14:textId="77777777" w:rsidR="00C7001D" w:rsidRPr="00C7001D" w:rsidRDefault="00C7001D" w:rsidP="00C7001D">
      <w:r w:rsidRPr="00C7001D">
        <w:t>Para conseguir estos objetivos, ASBA desarrolla actuaciones en varios terrenos:</w:t>
      </w:r>
    </w:p>
    <w:p w14:paraId="40B4D479" w14:textId="77777777" w:rsidR="00C7001D" w:rsidRPr="00C7001D" w:rsidRDefault="00C7001D" w:rsidP="00C7001D">
      <w:pPr>
        <w:numPr>
          <w:ilvl w:val="0"/>
          <w:numId w:val="7"/>
        </w:numPr>
      </w:pPr>
      <w:r w:rsidRPr="00C7001D">
        <w:t>Promueve la implementación de marcos de regulación y supervisión adecuados a los estándares internacionales.</w:t>
      </w:r>
    </w:p>
    <w:p w14:paraId="7447F6BA" w14:textId="77777777" w:rsidR="00C7001D" w:rsidRPr="00C7001D" w:rsidRDefault="00C7001D" w:rsidP="00C7001D">
      <w:pPr>
        <w:numPr>
          <w:ilvl w:val="0"/>
          <w:numId w:val="7"/>
        </w:numPr>
      </w:pPr>
      <w:r w:rsidRPr="00C7001D">
        <w:t>Da apoyo a sus miembros para desarrollar recursos de supervisión capaces de permitirles llevar a cabo sus responsabilidades en un ambiente dinámico.</w:t>
      </w:r>
    </w:p>
    <w:p w14:paraId="07D1366F" w14:textId="77777777" w:rsidR="00C7001D" w:rsidRPr="00C7001D" w:rsidRDefault="00C7001D" w:rsidP="00C7001D">
      <w:pPr>
        <w:numPr>
          <w:ilvl w:val="0"/>
          <w:numId w:val="7"/>
        </w:numPr>
      </w:pPr>
      <w:r w:rsidRPr="00C7001D">
        <w:t>Da soporte a una red de relaciones de trabajo que fomenta el reconocimiento de ASBA como un interlocutor internacional en materia de regulación y supervisión bancaria.</w:t>
      </w:r>
    </w:p>
    <w:p w14:paraId="0021F35B" w14:textId="77777777" w:rsidR="00C7001D" w:rsidRPr="00C7001D" w:rsidRDefault="00C7001D" w:rsidP="00C7001D">
      <w:r w:rsidRPr="00C7001D">
        <w:t>La Secretaría General de ASBA está radicada en México D.F.</w:t>
      </w:r>
    </w:p>
    <w:p w14:paraId="318191EC" w14:textId="77777777" w:rsidR="00C7001D" w:rsidRPr="00C7001D" w:rsidRDefault="00C7001D" w:rsidP="00C7001D">
      <w:r w:rsidRPr="00C7001D">
        <w:t>El Banco de España es miembro asociado (es decir, de pleno derecho) de la Asociación.</w:t>
      </w:r>
    </w:p>
    <w:p w14:paraId="7A6A12E9" w14:textId="7EFBCB39" w:rsidR="00C7001D" w:rsidRPr="00C7001D" w:rsidRDefault="00C7001D" w:rsidP="00C7001D">
      <w:r w:rsidRPr="00C7001D">
        <w:t>EBA</w:t>
      </w:r>
    </w:p>
    <w:p w14:paraId="52647C90" w14:textId="77777777" w:rsidR="00C7001D" w:rsidRPr="00C7001D" w:rsidRDefault="00C7001D" w:rsidP="00C7001D">
      <w:r w:rsidRPr="00C7001D">
        <w:t>La Autoridad Bancaria Europea (EBA, por sus siglas en inglés) es una autoridad europea independiente fundada el 1 de enero de 2011, como parte del Sistema Europeo de Supervisión Financiera.</w:t>
      </w:r>
    </w:p>
    <w:p w14:paraId="740B8D55" w14:textId="77777777" w:rsidR="00C7001D" w:rsidRPr="00C7001D" w:rsidRDefault="00C7001D" w:rsidP="00C7001D">
      <w:r w:rsidRPr="00C7001D">
        <w:t>El Sistema incluye tres autoridades sectoriales -la Autoridad Bancaria Europea, la Autoridad Europea de Seguros y Pensiones de Jubilación y la Autoridad Europea de Valores y Mercados- y la Junta Europea de Riesgo Sistémico. El objetivo principal del sistema es asegurar que las reglas de aplicación al sector financiero se implementan adecuadamente, con el fin de preservar la estabilidad financiera. El sistema tiene como meta fomentar la confianza en el sistema financiero, y garantizar una protección adecuada a los consumidores de servicios financieros.</w:t>
      </w:r>
    </w:p>
    <w:p w14:paraId="7A39DABB" w14:textId="77777777" w:rsidR="00C7001D" w:rsidRPr="00C7001D" w:rsidRDefault="00C7001D" w:rsidP="00C7001D">
      <w:r w:rsidRPr="00C7001D">
        <w:t>Dentro de este marco, y con vistas a mejorar el funcionamiento del Mercado Único, la EBA contribuirá a asegurar un alto nivel de regulación y supervisión del sistema bancario, que sea efectivo y consistente en toda la Unión Europea (UE). Promoverá, además, la estabilidad del sistema financiero, la transparencia de los mercados y productos financieros y la protección de los depositantes e inversores.</w:t>
      </w:r>
    </w:p>
    <w:p w14:paraId="188924A8" w14:textId="77777777" w:rsidR="00C7001D" w:rsidRPr="00C7001D" w:rsidRDefault="00C7001D" w:rsidP="00C7001D">
      <w:r w:rsidRPr="00C7001D">
        <w:t>La Autoridad trabajará para prevenir el arbitraje regulatorio, garantizar el principio de igualdad de condiciones, fortalecer la coordinación supervisora a nivel internacional y promover la convergencia de las prácticas supervisoras. Igualmente, suministrará asesoramiento a las instituciones de la UE en temas bancarios, de sistemas de pagos y de regulación y supervisión de las entidades de dinero electrónico, así como en asuntos relativos a gobierno corporativo de las entidades, auditoría e información financiera.</w:t>
      </w:r>
    </w:p>
    <w:p w14:paraId="60500A16" w14:textId="77777777" w:rsidR="00C7001D" w:rsidRPr="00C7001D" w:rsidRDefault="00C7001D" w:rsidP="00C7001D">
      <w:r w:rsidRPr="00C7001D">
        <w:lastRenderedPageBreak/>
        <w:t>La Autoridad ha asumido todas las competencias y tareas del Comité Europeo de Supervisores Bancarios (CEBS, por sus siglas en inglés), y tiene sus oficinas centrales en París.</w:t>
      </w:r>
    </w:p>
    <w:p w14:paraId="799FCBA6" w14:textId="77777777" w:rsidR="00C7001D" w:rsidRPr="00C7001D" w:rsidRDefault="00C7001D" w:rsidP="00C7001D">
      <w:r w:rsidRPr="00C7001D">
        <w:t>El Banco de España es el representante español en la Autoridad.</w:t>
      </w:r>
    </w:p>
    <w:p w14:paraId="634D2F04" w14:textId="24CD75FB" w:rsidR="00C7001D" w:rsidRPr="00C7001D" w:rsidRDefault="00C7001D" w:rsidP="00C7001D">
      <w:pPr>
        <w:rPr>
          <w:b/>
          <w:bCs/>
          <w:sz w:val="28"/>
          <w:szCs w:val="28"/>
        </w:rPr>
      </w:pPr>
      <w:r w:rsidRPr="00C7001D">
        <w:rPr>
          <w:b/>
          <w:bCs/>
          <w:sz w:val="28"/>
          <w:szCs w:val="28"/>
        </w:rPr>
        <w:t>BCBS</w:t>
      </w:r>
    </w:p>
    <w:p w14:paraId="2311AA56" w14:textId="77777777" w:rsidR="00C7001D" w:rsidRPr="00C7001D" w:rsidRDefault="00C7001D" w:rsidP="00C7001D">
      <w:r w:rsidRPr="00C7001D">
        <w:t>El Comité de Supervisión Bancaria de Basilea (BCBS, por sus siglas en inglés) es el organismo encargado a nivel mundial de la regulación prudencial de los bancos y, en particular, de su solvencia. Los estándares de regulación bancaria que acuerda el Comité no son legalmente vinculantes, pero su implantación se basa en el compromiso de sus miembros para adoptarlos. De este modo, el Comité promueve la igualdad de condiciones para todos los competidores bancarios a nivel internacional. Asimismo, el Comité constituye el principal foro internacional de cooperación en materia de supervisión bancaria.</w:t>
      </w:r>
    </w:p>
    <w:p w14:paraId="77C05EB6" w14:textId="77777777" w:rsidR="00C7001D" w:rsidRPr="00C7001D" w:rsidRDefault="00C7001D" w:rsidP="00C7001D">
      <w:r w:rsidRPr="00C7001D">
        <w:t>El principal objetivo del BCBS es fortalecer la regulación, la supervisión y las prácticas de los bancos a nivel internacional, con el fin de mejorar su solvencia, liquidez, gobernanza y gestión del riesgo, y así conseguir una mayor estabilidad financiera mundial. Para ello, entre otras, desarrolla las siguientes actividades:</w:t>
      </w:r>
    </w:p>
    <w:p w14:paraId="29FE522C" w14:textId="77777777" w:rsidR="00C7001D" w:rsidRPr="00C7001D" w:rsidRDefault="00C7001D" w:rsidP="00C7001D">
      <w:pPr>
        <w:numPr>
          <w:ilvl w:val="0"/>
          <w:numId w:val="10"/>
        </w:numPr>
      </w:pPr>
      <w:r w:rsidRPr="00C7001D">
        <w:t>Establecer y promover estándares globales de regulación bancaria, monitorizando su implementación.</w:t>
      </w:r>
    </w:p>
    <w:p w14:paraId="1CA324BF" w14:textId="77777777" w:rsidR="00C7001D" w:rsidRPr="00C7001D" w:rsidRDefault="00C7001D" w:rsidP="00C7001D">
      <w:pPr>
        <w:numPr>
          <w:ilvl w:val="0"/>
          <w:numId w:val="10"/>
        </w:numPr>
      </w:pPr>
      <w:r w:rsidRPr="00C7001D">
        <w:t>Intercambiar información sobre el sector bancario, identificando riesgos asociados.</w:t>
      </w:r>
    </w:p>
    <w:p w14:paraId="39C58728" w14:textId="77777777" w:rsidR="00C7001D" w:rsidRPr="00C7001D" w:rsidRDefault="00C7001D" w:rsidP="00C7001D">
      <w:pPr>
        <w:numPr>
          <w:ilvl w:val="0"/>
          <w:numId w:val="10"/>
        </w:numPr>
      </w:pPr>
      <w:r w:rsidRPr="00C7001D">
        <w:t>Intercambiar experiencias, enfoques y técnicas entre supervisores y bancos centrales.</w:t>
      </w:r>
    </w:p>
    <w:p w14:paraId="69DEE637" w14:textId="77777777" w:rsidR="00C7001D" w:rsidRPr="00C7001D" w:rsidRDefault="00C7001D" w:rsidP="00C7001D">
      <w:pPr>
        <w:numPr>
          <w:ilvl w:val="0"/>
          <w:numId w:val="10"/>
        </w:numPr>
      </w:pPr>
      <w:r w:rsidRPr="00C7001D">
        <w:t>Colaborar con otros organismos internacionales del sector financiero, así como con bancos centrales y supervisores de países que no son miembros del Comité.</w:t>
      </w:r>
    </w:p>
    <w:p w14:paraId="2732C045" w14:textId="77777777" w:rsidR="00C7001D" w:rsidRPr="00C7001D" w:rsidRDefault="00C7001D" w:rsidP="00C7001D">
      <w:r w:rsidRPr="00C7001D">
        <w:t xml:space="preserve">Las principales decisiones del Comité deben ser refrendadas por el Grupo de Gobernadores y </w:t>
      </w:r>
      <w:proofErr w:type="gramStart"/>
      <w:r w:rsidRPr="00C7001D">
        <w:t>Jefes</w:t>
      </w:r>
      <w:proofErr w:type="gramEnd"/>
      <w:r w:rsidRPr="00C7001D">
        <w:t xml:space="preserve"> de Supervisión (GHOS, por sus siglas en inglés), que es el órgano de control del BCBS y que está formado por las mismas jurisdicciones que integran el Comité.</w:t>
      </w:r>
    </w:p>
    <w:p w14:paraId="6106ED4F" w14:textId="77777777" w:rsidR="00C7001D" w:rsidRPr="00C7001D" w:rsidRDefault="00C7001D" w:rsidP="00C7001D">
      <w:r w:rsidRPr="00C7001D">
        <w:t>Uno de los ejemplos más relevantes de la actividad del Comité de Basilea es el llamado Acuerdo de Basilea, que establece los estándares internacionales de regulación bancaria prudencial. El primer Acuerdo de Basilea (Basilea I) data de 1988. Posteriormente vio la luz, en el año 2004, Basilea II, que modificaba varios aspectos del anterior. Más recientemente, en diciembre de 2017, se finalizó el proceso de revisión en profundidad de Basilea II, acordándose un nuevo marco de regulación prudencial, conocido como Basilea III.</w:t>
      </w:r>
    </w:p>
    <w:p w14:paraId="61CACC29" w14:textId="77777777" w:rsidR="00C7001D" w:rsidRPr="00C7001D" w:rsidRDefault="00C7001D" w:rsidP="00C7001D">
      <w:r w:rsidRPr="00C7001D">
        <w:lastRenderedPageBreak/>
        <w:t>En la actualidad, las prioridades del BCBS incluyen, entre otras, finalizar las iniciativas de regulación en curso, así como desarrollar nuevos estándares sobre aspectos específicos; evaluar los efectos de las reformas regulatorias acordadas, después de una década de intenso cambio regulatorio; identificar y vigilar los nuevos riesgos; promover una supervisión sólida; e impulsar la implementación completa y consistente de las reformas dentro de los plazos acordados.</w:t>
      </w:r>
    </w:p>
    <w:p w14:paraId="3C072047" w14:textId="77777777" w:rsidR="00C7001D" w:rsidRPr="00C7001D" w:rsidRDefault="00C7001D" w:rsidP="00C7001D">
      <w:r w:rsidRPr="00C7001D">
        <w:t>El BCBS está compuesto por representantes de 28 jurisdicciones, entre los que se encuentran bancos centrales y autoridades con responsabilidad en la supervisión bancaria. Además, en el BCBS participan, como observadores, diversos organismos internacionales y algunos países.</w:t>
      </w:r>
    </w:p>
    <w:p w14:paraId="786E2665" w14:textId="77777777" w:rsidR="00C7001D" w:rsidRPr="00C7001D" w:rsidRDefault="00C7001D" w:rsidP="00C7001D">
      <w:r w:rsidRPr="00C7001D">
        <w:t>El Banco de España es miembro del BCBS desde 2001. El resto de jurisdicciones que son miembros del Comité son Alemania, Arabia Saudí, Argentina, Australia, Bélgica, Brasil, Canadá, China, República de Corea, Estados Unidos, Francia, Hong Kong, India, Indonesia, Italia, Japón, Luxemburgo, México, Países Bajos, Reino Unido, Rusia, Singapur, Sudáfrica, Suecia, Suiza, Turquía y Unión Europea (Banco Central Europeo y Mecanismo Único de Supervisión).</w:t>
      </w:r>
    </w:p>
    <w:p w14:paraId="62C7AD13" w14:textId="5F3F91E9" w:rsidR="00C7001D" w:rsidRPr="00C7001D" w:rsidRDefault="00C7001D" w:rsidP="00C7001D">
      <w:pPr>
        <w:rPr>
          <w:b/>
          <w:bCs/>
          <w:sz w:val="28"/>
          <w:szCs w:val="28"/>
        </w:rPr>
      </w:pPr>
      <w:r w:rsidRPr="00C7001D">
        <w:rPr>
          <w:b/>
          <w:bCs/>
          <w:sz w:val="28"/>
          <w:szCs w:val="28"/>
        </w:rPr>
        <w:t>FSB</w:t>
      </w:r>
    </w:p>
    <w:p w14:paraId="2147AB83" w14:textId="77777777" w:rsidR="00C7001D" w:rsidRPr="00C7001D" w:rsidRDefault="00C7001D" w:rsidP="00C7001D">
      <w:r w:rsidRPr="00C7001D">
        <w:t>El Consejo de Estabilidad Financiera (FSB, por sus siglas en inglés) coordina a nivel internacional el trabajo de las autoridades financieras nacionales y el de los organismos internacionales de emisión de estándares de la actividad financiera. El Consejo desarrolla y promueve la implementación de políticas efectivas en la supervisión y regulación del sector financiero.</w:t>
      </w:r>
    </w:p>
    <w:p w14:paraId="558B92DC" w14:textId="77777777" w:rsidR="00C7001D" w:rsidRPr="00C7001D" w:rsidRDefault="00C7001D" w:rsidP="00C7001D">
      <w:r w:rsidRPr="00C7001D">
        <w:t>El FSB tiene como tareas:</w:t>
      </w:r>
    </w:p>
    <w:p w14:paraId="668DECB1" w14:textId="77777777" w:rsidR="00C7001D" w:rsidRPr="00C7001D" w:rsidRDefault="00C7001D" w:rsidP="00C7001D">
      <w:pPr>
        <w:numPr>
          <w:ilvl w:val="0"/>
          <w:numId w:val="12"/>
        </w:numPr>
      </w:pPr>
      <w:r w:rsidRPr="00C7001D">
        <w:t>Valorar las vulnerabilidades del sistema financiero, identificar y supervisar las acciones necesarias para enfrentarlas.</w:t>
      </w:r>
    </w:p>
    <w:p w14:paraId="6DBE3C48" w14:textId="77777777" w:rsidR="00C7001D" w:rsidRPr="00C7001D" w:rsidRDefault="00C7001D" w:rsidP="00C7001D">
      <w:pPr>
        <w:numPr>
          <w:ilvl w:val="0"/>
          <w:numId w:val="12"/>
        </w:numPr>
      </w:pPr>
      <w:r w:rsidRPr="00C7001D">
        <w:t>Promover la coordinación y el intercambio de información entre las autoridades responsables de la estabilidad financiera.</w:t>
      </w:r>
    </w:p>
    <w:p w14:paraId="361B8B45" w14:textId="77777777" w:rsidR="00C7001D" w:rsidRPr="00C7001D" w:rsidRDefault="00C7001D" w:rsidP="00C7001D">
      <w:pPr>
        <w:numPr>
          <w:ilvl w:val="0"/>
          <w:numId w:val="12"/>
        </w:numPr>
      </w:pPr>
      <w:r w:rsidRPr="00C7001D">
        <w:t>Seguir los desarrollos de los mercados y asesorar sobre sus implicaciones regulatorias.</w:t>
      </w:r>
    </w:p>
    <w:p w14:paraId="59BAAC4F" w14:textId="77777777" w:rsidR="00C7001D" w:rsidRPr="00C7001D" w:rsidRDefault="00C7001D" w:rsidP="00C7001D">
      <w:pPr>
        <w:numPr>
          <w:ilvl w:val="0"/>
          <w:numId w:val="12"/>
        </w:numPr>
      </w:pPr>
      <w:r w:rsidRPr="00C7001D">
        <w:t>Analizar y asesorar las prácticas adecuadas para cumplir con los estándares regulatorios.</w:t>
      </w:r>
    </w:p>
    <w:p w14:paraId="69712F29" w14:textId="77777777" w:rsidR="00C7001D" w:rsidRPr="00C7001D" w:rsidRDefault="00C7001D" w:rsidP="00C7001D">
      <w:pPr>
        <w:numPr>
          <w:ilvl w:val="0"/>
          <w:numId w:val="12"/>
        </w:numPr>
      </w:pPr>
      <w:r w:rsidRPr="00C7001D">
        <w:t>Emprender revisiones estratégicas conjuntas de las políticas que desarrollan los organismos emisores de estándares, para asegurar que sus iniciativas son oportunas, que están coordinadas y que abordan las cuestiones prioritarias.</w:t>
      </w:r>
    </w:p>
    <w:p w14:paraId="362B1747" w14:textId="77777777" w:rsidR="00C7001D" w:rsidRPr="00C7001D" w:rsidRDefault="00C7001D" w:rsidP="00C7001D">
      <w:pPr>
        <w:numPr>
          <w:ilvl w:val="0"/>
          <w:numId w:val="12"/>
        </w:numPr>
      </w:pPr>
      <w:r w:rsidRPr="00C7001D">
        <w:t>Elaborar directrices para la organización de colegios supervisores, y apoyar su establecimiento.</w:t>
      </w:r>
    </w:p>
    <w:p w14:paraId="2E28E166" w14:textId="77777777" w:rsidR="00C7001D" w:rsidRPr="00C7001D" w:rsidRDefault="00C7001D" w:rsidP="00C7001D">
      <w:pPr>
        <w:numPr>
          <w:ilvl w:val="0"/>
          <w:numId w:val="12"/>
        </w:numPr>
      </w:pPr>
      <w:r w:rsidRPr="00C7001D">
        <w:lastRenderedPageBreak/>
        <w:t>Gestionar planes de contingencia para casos de crisis transfronterizas, en particular por lo que afecta a entidades sistémicas.</w:t>
      </w:r>
    </w:p>
    <w:p w14:paraId="715BE164" w14:textId="77777777" w:rsidR="00C7001D" w:rsidRPr="00C7001D" w:rsidRDefault="00C7001D" w:rsidP="00C7001D">
      <w:pPr>
        <w:numPr>
          <w:ilvl w:val="0"/>
          <w:numId w:val="12"/>
        </w:numPr>
      </w:pPr>
      <w:r w:rsidRPr="00C7001D">
        <w:t>Colaborar con el Fondo Monetario Internacional (FMI) en la realización de ejercicios de alerta temprana.</w:t>
      </w:r>
    </w:p>
    <w:p w14:paraId="6CE2A346" w14:textId="77777777" w:rsidR="00C7001D" w:rsidRPr="00C7001D" w:rsidRDefault="00C7001D" w:rsidP="00C7001D">
      <w:r w:rsidRPr="00C7001D">
        <w:t>Los miembros del FSB se comprometen a procurar el mantenimiento de la estabilidad financiera, mantener la apertura y transparencia del sector financiero, implementar los estándares financieros internacionales y someterse con carácter periódico a revisiones </w:t>
      </w:r>
      <w:r w:rsidRPr="00C7001D">
        <w:rPr>
          <w:i/>
          <w:iCs/>
        </w:rPr>
        <w:t>inter pares</w:t>
      </w:r>
      <w:r w:rsidRPr="00C7001D">
        <w:t> del cumplimiento de estas obligaciones.</w:t>
      </w:r>
    </w:p>
    <w:p w14:paraId="4D9EAEA3" w14:textId="77777777" w:rsidR="00C7001D" w:rsidRPr="00C7001D" w:rsidRDefault="00C7001D" w:rsidP="00C7001D">
      <w:r w:rsidRPr="00C7001D">
        <w:t>Forman parte del FSB las autoridades de Alemania, Arabia Saudí, Argentina, Australia, Brasil, Canadá, China, Corea, España, Estados Unidos, Francia, Hong Kong, India, Indonesia, Italia, Japón, México, Países Bajos, Reino Unido, Rusia, Singapur, Sudáfrica, Suiza y Turquía, además de diversas organizaciones internacionales (Banco Central Europeo, Banco de Pagos Internacionales, Banco Mundial, Comisión Europea, FMI y Organización para la Cooperación y el Desarrollo Económico) y entidades reguladoras globales. La secretaría del Comité se encuentra en el Banco de Pagos Internacionales, en Basilea (Suiza).</w:t>
      </w:r>
    </w:p>
    <w:p w14:paraId="5B9E86F1" w14:textId="77777777" w:rsidR="00C7001D" w:rsidRPr="00C7001D" w:rsidRDefault="00C7001D" w:rsidP="00C7001D">
      <w:r w:rsidRPr="00C7001D">
        <w:t>El Banco de España y el Ministerio de Economía y Hacienda son los representantes españoles en el FSB.</w:t>
      </w:r>
    </w:p>
    <w:p w14:paraId="7C216ACE" w14:textId="77777777" w:rsidR="00A342D7" w:rsidRDefault="00A342D7"/>
    <w:p w14:paraId="373AF761" w14:textId="61F3C0FD" w:rsidR="00C7001D" w:rsidRPr="00C7001D" w:rsidRDefault="00C7001D" w:rsidP="00C7001D">
      <w:pPr>
        <w:rPr>
          <w:b/>
          <w:bCs/>
          <w:sz w:val="28"/>
          <w:szCs w:val="28"/>
        </w:rPr>
      </w:pPr>
      <w:r w:rsidRPr="00C7001D">
        <w:rPr>
          <w:b/>
          <w:bCs/>
          <w:sz w:val="28"/>
          <w:szCs w:val="28"/>
        </w:rPr>
        <w:t>Joint Forum</w:t>
      </w:r>
    </w:p>
    <w:p w14:paraId="6C3115FC" w14:textId="77777777" w:rsidR="00C7001D" w:rsidRPr="00C7001D" w:rsidRDefault="00C7001D" w:rsidP="00C7001D">
      <w:r w:rsidRPr="00C7001D">
        <w:t>El Joint Forum se estableció en 1996 bajo los auspicios del Comité de Supervisión Bancaria de Basilea (BCBS, por sus siglas en inglés), la Organización Internacional de Comisiones de Valores (IOSCO, por sus siglas en inglés) y la Asociación Internacional de Supervisores de Seguros (IAIS, por sus siglas en ingles).</w:t>
      </w:r>
    </w:p>
    <w:p w14:paraId="322544E8" w14:textId="77777777" w:rsidR="00C7001D" w:rsidRPr="00C7001D" w:rsidRDefault="00C7001D" w:rsidP="00C7001D">
      <w:r w:rsidRPr="00C7001D">
        <w:t>Su objetivo es hacer frente a cuestiones que son comunes para la banca, los mercados de valores y los seguros, incluyendo la regulación de los conglomerados financieros.</w:t>
      </w:r>
    </w:p>
    <w:p w14:paraId="5AD14289" w14:textId="77777777" w:rsidR="00C7001D" w:rsidRPr="00C7001D" w:rsidRDefault="00C7001D" w:rsidP="00C7001D">
      <w:r w:rsidRPr="00C7001D">
        <w:t>Está integrado por expertos de las autoridades de supervisión de bancos, seguros y mercados de valores de Alemania, Australia, Bélgica, Canadá, España, Estados Unidos, Francia, Italia, Japón, Países Bajos, Suiza y Reino Unido.</w:t>
      </w:r>
    </w:p>
    <w:p w14:paraId="28F25BD6" w14:textId="77777777" w:rsidR="00C7001D" w:rsidRPr="00C7001D" w:rsidRDefault="00C7001D" w:rsidP="00C7001D">
      <w:r w:rsidRPr="00C7001D">
        <w:t>La secretaría del Joint Forum se encuentra en el Banco de Pagos Internacionales en Basilea (Suiza).</w:t>
      </w:r>
    </w:p>
    <w:p w14:paraId="74B9E0F4" w14:textId="77777777" w:rsidR="00C7001D" w:rsidRPr="00C7001D" w:rsidRDefault="00C7001D" w:rsidP="00C7001D">
      <w:r w:rsidRPr="00C7001D">
        <w:t>El Banco de España participa activamente en los trabajos del Joint Forum.</w:t>
      </w:r>
    </w:p>
    <w:p w14:paraId="346538EE" w14:textId="50FF9418" w:rsidR="00C7001D" w:rsidRPr="00C7001D" w:rsidRDefault="00C7001D" w:rsidP="00C7001D">
      <w:pPr>
        <w:rPr>
          <w:b/>
          <w:bCs/>
          <w:sz w:val="28"/>
          <w:szCs w:val="28"/>
        </w:rPr>
      </w:pPr>
      <w:r w:rsidRPr="00C7001D">
        <w:rPr>
          <w:b/>
          <w:bCs/>
          <w:sz w:val="28"/>
          <w:szCs w:val="28"/>
        </w:rPr>
        <w:t>Acuerdos de colaboración en materia de supervisión</w:t>
      </w:r>
    </w:p>
    <w:p w14:paraId="2A45CED1" w14:textId="77777777" w:rsidR="00C7001D" w:rsidRPr="00C7001D" w:rsidRDefault="00C7001D" w:rsidP="00C7001D">
      <w:r w:rsidRPr="00C7001D">
        <w:lastRenderedPageBreak/>
        <w:t>Los convenios de cooperación en materia de supervisión ("</w:t>
      </w:r>
      <w:proofErr w:type="spellStart"/>
      <w:r w:rsidRPr="00C7001D">
        <w:t>Memorandum</w:t>
      </w:r>
      <w:proofErr w:type="spellEnd"/>
      <w:r w:rsidRPr="00C7001D">
        <w:t xml:space="preserve"> </w:t>
      </w:r>
      <w:proofErr w:type="spellStart"/>
      <w:r w:rsidRPr="00C7001D">
        <w:t>of</w:t>
      </w:r>
      <w:proofErr w:type="spellEnd"/>
      <w:r w:rsidRPr="00C7001D">
        <w:t xml:space="preserve"> </w:t>
      </w:r>
      <w:proofErr w:type="spellStart"/>
      <w:r w:rsidRPr="00C7001D">
        <w:t>Understanding</w:t>
      </w:r>
      <w:proofErr w:type="spellEnd"/>
      <w:r w:rsidRPr="00C7001D">
        <w:t>" (</w:t>
      </w:r>
      <w:proofErr w:type="spellStart"/>
      <w:r w:rsidRPr="00C7001D">
        <w:t>MoU</w:t>
      </w:r>
      <w:proofErr w:type="spellEnd"/>
      <w:r w:rsidRPr="00C7001D">
        <w:t>), en inglés) son acuerdos firmados entre distintas autoridades supervisoras que establecen los términos de un protocolo de relación y colaboración entre dichas autoridades en materias reguladas de interés mutuo, tales como: competencias de actuación, intercambio de información, colaboración, gestión de posibles situaciones de crisis.</w:t>
      </w:r>
    </w:p>
    <w:p w14:paraId="531BDEEC" w14:textId="77777777" w:rsidR="00C7001D" w:rsidRPr="00C7001D" w:rsidRDefault="00C7001D" w:rsidP="00C7001D">
      <w:r w:rsidRPr="00C7001D">
        <w:t>El Banco de España ha firmado diferentes protocolos de cooperación, tanto bilaterales como multilaterales con distintas autoridades españolas y extranjeras.</w:t>
      </w:r>
    </w:p>
    <w:p w14:paraId="6F43EA02" w14:textId="77777777" w:rsidR="00C7001D" w:rsidRPr="00C7001D" w:rsidRDefault="00C7001D" w:rsidP="00C7001D">
      <w:r w:rsidRPr="00C7001D">
        <w:t>Acuerdos bilaterales internacionales en el ámbito de la UE</w:t>
      </w:r>
    </w:p>
    <w:p w14:paraId="1B754C9C" w14:textId="03AD7D50" w:rsidR="00C7001D" w:rsidRPr="00C7001D" w:rsidRDefault="00C7001D" w:rsidP="00C7001D">
      <w:r w:rsidRPr="00C7001D">
        <w:t>Estos acuerdos surgieron como aplicación práctica de las normas de supervisión, cooperación y comunicación establecidas por la Segunda Directiva Bancaria (Directiva 89/646/CEE). Tras la derogación de esa directiva, dichos acuerdos están actualmente recogidos en la Directiva 2013/36/UE (véanse los </w:t>
      </w:r>
      <w:hyperlink r:id="rId12" w:tgtFrame="_blank" w:history="1">
        <w:r w:rsidRPr="00C7001D">
          <w:rPr>
            <w:rStyle w:val="Hipervnculo"/>
          </w:rPr>
          <w:t>artículos 55 y siguientes</w:t>
        </w:r>
        <w:r w:rsidRPr="00C7001D">
          <w:rPr>
            <w:rStyle w:val="Hipervnculo"/>
          </w:rPr>
          <w:drawing>
            <wp:inline distT="0" distB="0" distL="0" distR="0" wp14:anchorId="6B5308CD" wp14:editId="635309D8">
              <wp:extent cx="114300" cy="114300"/>
              <wp:effectExtent l="0" t="0" r="0" b="0"/>
              <wp:docPr id="993533645" name="Imagen 16" descr="Abre en nueva ventana">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bre en nueva ventana">
                        <a:hlinkClick r:id="rId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w:t>
      </w:r>
    </w:p>
    <w:p w14:paraId="7E08B623" w14:textId="77777777" w:rsidR="00C7001D" w:rsidRPr="00C7001D" w:rsidRDefault="00C7001D" w:rsidP="00C7001D">
      <w:r w:rsidRPr="00C7001D">
        <w:t>por lo que, en principio, son un desarrollo de esta y, como tal, su ámbito de aplicación era básicamente el de las sucursales. Se firmaron con aquellos países donde, en su momento, existían sucursales de alguna relevancia por alguna de las dos partes.</w:t>
      </w:r>
    </w:p>
    <w:p w14:paraId="2F406922" w14:textId="77777777" w:rsidR="00C7001D" w:rsidRPr="00C7001D" w:rsidRDefault="00C7001D" w:rsidP="00C7001D">
      <w:r w:rsidRPr="00C7001D">
        <w:t>En estos convenios se especifica cómo se deben efectuar las notificaciones entre supervisores en caso de apertura de sucursales, el contenido de la notificación, la cooperación en la supervisión de la liquidez y los riesgos de mercado; además, se determinan las exigencias de información del supervisor del país de acogida. También distintos aspectos relativos a la cooperación en la labor supervisora.</w:t>
      </w:r>
    </w:p>
    <w:p w14:paraId="550E001D" w14:textId="77777777" w:rsidR="00C7001D" w:rsidRPr="00C7001D" w:rsidRDefault="00C7001D" w:rsidP="00C7001D">
      <w:r w:rsidRPr="00C7001D">
        <w:t>Los países de la Unión Europea (UE) firmantes son:</w:t>
      </w:r>
    </w:p>
    <w:p w14:paraId="15272C4F" w14:textId="77777777" w:rsidR="00C7001D" w:rsidRPr="00C7001D" w:rsidRDefault="00C7001D" w:rsidP="00C7001D">
      <w:pPr>
        <w:numPr>
          <w:ilvl w:val="0"/>
          <w:numId w:val="15"/>
        </w:numPr>
      </w:pPr>
      <w:r w:rsidRPr="00C7001D">
        <w:t>Alemania (1993)</w:t>
      </w:r>
    </w:p>
    <w:p w14:paraId="1ADB8906" w14:textId="77777777" w:rsidR="00C7001D" w:rsidRPr="00C7001D" w:rsidRDefault="00C7001D" w:rsidP="00C7001D">
      <w:pPr>
        <w:numPr>
          <w:ilvl w:val="0"/>
          <w:numId w:val="15"/>
        </w:numPr>
      </w:pPr>
      <w:r w:rsidRPr="00C7001D">
        <w:t>Bélgica (1993)</w:t>
      </w:r>
    </w:p>
    <w:p w14:paraId="7324791A" w14:textId="77777777" w:rsidR="00C7001D" w:rsidRPr="00C7001D" w:rsidRDefault="00C7001D" w:rsidP="00C7001D">
      <w:pPr>
        <w:numPr>
          <w:ilvl w:val="0"/>
          <w:numId w:val="15"/>
        </w:numPr>
      </w:pPr>
      <w:r w:rsidRPr="00C7001D">
        <w:t>Francia (1993)</w:t>
      </w:r>
    </w:p>
    <w:p w14:paraId="5946D70D" w14:textId="77777777" w:rsidR="00C7001D" w:rsidRPr="00C7001D" w:rsidRDefault="00C7001D" w:rsidP="00C7001D">
      <w:pPr>
        <w:numPr>
          <w:ilvl w:val="0"/>
          <w:numId w:val="15"/>
        </w:numPr>
      </w:pPr>
      <w:r w:rsidRPr="00C7001D">
        <w:t>Países Bajos (1994)</w:t>
      </w:r>
    </w:p>
    <w:p w14:paraId="0DB4EA43" w14:textId="77777777" w:rsidR="00C7001D" w:rsidRPr="00C7001D" w:rsidRDefault="00C7001D" w:rsidP="00C7001D">
      <w:pPr>
        <w:numPr>
          <w:ilvl w:val="0"/>
          <w:numId w:val="15"/>
        </w:numPr>
      </w:pPr>
      <w:r w:rsidRPr="00C7001D">
        <w:t>Italia (1993)</w:t>
      </w:r>
    </w:p>
    <w:p w14:paraId="708BCC53" w14:textId="77777777" w:rsidR="00C7001D" w:rsidRPr="00C7001D" w:rsidRDefault="00C7001D" w:rsidP="00C7001D">
      <w:pPr>
        <w:numPr>
          <w:ilvl w:val="0"/>
          <w:numId w:val="15"/>
        </w:numPr>
      </w:pPr>
      <w:r w:rsidRPr="00C7001D">
        <w:t>Luxemburgo (1995)</w:t>
      </w:r>
    </w:p>
    <w:p w14:paraId="3E2A9100" w14:textId="77777777" w:rsidR="00C7001D" w:rsidRPr="00C7001D" w:rsidRDefault="00C7001D" w:rsidP="00C7001D">
      <w:pPr>
        <w:numPr>
          <w:ilvl w:val="0"/>
          <w:numId w:val="15"/>
        </w:numPr>
      </w:pPr>
      <w:r w:rsidRPr="00C7001D">
        <w:t>Portugal (1993)</w:t>
      </w:r>
    </w:p>
    <w:p w14:paraId="020988CB" w14:textId="77777777" w:rsidR="00C7001D" w:rsidRPr="00C7001D" w:rsidRDefault="00C7001D" w:rsidP="00C7001D">
      <w:pPr>
        <w:numPr>
          <w:ilvl w:val="0"/>
          <w:numId w:val="15"/>
        </w:numPr>
      </w:pPr>
      <w:r w:rsidRPr="00C7001D">
        <w:t>Rumanía (2010)</w:t>
      </w:r>
    </w:p>
    <w:p w14:paraId="42D1746A" w14:textId="39E0A924" w:rsidR="00C7001D" w:rsidRPr="00C7001D" w:rsidRDefault="00C7001D" w:rsidP="00C7001D">
      <w:r w:rsidRPr="00C7001D">
        <w:t>Además, se han firmado hasta la fecha diferentes acuerdos de coordinación y cooperación al amparo del </w:t>
      </w:r>
      <w:hyperlink r:id="rId13" w:tgtFrame="_blank" w:history="1">
        <w:r w:rsidRPr="00C7001D">
          <w:rPr>
            <w:rStyle w:val="Hipervnculo"/>
          </w:rPr>
          <w:t>artículo 115 de la Directiva 2013/36/UE</w:t>
        </w:r>
        <w:r w:rsidRPr="00C7001D">
          <w:rPr>
            <w:rStyle w:val="Hipervnculo"/>
          </w:rPr>
          <w:drawing>
            <wp:inline distT="0" distB="0" distL="0" distR="0" wp14:anchorId="6B858EB1" wp14:editId="5BAA9345">
              <wp:extent cx="114300" cy="114300"/>
              <wp:effectExtent l="0" t="0" r="0" b="0"/>
              <wp:docPr id="1037417722" name="Imagen 15" descr="Abre en nueva ventana">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bre en nueva ventana">
                        <a:hlinkClick r:id="rId1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(recogido actualmente en la legislación española en el a</w:t>
      </w:r>
      <w:hyperlink r:id="rId14" w:tgtFrame="_blank" w:history="1">
        <w:r w:rsidRPr="00C7001D">
          <w:rPr>
            <w:rStyle w:val="Hipervnculo"/>
          </w:rPr>
          <w:t>rtículo 62 de la Ley 10/2014</w:t>
        </w:r>
        <w:r w:rsidRPr="00C7001D">
          <w:rPr>
            <w:rStyle w:val="Hipervnculo"/>
          </w:rPr>
          <w:drawing>
            <wp:inline distT="0" distB="0" distL="0" distR="0" wp14:anchorId="7DBFFDA1" wp14:editId="6671E54B">
              <wp:extent cx="114300" cy="114300"/>
              <wp:effectExtent l="0" t="0" r="0" b="0"/>
              <wp:docPr id="791997052" name="Imagen 14" descr="Abre en nueva ventana">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bre en nueva ventana">
                        <a:hlinkClick r:id="rId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xml:space="preserve">), con vistas </w:t>
      </w:r>
      <w:r w:rsidRPr="00C7001D">
        <w:lastRenderedPageBreak/>
        <w:t>a facilitar y establecer una supervisión eficaz de grupos europeos de entidades de crédito.</w:t>
      </w:r>
    </w:p>
    <w:p w14:paraId="786BE7D7" w14:textId="77777777" w:rsidR="00C7001D" w:rsidRPr="00C7001D" w:rsidRDefault="00C7001D" w:rsidP="00C7001D">
      <w:r w:rsidRPr="00C7001D">
        <w:t>Acuerdos bilaterales internacionales fuera del ámbito de la UE</w:t>
      </w:r>
    </w:p>
    <w:p w14:paraId="5EAA1213" w14:textId="4A48D18E" w:rsidR="00C7001D" w:rsidRPr="00C7001D" w:rsidRDefault="00C7001D" w:rsidP="00C7001D">
      <w:r w:rsidRPr="00C7001D">
        <w:t>La existencia de grupos bancarios españoles que realizan actividades financieras en países no pertenecientes a la UE a través de filiales locales -y la posible situación inversa- implica la necesidad de mayor conocimiento mutuo, tanto del sistema bancario como del ámbito supervisor, como de incrementar la cooperación e intercambio de información entre las autoridades encargadas de la supervisión prudencial en ambos países para el mejor ejercicio de sus respectivos mandatos y funciones. Con estos objetivos y dentro del marco de los </w:t>
      </w:r>
      <w:hyperlink r:id="rId15" w:tgtFrame="_blank" w:history="1">
        <w:r w:rsidRPr="00C7001D">
          <w:rPr>
            <w:rStyle w:val="Hipervnculo"/>
          </w:rPr>
          <w:t>Principios Básicos para una Supervisión Bancaria Efectiva</w:t>
        </w:r>
        <w:r w:rsidRPr="00C7001D">
          <w:rPr>
            <w:rStyle w:val="Hipervnculo"/>
          </w:rPr>
          <w:drawing>
            <wp:inline distT="0" distB="0" distL="0" distR="0" wp14:anchorId="497207E4" wp14:editId="27859243">
              <wp:extent cx="114300" cy="114300"/>
              <wp:effectExtent l="0" t="0" r="0" b="0"/>
              <wp:docPr id="1484069055" name="Imagen 13" descr="Abre en nueva ventana">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bre en nueva ventana">
                        <a:hlinkClick r:id="rId1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C7001D">
        <w:t> emitidos por el Comité de Supervisión Bancaria de Basilea, el Banco de España viene firmando acuerdos bilaterales con las autoridades supervisoras de países no pertenecientes a la UE. Los acuerdos se articulan exponiendo, entre otros aspectos, las razones que aconsejan arbitrar procedimientos de colaboración, la distribución general de responsabilidades supervisoras entre el supervisor de origen y el de acogida, el contenido mínimo del intercambio de información, las reglas de confidencialidad existentes en cada país, los criterios para la realización, en casos excepcionales, de inspecciones in situ en las filiales por el supervisor de origen, así como aspectos generales sobre colaboración técnica, contactos operativos y reuniones bilaterales.</w:t>
      </w:r>
    </w:p>
    <w:p w14:paraId="3D843D31" w14:textId="77777777" w:rsidR="00C7001D" w:rsidRPr="00C7001D" w:rsidRDefault="00C7001D" w:rsidP="00C7001D">
      <w:r w:rsidRPr="00C7001D">
        <w:t>Los países con los que se han firmado acuerdos son:</w:t>
      </w:r>
    </w:p>
    <w:p w14:paraId="152C55EC" w14:textId="77777777" w:rsidR="00C7001D" w:rsidRPr="00C7001D" w:rsidRDefault="00C7001D" w:rsidP="00C7001D">
      <w:pPr>
        <w:numPr>
          <w:ilvl w:val="0"/>
          <w:numId w:val="16"/>
        </w:numPr>
      </w:pPr>
      <w:r w:rsidRPr="00C7001D">
        <w:t>Latinoamérica:</w:t>
      </w:r>
    </w:p>
    <w:p w14:paraId="60E8FF65" w14:textId="77777777" w:rsidR="00C7001D" w:rsidRPr="00C7001D" w:rsidRDefault="00C7001D" w:rsidP="00C7001D">
      <w:pPr>
        <w:numPr>
          <w:ilvl w:val="1"/>
          <w:numId w:val="16"/>
        </w:numPr>
      </w:pPr>
      <w:r w:rsidRPr="00C7001D">
        <w:t>Argentina (1998)</w:t>
      </w:r>
    </w:p>
    <w:p w14:paraId="659ABC87" w14:textId="77777777" w:rsidR="00C7001D" w:rsidRPr="00C7001D" w:rsidRDefault="00C7001D" w:rsidP="00C7001D">
      <w:pPr>
        <w:numPr>
          <w:ilvl w:val="1"/>
          <w:numId w:val="16"/>
        </w:numPr>
      </w:pPr>
      <w:r w:rsidRPr="00C7001D">
        <w:t>Brasil (2002)</w:t>
      </w:r>
    </w:p>
    <w:p w14:paraId="7C3F6407" w14:textId="77777777" w:rsidR="00C7001D" w:rsidRPr="00C7001D" w:rsidRDefault="00C7001D" w:rsidP="00C7001D">
      <w:pPr>
        <w:numPr>
          <w:ilvl w:val="1"/>
          <w:numId w:val="16"/>
        </w:numPr>
      </w:pPr>
      <w:r w:rsidRPr="00C7001D">
        <w:t>Chile (1998)</w:t>
      </w:r>
    </w:p>
    <w:p w14:paraId="26ED4A58" w14:textId="77777777" w:rsidR="00C7001D" w:rsidRPr="00C7001D" w:rsidRDefault="00C7001D" w:rsidP="00C7001D">
      <w:pPr>
        <w:numPr>
          <w:ilvl w:val="1"/>
          <w:numId w:val="16"/>
        </w:numPr>
      </w:pPr>
      <w:r w:rsidRPr="00C7001D">
        <w:t>Colombia (1998)</w:t>
      </w:r>
    </w:p>
    <w:p w14:paraId="7849D7B9" w14:textId="77777777" w:rsidR="00C7001D" w:rsidRPr="00C7001D" w:rsidRDefault="00C7001D" w:rsidP="00C7001D">
      <w:pPr>
        <w:numPr>
          <w:ilvl w:val="1"/>
          <w:numId w:val="16"/>
        </w:numPr>
      </w:pPr>
      <w:r w:rsidRPr="00C7001D">
        <w:t>México (2000, con enmienda del 2014)</w:t>
      </w:r>
    </w:p>
    <w:p w14:paraId="43E5D888" w14:textId="77777777" w:rsidR="00C7001D" w:rsidRPr="00C7001D" w:rsidRDefault="00C7001D" w:rsidP="00C7001D">
      <w:pPr>
        <w:numPr>
          <w:ilvl w:val="1"/>
          <w:numId w:val="16"/>
        </w:numPr>
      </w:pPr>
      <w:r w:rsidRPr="00C7001D">
        <w:t>Perú (1998)</w:t>
      </w:r>
    </w:p>
    <w:p w14:paraId="63B0AADA" w14:textId="77777777" w:rsidR="00C7001D" w:rsidRPr="00C7001D" w:rsidRDefault="00C7001D" w:rsidP="00C7001D">
      <w:pPr>
        <w:numPr>
          <w:ilvl w:val="1"/>
          <w:numId w:val="16"/>
        </w:numPr>
      </w:pPr>
      <w:r w:rsidRPr="00C7001D">
        <w:t>Puerto Rico (2008)</w:t>
      </w:r>
    </w:p>
    <w:p w14:paraId="0B97580C" w14:textId="77777777" w:rsidR="00C7001D" w:rsidRPr="00C7001D" w:rsidRDefault="00C7001D" w:rsidP="00C7001D">
      <w:pPr>
        <w:numPr>
          <w:ilvl w:val="1"/>
          <w:numId w:val="16"/>
        </w:numPr>
      </w:pPr>
      <w:r w:rsidRPr="00C7001D">
        <w:t>Uruguay (2005)</w:t>
      </w:r>
    </w:p>
    <w:p w14:paraId="48197896" w14:textId="77777777" w:rsidR="00C7001D" w:rsidRPr="00C7001D" w:rsidRDefault="00C7001D" w:rsidP="00C7001D">
      <w:pPr>
        <w:numPr>
          <w:ilvl w:val="1"/>
          <w:numId w:val="16"/>
        </w:numPr>
      </w:pPr>
      <w:r w:rsidRPr="00C7001D">
        <w:t>Venezuela (1998)</w:t>
      </w:r>
    </w:p>
    <w:p w14:paraId="1433DD20" w14:textId="77777777" w:rsidR="00C7001D" w:rsidRPr="00C7001D" w:rsidRDefault="00C7001D" w:rsidP="00C7001D">
      <w:pPr>
        <w:numPr>
          <w:ilvl w:val="0"/>
          <w:numId w:val="16"/>
        </w:numPr>
      </w:pPr>
      <w:r w:rsidRPr="00C7001D">
        <w:t>Otros países no UE:</w:t>
      </w:r>
    </w:p>
    <w:p w14:paraId="24B6C4CE" w14:textId="77777777" w:rsidR="00C7001D" w:rsidRPr="00C7001D" w:rsidRDefault="00C7001D" w:rsidP="00C7001D">
      <w:pPr>
        <w:numPr>
          <w:ilvl w:val="1"/>
          <w:numId w:val="16"/>
        </w:numPr>
      </w:pPr>
      <w:r w:rsidRPr="00C7001D">
        <w:t>Andorra (2011)</w:t>
      </w:r>
    </w:p>
    <w:p w14:paraId="12A8E4D0" w14:textId="77777777" w:rsidR="00C7001D" w:rsidRPr="00C7001D" w:rsidRDefault="00C7001D" w:rsidP="00C7001D">
      <w:pPr>
        <w:numPr>
          <w:ilvl w:val="1"/>
          <w:numId w:val="16"/>
        </w:numPr>
      </w:pPr>
      <w:r w:rsidRPr="00C7001D">
        <w:lastRenderedPageBreak/>
        <w:t>Ciudad del Vaticano (2021)</w:t>
      </w:r>
    </w:p>
    <w:p w14:paraId="745EA819" w14:textId="77777777" w:rsidR="00C7001D" w:rsidRPr="00C7001D" w:rsidRDefault="00C7001D" w:rsidP="00C7001D">
      <w:pPr>
        <w:numPr>
          <w:ilvl w:val="1"/>
          <w:numId w:val="16"/>
        </w:numPr>
      </w:pPr>
      <w:r w:rsidRPr="00C7001D">
        <w:t>Estados Unidos (2008)</w:t>
      </w:r>
    </w:p>
    <w:p w14:paraId="6E63AB2F" w14:textId="77777777" w:rsidR="00C7001D" w:rsidRPr="00C7001D" w:rsidRDefault="00C7001D" w:rsidP="00C7001D">
      <w:pPr>
        <w:numPr>
          <w:ilvl w:val="1"/>
          <w:numId w:val="16"/>
        </w:numPr>
      </w:pPr>
      <w:r w:rsidRPr="00C7001D">
        <w:t>Estados Unidos (SEC) y CNMV (2021)</w:t>
      </w:r>
    </w:p>
    <w:p w14:paraId="00AB1DB1" w14:textId="77777777" w:rsidR="00C7001D" w:rsidRPr="00C7001D" w:rsidRDefault="00C7001D" w:rsidP="00C7001D">
      <w:pPr>
        <w:numPr>
          <w:ilvl w:val="1"/>
          <w:numId w:val="16"/>
        </w:numPr>
      </w:pPr>
      <w:r w:rsidRPr="00C7001D">
        <w:t>Reino Unido (2019)</w:t>
      </w:r>
    </w:p>
    <w:p w14:paraId="3F9ECD44" w14:textId="77777777" w:rsidR="00C7001D" w:rsidRPr="00C7001D" w:rsidRDefault="00C7001D" w:rsidP="00C7001D">
      <w:pPr>
        <w:numPr>
          <w:ilvl w:val="1"/>
          <w:numId w:val="16"/>
        </w:numPr>
      </w:pPr>
      <w:r w:rsidRPr="00C7001D">
        <w:t>República Popular de China (2006)</w:t>
      </w:r>
    </w:p>
    <w:p w14:paraId="4A358BDC" w14:textId="77777777" w:rsidR="00C7001D" w:rsidRPr="00C7001D" w:rsidRDefault="00C7001D" w:rsidP="00C7001D">
      <w:pPr>
        <w:numPr>
          <w:ilvl w:val="1"/>
          <w:numId w:val="16"/>
        </w:numPr>
      </w:pPr>
      <w:r w:rsidRPr="00C7001D">
        <w:t>Suiza (2021)</w:t>
      </w:r>
    </w:p>
    <w:p w14:paraId="03435A48" w14:textId="77777777" w:rsidR="00C7001D" w:rsidRPr="00C7001D" w:rsidRDefault="00C7001D" w:rsidP="00C7001D">
      <w:pPr>
        <w:numPr>
          <w:ilvl w:val="1"/>
          <w:numId w:val="16"/>
        </w:numPr>
      </w:pPr>
      <w:r w:rsidRPr="00C7001D">
        <w:t>Turquía (2013)</w:t>
      </w:r>
    </w:p>
    <w:p w14:paraId="49EB2A16" w14:textId="77777777" w:rsidR="00C7001D" w:rsidRPr="00C7001D" w:rsidRDefault="00C7001D" w:rsidP="00C7001D">
      <w:r w:rsidRPr="00C7001D">
        <w:t>Acuerdos nacionales</w:t>
      </w:r>
    </w:p>
    <w:p w14:paraId="5DBA7518" w14:textId="77777777" w:rsidR="00C7001D" w:rsidRPr="00C7001D" w:rsidRDefault="00C7001D" w:rsidP="00C7001D">
      <w:r w:rsidRPr="00C7001D">
        <w:t>Dentro del ámbito nacional, el Banco de España ha firmado acuerdos bilaterales con distintas autoridades en materia de supervisión. El objeto de dichos acuerdos es la normalización de los intercambios de información y la mejora de la eficiencia, eficacia y calidad de los procedimientos de supervisión. El Banco de España ha firmado acuerdos con las siguientes autoridades nacionales:</w:t>
      </w:r>
    </w:p>
    <w:p w14:paraId="552B0829" w14:textId="77777777" w:rsidR="00C7001D" w:rsidRPr="00C7001D" w:rsidRDefault="00C7001D" w:rsidP="00C7001D">
      <w:pPr>
        <w:numPr>
          <w:ilvl w:val="0"/>
          <w:numId w:val="17"/>
        </w:numPr>
      </w:pPr>
      <w:r w:rsidRPr="00C7001D">
        <w:t>Intervención General de la Administración del Estado, relativo al control y supervisión del Instituto de Crédito Oficial (2009).</w:t>
      </w:r>
    </w:p>
    <w:p w14:paraId="6EE5030E" w14:textId="77777777" w:rsidR="00C7001D" w:rsidRPr="00C7001D" w:rsidRDefault="00C7001D" w:rsidP="00C7001D">
      <w:pPr>
        <w:numPr>
          <w:ilvl w:val="0"/>
          <w:numId w:val="17"/>
        </w:numPr>
      </w:pPr>
      <w:r w:rsidRPr="00C7001D">
        <w:t>Dirección General de Seguros y Fondos de Pensiones del Ministerio de Economía (2004).</w:t>
      </w:r>
    </w:p>
    <w:p w14:paraId="62B31B15" w14:textId="77777777" w:rsidR="00C7001D" w:rsidRPr="00C7001D" w:rsidRDefault="00C7001D" w:rsidP="00C7001D">
      <w:pPr>
        <w:numPr>
          <w:ilvl w:val="0"/>
          <w:numId w:val="17"/>
        </w:numPr>
      </w:pPr>
      <w:r w:rsidRPr="00C7001D">
        <w:t>Comisión Nacional del Mercado de Valores (2009).</w:t>
      </w:r>
    </w:p>
    <w:p w14:paraId="0C22DD28" w14:textId="77777777" w:rsidR="00C7001D" w:rsidRPr="00C7001D" w:rsidRDefault="00C7001D" w:rsidP="00C7001D">
      <w:pPr>
        <w:numPr>
          <w:ilvl w:val="0"/>
          <w:numId w:val="17"/>
        </w:numPr>
      </w:pPr>
      <w:r w:rsidRPr="00C7001D">
        <w:t>Comisión de Prevención del Blanqueo de Capitales e Infracciones Monetarias (2021).</w:t>
      </w:r>
    </w:p>
    <w:p w14:paraId="308B09EB" w14:textId="77777777" w:rsidR="00C7001D" w:rsidRPr="00C7001D" w:rsidRDefault="00C7001D" w:rsidP="00C7001D">
      <w:pPr>
        <w:numPr>
          <w:ilvl w:val="0"/>
          <w:numId w:val="17"/>
        </w:numPr>
      </w:pPr>
      <w:r w:rsidRPr="00C7001D">
        <w:t>Fondo de Reestructuración Ordenada Bancaria (FROB), en materia de recuperación y resolución de entidades de crédito (2021).</w:t>
      </w:r>
    </w:p>
    <w:p w14:paraId="610853A9" w14:textId="77777777" w:rsidR="00C7001D" w:rsidRPr="00C7001D" w:rsidRDefault="00C7001D" w:rsidP="00C7001D">
      <w:r w:rsidRPr="00C7001D">
        <w:t>Acuerdos multilaterales en el ámbito de la Unión Europea</w:t>
      </w:r>
    </w:p>
    <w:p w14:paraId="177E6BB0" w14:textId="77777777" w:rsidR="00C7001D" w:rsidRPr="00C7001D" w:rsidRDefault="00C7001D" w:rsidP="00C7001D">
      <w:r w:rsidRPr="00C7001D">
        <w:t>Dentro de los esfuerzos de la UE y principalmente del Banco Central Europeo para alcanzar una mayor estabilidad financiera y poder desarrollar la cooperación y coordinación de las distintas autoridades financieras, tanto para la prevención como la resolución de posibles crisis, se ha promovido la firma de diferentes convenios de colaboración de los que el Banco de España forma parte:</w:t>
      </w:r>
    </w:p>
    <w:p w14:paraId="67F60AFD" w14:textId="77777777" w:rsidR="00C7001D" w:rsidRPr="00C7001D" w:rsidRDefault="00C7001D" w:rsidP="00C7001D">
      <w:pPr>
        <w:numPr>
          <w:ilvl w:val="0"/>
          <w:numId w:val="18"/>
        </w:numPr>
      </w:pPr>
      <w:r w:rsidRPr="00C7001D">
        <w:t>Memorándum de cooperación multilateral entre autoridades competentes dentro del Mecanismo único de Supervisión sobre la supervisión de las sucursales de terceros países y grupos de terceros países (2024).</w:t>
      </w:r>
    </w:p>
    <w:p w14:paraId="651073C2" w14:textId="77777777" w:rsidR="00C7001D" w:rsidRPr="00C7001D" w:rsidRDefault="00C7001D" w:rsidP="00C7001D">
      <w:pPr>
        <w:numPr>
          <w:ilvl w:val="0"/>
          <w:numId w:val="18"/>
        </w:numPr>
      </w:pPr>
      <w:r w:rsidRPr="00C7001D">
        <w:t xml:space="preserve">Memorándum de entendimiento entre supervisores financieros, bancos centrales y ministerios de economía de la Unión Europea para la estabilidad </w:t>
      </w:r>
      <w:r w:rsidRPr="00C7001D">
        <w:lastRenderedPageBreak/>
        <w:t>financiera transfronteriza (2008), ampliado en 2010 a todos los países del Área Económica Europea.</w:t>
      </w:r>
    </w:p>
    <w:p w14:paraId="4335D03D" w14:textId="77777777" w:rsidR="00C7001D" w:rsidRPr="00C7001D" w:rsidRDefault="00C7001D" w:rsidP="00C7001D">
      <w:pPr>
        <w:numPr>
          <w:ilvl w:val="0"/>
          <w:numId w:val="18"/>
        </w:numPr>
      </w:pPr>
      <w:r w:rsidRPr="00C7001D">
        <w:t>Memorándum de entendimiento entre supervisores bancarios, bancos centrales y ministerios de economía de la Unión Europea en situaciones de crisis financieras (2005).</w:t>
      </w:r>
    </w:p>
    <w:p w14:paraId="02828A2F" w14:textId="77777777" w:rsidR="00C7001D" w:rsidRPr="00C7001D" w:rsidRDefault="00C7001D" w:rsidP="00C7001D">
      <w:pPr>
        <w:numPr>
          <w:ilvl w:val="0"/>
          <w:numId w:val="18"/>
        </w:numPr>
      </w:pPr>
      <w:r w:rsidRPr="00C7001D">
        <w:t>Memorándum de entendimiento sobre los principios de alto nivel para la cooperación entre los supervisores bancarios y los bancos centrales de la Unión Europea en situaciones de gestión de crisis (2003).</w:t>
      </w:r>
    </w:p>
    <w:p w14:paraId="64FBCE44" w14:textId="77777777" w:rsidR="00C7001D" w:rsidRPr="00C7001D" w:rsidRDefault="00C7001D" w:rsidP="00C7001D">
      <w:pPr>
        <w:numPr>
          <w:ilvl w:val="0"/>
          <w:numId w:val="18"/>
        </w:numPr>
      </w:pPr>
      <w:r w:rsidRPr="00C7001D">
        <w:t>Memorándum de entendimiento sobre el intercambio de información entre las centrales de riesgos en beneficio de las entidades declarantes (2003).</w:t>
      </w:r>
    </w:p>
    <w:p w14:paraId="2B24F274" w14:textId="77777777" w:rsidR="00C7001D" w:rsidRDefault="00C7001D" w:rsidP="00C7001D">
      <w:pPr>
        <w:numPr>
          <w:ilvl w:val="0"/>
          <w:numId w:val="18"/>
        </w:numPr>
      </w:pPr>
      <w:r w:rsidRPr="00C7001D">
        <w:t>Memorándum de entendimiento para la cooperación entre las autoridades responsables de la vigilancia de los sistemas de pago y los supervisores bancarios en la tercera fase de la Unión Económica y Monetaria (2001).</w:t>
      </w:r>
    </w:p>
    <w:p w14:paraId="17BB7E6C" w14:textId="2A6394E9" w:rsidR="00950CE2" w:rsidRPr="00950CE2" w:rsidRDefault="00950CE2" w:rsidP="00950CE2">
      <w:pPr>
        <w:rPr>
          <w:b/>
          <w:bCs/>
          <w:sz w:val="28"/>
          <w:szCs w:val="28"/>
        </w:rPr>
      </w:pPr>
      <w:r w:rsidRPr="00950CE2">
        <w:rPr>
          <w:b/>
          <w:bCs/>
          <w:sz w:val="28"/>
          <w:szCs w:val="28"/>
        </w:rPr>
        <w:t>MUS</w:t>
      </w:r>
    </w:p>
    <w:p w14:paraId="1EDA7D48" w14:textId="2B47B36A" w:rsidR="00950CE2" w:rsidRPr="00950CE2" w:rsidRDefault="00950CE2" w:rsidP="00950CE2">
      <w:r w:rsidRPr="00950CE2">
        <w:t>El Mecanismo Único de Supervisión, un pilar de la unión bancaria</w:t>
      </w:r>
    </w:p>
    <w:p w14:paraId="3F0500A2" w14:textId="33166CB5" w:rsidR="00950CE2" w:rsidRPr="00950CE2" w:rsidRDefault="00950CE2" w:rsidP="00950CE2">
      <w:r w:rsidRPr="00950CE2">
        <w:t>La </w:t>
      </w:r>
      <w:hyperlink r:id="rId16" w:tgtFrame="_blank" w:history="1">
        <w:r w:rsidRPr="00950CE2">
          <w:rPr>
            <w:rStyle w:val="Hipervnculo"/>
          </w:rPr>
          <w:t>unión bancaria</w:t>
        </w:r>
        <w:r w:rsidRPr="00950CE2">
          <w:rPr>
            <w:rStyle w:val="Hipervnculo"/>
          </w:rPr>
          <w:drawing>
            <wp:inline distT="0" distB="0" distL="0" distR="0" wp14:anchorId="20CFB4A4" wp14:editId="28ADEAD3">
              <wp:extent cx="114300" cy="114300"/>
              <wp:effectExtent l="0" t="0" r="0" b="0"/>
              <wp:docPr id="738706853" name="Imagen 30" descr="Abre en nueva ventana">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bre en nueva ventana">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es un elemento clave de la unión económica y monetaria. Su objetivo es garantizar que:</w:t>
      </w:r>
    </w:p>
    <w:p w14:paraId="3DF619A6" w14:textId="77777777" w:rsidR="00950CE2" w:rsidRPr="00950CE2" w:rsidRDefault="00950CE2" w:rsidP="00950CE2">
      <w:pPr>
        <w:numPr>
          <w:ilvl w:val="0"/>
          <w:numId w:val="20"/>
        </w:numPr>
      </w:pPr>
      <w:r w:rsidRPr="00950CE2">
        <w:t>los bancos sean sólidos y puedan resistir a futuras crisis financieras;</w:t>
      </w:r>
    </w:p>
    <w:p w14:paraId="2542C422" w14:textId="77777777" w:rsidR="00950CE2" w:rsidRPr="00950CE2" w:rsidRDefault="00950CE2" w:rsidP="00950CE2">
      <w:pPr>
        <w:numPr>
          <w:ilvl w:val="0"/>
          <w:numId w:val="20"/>
        </w:numPr>
      </w:pPr>
      <w:r w:rsidRPr="00950CE2">
        <w:t>se reduzca la fragmentación de los mercados estableciendo normas armonizadas para el sector financiero;</w:t>
      </w:r>
    </w:p>
    <w:p w14:paraId="0D6B0321" w14:textId="77777777" w:rsidR="00950CE2" w:rsidRPr="00950CE2" w:rsidRDefault="00950CE2" w:rsidP="00950CE2">
      <w:pPr>
        <w:numPr>
          <w:ilvl w:val="0"/>
          <w:numId w:val="20"/>
        </w:numPr>
      </w:pPr>
      <w:r w:rsidRPr="00950CE2">
        <w:t>la resolución de los bancos inviables se lleve a cabo sin recurrir al dinero de los contribuyentes y con unas repercusiones mínimas para la economía real.</w:t>
      </w:r>
    </w:p>
    <w:p w14:paraId="5D63B3FF" w14:textId="546D83C8" w:rsidR="00950CE2" w:rsidRPr="00950CE2" w:rsidRDefault="00950CE2" w:rsidP="00950CE2">
      <w:r w:rsidRPr="00950CE2">
        <w:t>La unión bancaria se basa actualmente en dos pilares plenamente operativos: el </w:t>
      </w:r>
      <w:hyperlink r:id="rId17" w:tgtFrame="_blank" w:history="1">
        <w:r w:rsidRPr="00950CE2">
          <w:rPr>
            <w:rStyle w:val="Hipervnculo"/>
          </w:rPr>
          <w:t>Mecanismo Único de Supervisión (MUS)</w:t>
        </w:r>
        <w:r w:rsidRPr="00950CE2">
          <w:rPr>
            <w:rStyle w:val="Hipervnculo"/>
          </w:rPr>
          <w:drawing>
            <wp:inline distT="0" distB="0" distL="0" distR="0" wp14:anchorId="5B51B6BE" wp14:editId="4100BD5E">
              <wp:extent cx="114300" cy="114300"/>
              <wp:effectExtent l="0" t="0" r="0" b="0"/>
              <wp:docPr id="1835258967" name="Imagen 29" descr="Abre en nueva ventana">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bre en nueva ventana">
                        <a:hlinkClick r:id="rId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y el </w:t>
      </w:r>
      <w:hyperlink r:id="rId18" w:tgtFrame="_blank" w:history="1">
        <w:r w:rsidRPr="00950CE2">
          <w:rPr>
            <w:rStyle w:val="Hipervnculo"/>
          </w:rPr>
          <w:t>Mecanismo Único de Resolución (MUR)</w:t>
        </w:r>
        <w:r w:rsidRPr="00950CE2">
          <w:rPr>
            <w:rStyle w:val="Hipervnculo"/>
          </w:rPr>
          <w:drawing>
            <wp:inline distT="0" distB="0" distL="0" distR="0" wp14:anchorId="68DC7595" wp14:editId="1908891C">
              <wp:extent cx="114300" cy="114300"/>
              <wp:effectExtent l="0" t="0" r="0" b="0"/>
              <wp:docPr id="701923064" name="Imagen 28" descr="Abre en nueva ventana">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bre en nueva ventana">
                        <a:hlinkClick r:id="rId1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De cara al futuro, es deseable completarla con la creación de un esquema común de garantía de los depósitos.</w:t>
      </w:r>
    </w:p>
    <w:p w14:paraId="54FD2184" w14:textId="77777777" w:rsidR="00950CE2" w:rsidRPr="00950CE2" w:rsidRDefault="00950CE2" w:rsidP="00950CE2">
      <w:r w:rsidRPr="00950CE2">
        <w:t xml:space="preserve">El MUS tiene su origen en junio de 2012, cuando los </w:t>
      </w:r>
      <w:proofErr w:type="gramStart"/>
      <w:r w:rsidRPr="00950CE2">
        <w:t>Jefes</w:t>
      </w:r>
      <w:proofErr w:type="gramEnd"/>
      <w:r w:rsidRPr="00950CE2">
        <w:t xml:space="preserve"> de Estado y de Gobierno de la Unión Europea decidieron impulsar la creación de un supervisor bancario único con el objetivo de mejorar la calidad de la supervisión en la zona del euro, favorecer la integración de los mercados y romper el vínculo negativo que se había creado entre la confianza en las entidades bancarias y las dudas sobre la sostenibilidad de la deuda pública. </w:t>
      </w:r>
    </w:p>
    <w:p w14:paraId="0DFBA3AA" w14:textId="40726FE3" w:rsidR="00950CE2" w:rsidRPr="00950CE2" w:rsidRDefault="00950CE2" w:rsidP="00950CE2">
      <w:r w:rsidRPr="00950CE2">
        <w:t>La creación del MUS tuvo lugar con la aprobación del </w:t>
      </w:r>
      <w:hyperlink r:id="rId19" w:tgtFrame="_blank" w:history="1">
        <w:r w:rsidRPr="00950CE2">
          <w:rPr>
            <w:rStyle w:val="Hipervnculo"/>
          </w:rPr>
          <w:t>Reglamento (UE) n ° 1024/2013 del Consejo, de 15 de octubre de 2013</w:t>
        </w:r>
        <w:r w:rsidRPr="00950CE2">
          <w:rPr>
            <w:rStyle w:val="Hipervnculo"/>
          </w:rPr>
          <w:drawing>
            <wp:inline distT="0" distB="0" distL="0" distR="0" wp14:anchorId="6C97B7CF" wp14:editId="5A9C7CF3">
              <wp:extent cx="114300" cy="114300"/>
              <wp:effectExtent l="0" t="0" r="0" b="0"/>
              <wp:docPr id="296933428" name="Imagen 27" descr="Abre en nueva ventana">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bre en nueva ventana">
                        <a:hlinkClick r:id="rId1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xml:space="preserve">, que encomienda al Banco Central Europeo </w:t>
      </w:r>
      <w:r w:rsidRPr="00950CE2">
        <w:lastRenderedPageBreak/>
        <w:t>(BCE) tareas específicas respecto de la supervisión prudencial de las entidades de crédito, y comenzó a funcionar plenamente el 4 de noviembre de 2014. </w:t>
      </w:r>
    </w:p>
    <w:p w14:paraId="09C27B04" w14:textId="66E78C52" w:rsidR="00950CE2" w:rsidRPr="00950CE2" w:rsidRDefault="00950CE2" w:rsidP="00950CE2">
      <w:r w:rsidRPr="00950CE2">
        <w:t>El MUS es un sistema integrado por el </w:t>
      </w:r>
      <w:hyperlink r:id="rId20" w:tgtFrame="_blank" w:history="1">
        <w:r w:rsidRPr="00950CE2">
          <w:rPr>
            <w:rStyle w:val="Hipervnculo"/>
          </w:rPr>
          <w:t>Banco Central Europeo (BCE)</w:t>
        </w:r>
        <w:r w:rsidRPr="00950CE2">
          <w:rPr>
            <w:rStyle w:val="Hipervnculo"/>
          </w:rPr>
          <w:drawing>
            <wp:inline distT="0" distB="0" distL="0" distR="0" wp14:anchorId="13736282" wp14:editId="71DA832F">
              <wp:extent cx="114300" cy="114300"/>
              <wp:effectExtent l="0" t="0" r="0" b="0"/>
              <wp:docPr id="534360775" name="Imagen 26" descr="Abre en nueva ventana">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bre en nueva ventana">
                        <a:hlinkClick r:id="rId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y las </w:t>
      </w:r>
      <w:hyperlink r:id="rId21" w:tgtFrame="_blank" w:history="1">
        <w:r w:rsidRPr="00950CE2">
          <w:rPr>
            <w:rStyle w:val="Hipervnculo"/>
          </w:rPr>
          <w:t>Autoridades nacionales competentes (ANC)</w:t>
        </w:r>
        <w:r w:rsidRPr="00950CE2">
          <w:rPr>
            <w:rStyle w:val="Hipervnculo"/>
          </w:rPr>
          <w:drawing>
            <wp:inline distT="0" distB="0" distL="0" distR="0" wp14:anchorId="4C96D4B1" wp14:editId="1CE90050">
              <wp:extent cx="114300" cy="114300"/>
              <wp:effectExtent l="0" t="0" r="0" b="0"/>
              <wp:docPr id="500793774" name="Imagen 25" descr="Abre en nueva ventana">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bre en nueva ventana">
                        <a:hlinkClick r:id="rId2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dentro del que el BCE se responsabiliza de su funcionamiento eficaz y coherente. Su ámbito de actuación se extiende a los países cuya moneda es el euro y a aquellos otros Estados miembros de la Unión Europea que deseen sumarse estableciendo una cooperación estrecha. Actualmente, Bulgaria participa en el MUS por esta vía. </w:t>
      </w:r>
    </w:p>
    <w:p w14:paraId="04F5FC28" w14:textId="030E9195" w:rsidR="00950CE2" w:rsidRDefault="00950CE2" w:rsidP="00950CE2">
      <w:r w:rsidRPr="00950CE2">
        <w:t>La supervisión del sistema bancario se lleva a cabo aplicando el marco legal establecido en la legislación comunitaria y en sus desarrollos nacionales. La existencia de un supervisor único y de un conjunto de textos legislativos comunes (el </w:t>
      </w:r>
      <w:hyperlink r:id="rId22" w:tgtFrame="_blank" w:history="1">
        <w:r w:rsidRPr="00950CE2">
          <w:rPr>
            <w:rStyle w:val="Hipervnculo"/>
          </w:rPr>
          <w:t>código normativo único</w:t>
        </w:r>
        <w:r w:rsidRPr="00950CE2">
          <w:rPr>
            <w:rStyle w:val="Hipervnculo"/>
          </w:rPr>
          <w:drawing>
            <wp:inline distT="0" distB="0" distL="0" distR="0" wp14:anchorId="516A5E5F" wp14:editId="530BB43E">
              <wp:extent cx="114300" cy="114300"/>
              <wp:effectExtent l="0" t="0" r="0" b="0"/>
              <wp:docPr id="1218836528" name="Imagen 24" descr="Abre en nueva ventana">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bre en nueva ventana">
                        <a:hlinkClick r:id="rId2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contribuye a garantizar la igualdad de condiciones para las entidades en todos los países participantes. </w:t>
      </w:r>
    </w:p>
    <w:p w14:paraId="6FD49CC5" w14:textId="7801A2A8" w:rsidR="00950CE2" w:rsidRPr="00950CE2" w:rsidRDefault="00950CE2" w:rsidP="00950CE2">
      <w:r w:rsidRPr="00950CE2">
        <w:t>Cómo se toman las decisiones</w:t>
      </w:r>
    </w:p>
    <w:p w14:paraId="4A8F1EA9" w14:textId="24D9713B" w:rsidR="00950CE2" w:rsidRPr="00950CE2" w:rsidRDefault="00950CE2" w:rsidP="00950CE2">
      <w:r w:rsidRPr="00950CE2">
        <w:t>En el marco del MUS, el </w:t>
      </w:r>
      <w:hyperlink r:id="rId23" w:tgtFrame="_blank" w:history="1">
        <w:r w:rsidRPr="00950CE2">
          <w:rPr>
            <w:rStyle w:val="Hipervnculo"/>
            <w:b/>
            <w:bCs/>
          </w:rPr>
          <w:t>Consejo de Supervisión</w:t>
        </w:r>
        <w:r w:rsidRPr="00950CE2">
          <w:rPr>
            <w:rStyle w:val="Hipervnculo"/>
            <w:b/>
            <w:bCs/>
          </w:rPr>
          <w:drawing>
            <wp:inline distT="0" distB="0" distL="0" distR="0" wp14:anchorId="34C143D5" wp14:editId="2EB9B174">
              <wp:extent cx="114300" cy="114300"/>
              <wp:effectExtent l="0" t="0" r="0" b="0"/>
              <wp:docPr id="1647626908" name="Imagen 36" descr="Abre en nueva ventana">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bre en nueva ventana">
                        <a:hlinkClick r:id="rId2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rPr>
          <w:b/>
          <w:bCs/>
        </w:rPr>
        <w:t> (</w:t>
      </w:r>
      <w:r w:rsidRPr="00950CE2">
        <w:rPr>
          <w:b/>
          <w:bCs/>
          <w:i/>
          <w:iCs/>
          <w:lang w:val="en"/>
        </w:rPr>
        <w:t>Supervisory Board</w:t>
      </w:r>
      <w:r w:rsidRPr="00950CE2">
        <w:rPr>
          <w:b/>
          <w:bCs/>
        </w:rPr>
        <w:t>)</w:t>
      </w:r>
      <w:r w:rsidRPr="00950CE2">
        <w:t> es el órgano encargado de planificar y ejecutar las funciones supervisoras del BCE. Está formado por una presidencia, una vicepresidencia, cuatro representantes adicionales del BCE y una persona por cada autoridad nacional. </w:t>
      </w:r>
    </w:p>
    <w:p w14:paraId="6F982537" w14:textId="77777777" w:rsidR="00950CE2" w:rsidRPr="00950CE2" w:rsidRDefault="00950CE2" w:rsidP="00950CE2">
      <w:r w:rsidRPr="00950CE2">
        <w:t>El Consejo de Supervisión aprueba propuestas de decisiones de obligado cumplimiento para las personas físicas o jurídicas a quienes se dirigen. Además, analiza los principales desarrollos en el sector bancario y toma decisiones de organización interna y de política y metodología supervisoras. </w:t>
      </w:r>
    </w:p>
    <w:p w14:paraId="3AD8976E" w14:textId="77777777" w:rsidR="00950CE2" w:rsidRPr="00950CE2" w:rsidRDefault="00950CE2" w:rsidP="00950CE2">
      <w:r w:rsidRPr="00950CE2">
        <w:t>Existe también un </w:t>
      </w:r>
      <w:r w:rsidRPr="00950CE2">
        <w:rPr>
          <w:b/>
          <w:bCs/>
        </w:rPr>
        <w:t>Comité de Dirección (</w:t>
      </w:r>
      <w:r w:rsidRPr="00950CE2">
        <w:rPr>
          <w:b/>
          <w:bCs/>
          <w:i/>
          <w:iCs/>
          <w:lang w:val="en"/>
        </w:rPr>
        <w:t>Steering Committee</w:t>
      </w:r>
      <w:r w:rsidRPr="00950CE2">
        <w:rPr>
          <w:b/>
          <w:bCs/>
        </w:rPr>
        <w:t>)</w:t>
      </w:r>
      <w:r w:rsidRPr="00950CE2">
        <w:t> compuesto por la presidencia y vicepresidencia del Consejo, un representante del BCE y cinco representantes de las ANC. De acuerdo con el marco normativo, este comité debe encargarse de dar soporte a las actividades del Consejo y preparar sus reuniones. </w:t>
      </w:r>
    </w:p>
    <w:p w14:paraId="223638E5" w14:textId="4EB8FC20" w:rsidR="00950CE2" w:rsidRPr="00950CE2" w:rsidRDefault="00950CE2" w:rsidP="00950CE2">
      <w:r w:rsidRPr="00950CE2">
        <w:t>Las propuestas de decisiones de carácter legal aprobadas por el Consejo deben ser adoptadas por el </w:t>
      </w:r>
      <w:hyperlink r:id="rId24" w:tgtFrame="_blank" w:history="1">
        <w:r w:rsidRPr="00950CE2">
          <w:rPr>
            <w:rStyle w:val="Hipervnculo"/>
            <w:b/>
            <w:bCs/>
          </w:rPr>
          <w:t>Consejo de Gobierno del BCE</w:t>
        </w:r>
        <w:r w:rsidRPr="00950CE2">
          <w:rPr>
            <w:rStyle w:val="Hipervnculo"/>
          </w:rPr>
          <w:drawing>
            <wp:inline distT="0" distB="0" distL="0" distR="0" wp14:anchorId="75542056" wp14:editId="04B5D4FF">
              <wp:extent cx="114300" cy="114300"/>
              <wp:effectExtent l="0" t="0" r="0" b="0"/>
              <wp:docPr id="300064814" name="Imagen 35" descr="Abre en nueva ventana">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bre en nueva ventana">
                        <a:hlinkClick r:id="rId2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mediante el procedimiento de “no objeción”: el Consejo no puede modificar las propuestas de decisión elevadas por el Consejo de Supervisión, pero sí devolvérselas para su reconsideración. </w:t>
      </w:r>
    </w:p>
    <w:p w14:paraId="15316C2E" w14:textId="1CD7B777" w:rsidR="00950CE2" w:rsidRDefault="00950CE2" w:rsidP="00950CE2">
      <w:r w:rsidRPr="00950CE2">
        <w:t xml:space="preserve">Las personas físicas o jurídicas afectadas por una decisión tienen la posibilidad de solicitar </w:t>
      </w:r>
      <w:proofErr w:type="gramStart"/>
      <w:r w:rsidRPr="00950CE2">
        <w:t>la  revisión</w:t>
      </w:r>
      <w:proofErr w:type="gramEnd"/>
      <w:r w:rsidRPr="00950CE2">
        <w:t xml:space="preserve"> interna de su conformidad con el marco normativo al </w:t>
      </w:r>
      <w:hyperlink r:id="rId25" w:tgtFrame="_blank" w:history="1">
        <w:r w:rsidRPr="00950CE2">
          <w:rPr>
            <w:rStyle w:val="Hipervnculo"/>
            <w:b/>
            <w:bCs/>
          </w:rPr>
          <w:t>Comité Administrativo de Revisión</w:t>
        </w:r>
        <w:r w:rsidRPr="00950CE2">
          <w:rPr>
            <w:rStyle w:val="Hipervnculo"/>
            <w:b/>
            <w:bCs/>
          </w:rPr>
          <w:drawing>
            <wp:inline distT="0" distB="0" distL="0" distR="0" wp14:anchorId="37697AE7" wp14:editId="54174C52">
              <wp:extent cx="114300" cy="114300"/>
              <wp:effectExtent l="0" t="0" r="0" b="0"/>
              <wp:docPr id="697644167" name="Imagen 34" descr="Abre en nueva ventana">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bre en nueva ventana">
                        <a:hlinkClick r:id="rId2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rPr>
          <w:b/>
          <w:bCs/>
        </w:rPr>
        <w:t> (</w:t>
      </w:r>
      <w:r w:rsidRPr="00950CE2">
        <w:rPr>
          <w:b/>
          <w:bCs/>
          <w:i/>
          <w:iCs/>
          <w:lang w:val="en"/>
        </w:rPr>
        <w:t>Administrative Board of Review</w:t>
      </w:r>
      <w:r w:rsidRPr="00950CE2">
        <w:rPr>
          <w:b/>
          <w:bCs/>
        </w:rPr>
        <w:t>)</w:t>
      </w:r>
      <w:r w:rsidRPr="00950CE2">
        <w:t>. En ese caso, el Comité elaborará un dictamen no vinculante y lo remitirá al Consejo de Supervisión para su consideración. El Comité está integrado por cinco miembros independientes. </w:t>
      </w:r>
    </w:p>
    <w:p w14:paraId="5636BDDD" w14:textId="0CCE4389" w:rsidR="00950CE2" w:rsidRPr="00950CE2" w:rsidRDefault="00950CE2" w:rsidP="00950CE2">
      <w:r w:rsidRPr="00950CE2">
        <w:t>Qué entidades están supervisadas por el BCE en el marco del MUS</w:t>
      </w:r>
    </w:p>
    <w:p w14:paraId="0D1EA2C7" w14:textId="77777777" w:rsidR="00950CE2" w:rsidRPr="00950CE2" w:rsidRDefault="00950CE2" w:rsidP="00950CE2">
      <w:r w:rsidRPr="00950CE2">
        <w:lastRenderedPageBreak/>
        <w:t>El Reglamento del MUS establece una distinción entre dos grupos de entidades. Las denominadas entidades significativas son supervisadas directamente por el BCE, mientras que las entidades menos significativas se encuentran bajo la supervisión directa de las autoridades nacionales competentes.</w:t>
      </w:r>
    </w:p>
    <w:p w14:paraId="6B575773" w14:textId="5CB722A1" w:rsidR="00950CE2" w:rsidRPr="00950CE2" w:rsidRDefault="00950CE2" w:rsidP="00950CE2">
      <w:r w:rsidRPr="00950CE2">
        <w:t>Los </w:t>
      </w:r>
      <w:hyperlink r:id="rId26" w:tgtFrame="_blank" w:history="1">
        <w:r w:rsidRPr="00950CE2">
          <w:rPr>
            <w:rStyle w:val="Hipervnculo"/>
          </w:rPr>
          <w:t>criterios utilizados para determinar si una entidad es significativa</w:t>
        </w:r>
        <w:r w:rsidRPr="00950CE2">
          <w:rPr>
            <w:rStyle w:val="Hipervnculo"/>
          </w:rPr>
          <w:drawing>
            <wp:inline distT="0" distB="0" distL="0" distR="0" wp14:anchorId="78413AE8" wp14:editId="75F1EA51">
              <wp:extent cx="114300" cy="114300"/>
              <wp:effectExtent l="0" t="0" r="0" b="0"/>
              <wp:docPr id="1156088914" name="Imagen 40" descr="Abre en nueva ventana">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bre en nueva ventana">
                        <a:hlinkClick r:id="rId2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son los siguientes:</w:t>
      </w:r>
    </w:p>
    <w:p w14:paraId="10C2C899" w14:textId="77777777" w:rsidR="00950CE2" w:rsidRPr="00950CE2" w:rsidRDefault="00950CE2" w:rsidP="00950CE2">
      <w:pPr>
        <w:numPr>
          <w:ilvl w:val="0"/>
          <w:numId w:val="23"/>
        </w:numPr>
      </w:pPr>
      <w:r w:rsidRPr="00950CE2">
        <w:t>Sus activos totales consolidados son superiores a 30.000 millones de euros. </w:t>
      </w:r>
    </w:p>
    <w:p w14:paraId="1B9645C3" w14:textId="77777777" w:rsidR="00950CE2" w:rsidRPr="00950CE2" w:rsidRDefault="00950CE2" w:rsidP="00950CE2">
      <w:pPr>
        <w:numPr>
          <w:ilvl w:val="0"/>
          <w:numId w:val="23"/>
        </w:numPr>
      </w:pPr>
      <w:r w:rsidRPr="00950CE2">
        <w:t>El porcentaje de activos sobre el PIB del país en el que está establecida supera el 20%, salvo que sus activos totales consolidados sean inferiores a 5.000 millones de euros. </w:t>
      </w:r>
    </w:p>
    <w:p w14:paraId="6EFF1BCF" w14:textId="77777777" w:rsidR="00950CE2" w:rsidRPr="00950CE2" w:rsidRDefault="00950CE2" w:rsidP="00950CE2">
      <w:pPr>
        <w:numPr>
          <w:ilvl w:val="0"/>
          <w:numId w:val="23"/>
        </w:numPr>
      </w:pPr>
      <w:r w:rsidRPr="00950CE2">
        <w:t>Es una de las tres mayores entidades de un Estado miembro. </w:t>
      </w:r>
    </w:p>
    <w:p w14:paraId="4BDAC976" w14:textId="77777777" w:rsidR="00950CE2" w:rsidRPr="00950CE2" w:rsidRDefault="00950CE2" w:rsidP="00950CE2">
      <w:pPr>
        <w:numPr>
          <w:ilvl w:val="0"/>
          <w:numId w:val="23"/>
        </w:numPr>
      </w:pPr>
      <w:r w:rsidRPr="00950CE2">
        <w:t>Tiene filiales en más de uno de los países participantes, cuyos activos o pasivos transfronterizos representan más del 20% de su activo o pasivo total. </w:t>
      </w:r>
    </w:p>
    <w:p w14:paraId="236F980C" w14:textId="77777777" w:rsidR="00950CE2" w:rsidRPr="00950CE2" w:rsidRDefault="00950CE2" w:rsidP="00950CE2">
      <w:pPr>
        <w:numPr>
          <w:ilvl w:val="0"/>
          <w:numId w:val="23"/>
        </w:numPr>
      </w:pPr>
      <w:r w:rsidRPr="00950CE2">
        <w:t>Ha recibido o solicitado ayuda financiera directa de la Facilidad Europea de Estabilidad Financiera o del Mecanismo Europeo de Estabilidad. </w:t>
      </w:r>
    </w:p>
    <w:p w14:paraId="0B28D895" w14:textId="795DE3A1" w:rsidR="00950CE2" w:rsidRDefault="00950CE2" w:rsidP="00950CE2">
      <w:r w:rsidRPr="00950CE2">
        <w:t>El BCE mantiene una </w:t>
      </w:r>
      <w:hyperlink r:id="rId27" w:tgtFrame="_blank" w:history="1">
        <w:r w:rsidRPr="00950CE2">
          <w:rPr>
            <w:rStyle w:val="Hipervnculo"/>
          </w:rPr>
          <w:t>lista de todas las entidades supervisadas en los países integrantes del MUS</w:t>
        </w:r>
        <w:r w:rsidRPr="00950CE2">
          <w:rPr>
            <w:rStyle w:val="Hipervnculo"/>
          </w:rPr>
          <w:drawing>
            <wp:inline distT="0" distB="0" distL="0" distR="0" wp14:anchorId="797DC5B2" wp14:editId="4B64E97B">
              <wp:extent cx="114300" cy="114300"/>
              <wp:effectExtent l="0" t="0" r="0" b="0"/>
              <wp:docPr id="1809417259" name="Imagen 39" descr="Abre en nueva ventana">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bre en nueva ventana">
                        <a:hlinkClick r:id="rId2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en la que por una parte se incluyen todas las entidades significativas junto con sus grupos, y por otra se detallan todas las entidades menos significativas supervisadas directamente por cada autoridad nacional. </w:t>
      </w:r>
    </w:p>
    <w:p w14:paraId="176AB484" w14:textId="77777777" w:rsidR="00950CE2" w:rsidRPr="00950CE2" w:rsidRDefault="00950CE2" w:rsidP="00950CE2">
      <w:r w:rsidRPr="00950CE2">
        <w:t>Cómo se lleva a cabo la supervisión</w:t>
      </w:r>
    </w:p>
    <w:p w14:paraId="1F987F8B" w14:textId="77777777" w:rsidR="00950CE2" w:rsidRPr="00950CE2" w:rsidRDefault="00950CE2" w:rsidP="00950CE2">
      <w:r w:rsidRPr="00950CE2">
        <w:t>Anualmente se realiza un análisis de las fuentes de riesgo y vulnerabilidades del sector bancario, que es la base para la fijación de las prioridades supervisoras del MUS.</w:t>
      </w:r>
    </w:p>
    <w:p w14:paraId="3861AE58" w14:textId="77777777" w:rsidR="00950CE2" w:rsidRPr="00950CE2" w:rsidRDefault="00950CE2" w:rsidP="00950CE2">
      <w:r w:rsidRPr="00950CE2">
        <w:t>Estas prioridades sirven de guía para la planificación de las actividades supervisoras específicas.</w:t>
      </w:r>
    </w:p>
    <w:p w14:paraId="166A3E50" w14:textId="073BB974" w:rsidR="00950CE2" w:rsidRPr="00950CE2" w:rsidRDefault="00950CE2" w:rsidP="00950CE2">
      <w:r w:rsidRPr="00950CE2">
        <w:t>La vigilancia directa y continua sobre las entidades significativas se articula principalmente a través de los Equipos Conjuntos de Supervisión - </w:t>
      </w:r>
      <w:r w:rsidRPr="00950CE2">
        <w:rPr>
          <w:i/>
          <w:iCs/>
          <w:lang w:val="en"/>
        </w:rPr>
        <w:t>Joint Supervisory Teams</w:t>
      </w:r>
      <w:r w:rsidRPr="00950CE2">
        <w:t> (JST, en inglés), formados por personal del BCE y de la autoridad nacional del país donde radica la entidad supervisada. Desarrollan su trabajo bajo la coordinación de un miembro del BCE, asistido a su vez por uno o varios subcoordinadores pertenecientes a las autoridades nacionales relevantes. Estos equipos realizan una evaluación continua del perfil de riesgo y de la adecuación de la solvencia y de la liquidez de las entidades dentro del </w:t>
      </w:r>
      <w:hyperlink r:id="rId28" w:tgtFrame="_blank" w:history="1">
        <w:r w:rsidRPr="00950CE2">
          <w:rPr>
            <w:rStyle w:val="Hipervnculo"/>
          </w:rPr>
          <w:t>Proceso de Revisión y Evaluación Supervisora</w:t>
        </w:r>
        <w:r w:rsidRPr="00950CE2">
          <w:rPr>
            <w:rStyle w:val="Hipervnculo"/>
          </w:rPr>
          <w:drawing>
            <wp:inline distT="0" distB="0" distL="0" distR="0" wp14:anchorId="689DDFBA" wp14:editId="7E5B14D9">
              <wp:extent cx="114300" cy="114300"/>
              <wp:effectExtent l="0" t="0" r="0" b="0"/>
              <wp:docPr id="1897363126" name="Imagen 44" descr="Abre en nueva ventana">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bre en nueva ventana">
                        <a:hlinkClick r:id="rId2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 </w:t>
      </w:r>
      <w:r w:rsidRPr="00950CE2">
        <w:rPr>
          <w:i/>
          <w:iCs/>
          <w:lang w:val="en"/>
        </w:rPr>
        <w:t>Supervisory Review and Evaluation Process</w:t>
      </w:r>
      <w:r w:rsidRPr="00950CE2">
        <w:t>", (SREP, en inglés). </w:t>
      </w:r>
    </w:p>
    <w:p w14:paraId="04E53C76" w14:textId="77777777" w:rsidR="00950CE2" w:rsidRPr="00950CE2" w:rsidRDefault="00950CE2" w:rsidP="00950CE2">
      <w:r w:rsidRPr="00950CE2">
        <w:t xml:space="preserve">La vigilancia continua se complementa con actuaciones in situ, que incluyen inspecciones en las que se analizan en profundidad riesgos concretos e investigaciones </w:t>
      </w:r>
      <w:r w:rsidRPr="00950CE2">
        <w:lastRenderedPageBreak/>
        <w:t>de modelos en las que se revisan los modelos para el cálculo de requerimientos de capital. Las actuaciones in situ se llevan a cabo mediante equipos específicos, distintos de los JST. Las conclusiones de las inspecciones pueden desembocar en medidas correctivas a aplicar por las entidades.</w:t>
      </w:r>
    </w:p>
    <w:p w14:paraId="694D3396" w14:textId="5DE79E51" w:rsidR="00950CE2" w:rsidRPr="00950CE2" w:rsidRDefault="00950CE2" w:rsidP="00950CE2">
      <w:r w:rsidRPr="00950CE2">
        <w:t>Los </w:t>
      </w:r>
      <w:hyperlink r:id="rId29" w:tgtFrame="_blank" w:history="1">
        <w:r w:rsidRPr="00950CE2">
          <w:rPr>
            <w:rStyle w:val="Hipervnculo"/>
          </w:rPr>
          <w:t>criterios y las políticas supervisoras del MUS</w:t>
        </w:r>
        <w:r w:rsidRPr="00950CE2">
          <w:rPr>
            <w:rStyle w:val="Hipervnculo"/>
          </w:rPr>
          <w:drawing>
            <wp:inline distT="0" distB="0" distL="0" distR="0" wp14:anchorId="0B9CBF7C" wp14:editId="751C68A6">
              <wp:extent cx="114300" cy="114300"/>
              <wp:effectExtent l="0" t="0" r="0" b="0"/>
              <wp:docPr id="123564322" name="Imagen 43" descr="Abre en nueva ventana">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bre en nueva ventana">
                        <a:hlinkClick r:id="rId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950CE2">
        <w:t> se fijan en el Consejo de Supervisión. A su elaboración contribuyen de forma conjunta el BCE y las autoridades nacionales competentes a través de grupos de trabajo de expertos. Su aplicación garantiza la consistencia de la supervisión en los países del MUS.</w:t>
      </w:r>
    </w:p>
    <w:p w14:paraId="51C0EE96" w14:textId="77777777" w:rsidR="00950CE2" w:rsidRPr="00950CE2" w:rsidRDefault="00950CE2" w:rsidP="00950CE2">
      <w:r w:rsidRPr="00950CE2">
        <w:t>En el caso de las entidades consideradas menos significativas, que el Banco de España supervisa de forma directa, se sigue un esquema análogo al de las entidades significativas: anualmente se establece un conjunto de prioridades supervisoras que sirve para planificar las actividades de seguimiento continuado y las actuaciones in situ, desarrolladas por equipos diferenciados.</w:t>
      </w:r>
    </w:p>
    <w:p w14:paraId="718DDC50" w14:textId="77777777" w:rsidR="00950CE2" w:rsidRPr="00950CE2" w:rsidRDefault="00950CE2" w:rsidP="00950CE2">
      <w:r w:rsidRPr="00950CE2">
        <w:t>Sobre estas entidades menos significativas, el BCE ejerce una supervisión indirecta, solicitando información a las autoridades nacionales y pudiendo emitir reglamentos, directrices o instrucciones generales para garantizar la coherencia de la supervisión e incluso asumir la supervisión directa de alguna de estas entidades.</w:t>
      </w:r>
    </w:p>
    <w:p w14:paraId="38C15C23" w14:textId="77777777" w:rsidR="00950CE2" w:rsidRPr="00950CE2" w:rsidRDefault="00950CE2" w:rsidP="00950CE2"/>
    <w:p w14:paraId="6E1FBEFE" w14:textId="77777777" w:rsidR="00950CE2" w:rsidRPr="00950CE2" w:rsidRDefault="00950CE2" w:rsidP="00950CE2"/>
    <w:p w14:paraId="2B5033C5" w14:textId="77777777" w:rsidR="00950CE2" w:rsidRPr="00950CE2" w:rsidRDefault="00950CE2" w:rsidP="00950CE2"/>
    <w:p w14:paraId="46DA5EB3" w14:textId="77777777" w:rsidR="00950CE2" w:rsidRPr="00C7001D" w:rsidRDefault="00950CE2" w:rsidP="00950CE2"/>
    <w:p w14:paraId="04FF4B2E" w14:textId="77777777" w:rsidR="00C7001D" w:rsidRDefault="00C7001D"/>
    <w:sectPr w:rsidR="00C700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FF6"/>
    <w:multiLevelType w:val="multilevel"/>
    <w:tmpl w:val="74E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B5F"/>
    <w:multiLevelType w:val="multilevel"/>
    <w:tmpl w:val="19D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08F"/>
    <w:multiLevelType w:val="multilevel"/>
    <w:tmpl w:val="7EBE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CA0"/>
    <w:multiLevelType w:val="multilevel"/>
    <w:tmpl w:val="EF6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3333"/>
    <w:multiLevelType w:val="multilevel"/>
    <w:tmpl w:val="BB624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423AA"/>
    <w:multiLevelType w:val="multilevel"/>
    <w:tmpl w:val="DC22A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02063"/>
    <w:multiLevelType w:val="multilevel"/>
    <w:tmpl w:val="3E465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C0F42"/>
    <w:multiLevelType w:val="multilevel"/>
    <w:tmpl w:val="04E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370AD"/>
    <w:multiLevelType w:val="multilevel"/>
    <w:tmpl w:val="B87C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0457E"/>
    <w:multiLevelType w:val="multilevel"/>
    <w:tmpl w:val="780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81B60"/>
    <w:multiLevelType w:val="multilevel"/>
    <w:tmpl w:val="BAA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F40B1"/>
    <w:multiLevelType w:val="multilevel"/>
    <w:tmpl w:val="FB0CB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17019"/>
    <w:multiLevelType w:val="multilevel"/>
    <w:tmpl w:val="6E9CD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D2EDB"/>
    <w:multiLevelType w:val="multilevel"/>
    <w:tmpl w:val="A29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9598D"/>
    <w:multiLevelType w:val="multilevel"/>
    <w:tmpl w:val="93B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E5C0D"/>
    <w:multiLevelType w:val="multilevel"/>
    <w:tmpl w:val="628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E27F9"/>
    <w:multiLevelType w:val="multilevel"/>
    <w:tmpl w:val="558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42959"/>
    <w:multiLevelType w:val="multilevel"/>
    <w:tmpl w:val="1024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D4686"/>
    <w:multiLevelType w:val="multilevel"/>
    <w:tmpl w:val="703C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26A00"/>
    <w:multiLevelType w:val="multilevel"/>
    <w:tmpl w:val="C11C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26F0E"/>
    <w:multiLevelType w:val="multilevel"/>
    <w:tmpl w:val="6178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700B1"/>
    <w:multiLevelType w:val="multilevel"/>
    <w:tmpl w:val="499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553E7"/>
    <w:multiLevelType w:val="multilevel"/>
    <w:tmpl w:val="107A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FA0DA8"/>
    <w:multiLevelType w:val="multilevel"/>
    <w:tmpl w:val="39B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3868">
    <w:abstractNumId w:val="19"/>
  </w:num>
  <w:num w:numId="2" w16cid:durableId="1583760411">
    <w:abstractNumId w:val="9"/>
  </w:num>
  <w:num w:numId="3" w16cid:durableId="1978802350">
    <w:abstractNumId w:val="23"/>
  </w:num>
  <w:num w:numId="4" w16cid:durableId="64426003">
    <w:abstractNumId w:val="21"/>
  </w:num>
  <w:num w:numId="5" w16cid:durableId="1777821526">
    <w:abstractNumId w:val="11"/>
  </w:num>
  <w:num w:numId="6" w16cid:durableId="673537485">
    <w:abstractNumId w:val="3"/>
  </w:num>
  <w:num w:numId="7" w16cid:durableId="1725520433">
    <w:abstractNumId w:val="16"/>
  </w:num>
  <w:num w:numId="8" w16cid:durableId="1796636051">
    <w:abstractNumId w:val="17"/>
  </w:num>
  <w:num w:numId="9" w16cid:durableId="1947762500">
    <w:abstractNumId w:val="18"/>
  </w:num>
  <w:num w:numId="10" w16cid:durableId="890649618">
    <w:abstractNumId w:val="7"/>
  </w:num>
  <w:num w:numId="11" w16cid:durableId="455832914">
    <w:abstractNumId w:val="12"/>
  </w:num>
  <w:num w:numId="12" w16cid:durableId="1513950566">
    <w:abstractNumId w:val="1"/>
  </w:num>
  <w:num w:numId="13" w16cid:durableId="429812467">
    <w:abstractNumId w:val="8"/>
  </w:num>
  <w:num w:numId="14" w16cid:durableId="605966649">
    <w:abstractNumId w:val="6"/>
  </w:num>
  <w:num w:numId="15" w16cid:durableId="1112478771">
    <w:abstractNumId w:val="15"/>
  </w:num>
  <w:num w:numId="16" w16cid:durableId="906260802">
    <w:abstractNumId w:val="2"/>
  </w:num>
  <w:num w:numId="17" w16cid:durableId="2059426859">
    <w:abstractNumId w:val="13"/>
  </w:num>
  <w:num w:numId="18" w16cid:durableId="873690204">
    <w:abstractNumId w:val="10"/>
  </w:num>
  <w:num w:numId="19" w16cid:durableId="1704289324">
    <w:abstractNumId w:val="5"/>
  </w:num>
  <w:num w:numId="20" w16cid:durableId="228610993">
    <w:abstractNumId w:val="14"/>
  </w:num>
  <w:num w:numId="21" w16cid:durableId="1000621919">
    <w:abstractNumId w:val="22"/>
  </w:num>
  <w:num w:numId="22" w16cid:durableId="1904099171">
    <w:abstractNumId w:val="4"/>
  </w:num>
  <w:num w:numId="23" w16cid:durableId="802311582">
    <w:abstractNumId w:val="0"/>
  </w:num>
  <w:num w:numId="24" w16cid:durableId="20116356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01D"/>
    <w:rsid w:val="00950CE2"/>
    <w:rsid w:val="009E3FF3"/>
    <w:rsid w:val="00A03364"/>
    <w:rsid w:val="00A342D7"/>
    <w:rsid w:val="00C7001D"/>
    <w:rsid w:val="00CB37DC"/>
    <w:rsid w:val="00CB674A"/>
    <w:rsid w:val="00EC758E"/>
    <w:rsid w:val="00FB69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B879"/>
  <w15:chartTrackingRefBased/>
  <w15:docId w15:val="{DBBFD463-0EE8-4673-B2D1-DA5DC623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001D"/>
    <w:rPr>
      <w:color w:val="0563C1" w:themeColor="hyperlink"/>
      <w:u w:val="single"/>
    </w:rPr>
  </w:style>
  <w:style w:type="character" w:styleId="Mencinsinresolver">
    <w:name w:val="Unresolved Mention"/>
    <w:basedOn w:val="Fuentedeprrafopredeter"/>
    <w:uiPriority w:val="99"/>
    <w:semiHidden/>
    <w:unhideWhenUsed/>
    <w:rsid w:val="00C70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ingsupervision.europa.eu/banking/tasks/stresstests/html/index.en.html" TargetMode="External"/><Relationship Id="rId13" Type="http://schemas.openxmlformats.org/officeDocument/2006/relationships/hyperlink" Target="http://app.bde.es/clf_www/leyes.jsp?id=126107&amp;fc=04-12-2013&amp;idart=126252&amp;tipoEnt=0" TargetMode="External"/><Relationship Id="rId18" Type="http://schemas.openxmlformats.org/officeDocument/2006/relationships/hyperlink" Target="https://www.consilium.europa.eu/es/policies/banking-union/pillar-ii-the-single-resolution-mechanism/" TargetMode="External"/><Relationship Id="rId26" Type="http://schemas.openxmlformats.org/officeDocument/2006/relationships/hyperlink" Target="https://www.bankingsupervision.europa.eu/banking/list/criteria/html/index.es.html" TargetMode="External"/><Relationship Id="rId3" Type="http://schemas.openxmlformats.org/officeDocument/2006/relationships/settings" Target="settings.xml"/><Relationship Id="rId21" Type="http://schemas.openxmlformats.org/officeDocument/2006/relationships/hyperlink" Target="https://www.bankingsupervision.europa.eu/organisation/nationalsupervisors/html/index.es.html" TargetMode="External"/><Relationship Id="rId7" Type="http://schemas.openxmlformats.org/officeDocument/2006/relationships/hyperlink" Target="https://www.eba.europa.eu/risk-and-data-analysis/risk-analysis/eu-wide-stress-testing" TargetMode="External"/><Relationship Id="rId12" Type="http://schemas.openxmlformats.org/officeDocument/2006/relationships/hyperlink" Target="http://app.bde.es/clf_www/leyes.jsp?id=126107&amp;fc=04-12-2013&amp;idart=126179%20126180%20126181%20126182%20126183%20126184%20126185&amp;tipoEnt=0" TargetMode="External"/><Relationship Id="rId17" Type="http://schemas.openxmlformats.org/officeDocument/2006/relationships/hyperlink" Target="https://www.bankingsupervision.europa.eu/about/thessm/html/index.es.html" TargetMode="External"/><Relationship Id="rId25" Type="http://schemas.openxmlformats.org/officeDocument/2006/relationships/hyperlink" Target="https://www.bankingsupervision.europa.eu/organisation/whoiswho/administrativeboardofreview/html/index.es.html" TargetMode="External"/><Relationship Id="rId2" Type="http://schemas.openxmlformats.org/officeDocument/2006/relationships/styles" Target="styles.xml"/><Relationship Id="rId16" Type="http://schemas.openxmlformats.org/officeDocument/2006/relationships/hyperlink" Target="https://www.consilium.europa.eu/es/policies/banking-union/" TargetMode="External"/><Relationship Id="rId20" Type="http://schemas.openxmlformats.org/officeDocument/2006/relationships/hyperlink" Target="https://www.bankingsupervision.europa.eu/home/html/index.es.html" TargetMode="External"/><Relationship Id="rId29" Type="http://schemas.openxmlformats.org/officeDocument/2006/relationships/hyperlink" Target="https://www.bankingsupervision.europa.eu/legalframework/supervisorypolicy/html/index.es.html"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www.bde.es/wbe/es/publicaciones/informes-memorias-anuales/memoria-supervision/" TargetMode="External"/><Relationship Id="rId24" Type="http://schemas.openxmlformats.org/officeDocument/2006/relationships/hyperlink" Target="https://www.ecb.europa.eu/ecb/orga/decisions/govc/html/index.es.html" TargetMode="External"/><Relationship Id="rId5" Type="http://schemas.openxmlformats.org/officeDocument/2006/relationships/hyperlink" Target="https://www.youtube.com/watch?v=icQLzs3Br30" TargetMode="External"/><Relationship Id="rId15" Type="http://schemas.openxmlformats.org/officeDocument/2006/relationships/hyperlink" Target="https://www.bis.org/basel_framework/standard/BCP.htm?type=all" TargetMode="External"/><Relationship Id="rId23" Type="http://schemas.openxmlformats.org/officeDocument/2006/relationships/hyperlink" Target="https://www.bankingsupervision.europa.eu/organisation/whoiswho/supervisoryboard/html/index.es.html" TargetMode="External"/><Relationship Id="rId28" Type="http://schemas.openxmlformats.org/officeDocument/2006/relationships/hyperlink" Target="https://www.bankingsupervision.europa.eu/banking/srep/html/index.es.html" TargetMode="External"/><Relationship Id="rId10" Type="http://schemas.openxmlformats.org/officeDocument/2006/relationships/hyperlink" Target="https://www.bankingsupervision.europa.eu/banking/tasks/stresstests/html/index.en.html#:~:text=test%202018%20%E2%80%93%20completed-,Thematic%20stress%20tests,-In%20years%20when" TargetMode="External"/><Relationship Id="rId19" Type="http://schemas.openxmlformats.org/officeDocument/2006/relationships/hyperlink" Target="https://eur-lex.europa.eu/legal-content/ES/TXT/?uri=CELEX:32013R102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ankingsupervision.europa.eu/banking/tasks/stresstests/html/index.en.html" TargetMode="External"/><Relationship Id="rId14" Type="http://schemas.openxmlformats.org/officeDocument/2006/relationships/hyperlink" Target="http://app.bde.es/clf_www/leyes.jsp?id=136027&amp;fc=22-06-2015&amp;idart=136105&amp;tipoEnt=0" TargetMode="External"/><Relationship Id="rId22" Type="http://schemas.openxmlformats.org/officeDocument/2006/relationships/hyperlink" Target="https://www.eba.europa.eu/regulation-and-policy/single-rulebook" TargetMode="External"/><Relationship Id="rId27" Type="http://schemas.openxmlformats.org/officeDocument/2006/relationships/hyperlink" Target="https://www.bankingsupervision.europa.eu/press/publications/html/index.es.html?skey=entities"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18</Pages>
  <Words>6876</Words>
  <Characters>37822</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Pepa Rubio Pueyo</dc:creator>
  <cp:keywords/>
  <dc:description/>
  <cp:lastModifiedBy>Pepa Rubio Pueyo</cp:lastModifiedBy>
  <cp:revision>1</cp:revision>
  <dcterms:created xsi:type="dcterms:W3CDTF">2026-08-09T16:47:00Z</dcterms:created>
  <dcterms:modified xsi:type="dcterms:W3CDTF">2026-08-09T17:19:00Z</dcterms:modified>
</cp:coreProperties>
</file>