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i w:val="0"/>
          <w:color w:val="0B2545"/>
          <w:sz w:val="44"/>
        </w:rPr>
        <w:t>DADOS PARA CÁLCULO DE HONORÁRIOS</w:t>
      </w:r>
    </w:p>
    <w:p>
      <w:pPr>
        <w:spacing w:after="60"/>
      </w:pPr>
      <w:r>
        <w:rPr>
          <w:rFonts w:ascii="Calibri" w:hAnsi="Calibri"/>
          <w:b w:val="0"/>
          <w:i w:val="0"/>
          <w:color w:val="5A626C"/>
          <w:sz w:val="28"/>
        </w:rPr>
        <w:t>Componentes de entrada do modelo</w:t>
      </w:r>
    </w:p>
    <w:p>
      <w:pPr>
        <w:spacing w:after="360"/>
      </w:pPr>
      <w:r>
        <w:rPr>
          <w:rFonts w:ascii="Calibri" w:hAnsi="Calibri"/>
          <w:b/>
          <w:i w:val="0"/>
          <w:color w:val="2E74B5"/>
          <w:sz w:val="19"/>
        </w:rPr>
        <w:t>Fase de descoberta  |  Documento evolutivo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4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Escopo atual</w:t>
              <w:br/>
            </w:r>
            <w:r>
              <w:rPr>
                <w:rFonts w:ascii="Calibri" w:hAnsi="Calibri"/>
                <w:b/>
                <w:i w:val="0"/>
                <w:color w:val="0B2545"/>
                <w:sz w:val="23"/>
              </w:rPr>
              <w:t>Este documento reúne os dados que alimentarão o modelo de cálculo. Nesta versão: referência da OAB, custos fixos, tempo estimado, complexidade e risco.</w:t>
            </w:r>
          </w:p>
        </w:tc>
      </w:tr>
    </w:tbl>
    <w:p>
      <w:pPr>
        <w:pStyle w:val="Heading1"/>
      </w:pPr>
      <w:r>
        <w:t>1. Objetivo</w:t>
      </w:r>
    </w:p>
    <w:p>
      <w:pPr>
        <w:spacing w:after="120" w:line="264" w:lineRule="auto"/>
      </w:pPr>
      <w:r>
        <w:t>Definir, organizar e documentar os dados necessários para calcular uma faixa de honorários coerente com as referências profissionais, as características do serviço e a realidade econômica do advogado.</w:t>
      </w:r>
    </w:p>
    <w:p>
      <w:pPr>
        <w:pStyle w:val="Heading1"/>
      </w:pPr>
      <w:r>
        <w:t>2. Componentes atuais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Referência da OAB: identifica valores mínimos, percentuais e tipos de serviço por estado.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Custos fixos: identifica o custo operacional mensal do profissional.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Tempo estimado: representa o esforço do advogado e, futuramente, poderá considerar referências estatísticas de duração processual.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Complexidade da causa: classifica o nível de dificuldade do serviço jurídico.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Risco: representa a incerteza econômica e operacional do serviço.</w:t>
      </w:r>
    </w:p>
    <w:p>
      <w:pPr>
        <w:spacing w:after="120" w:line="264" w:lineRule="auto"/>
      </w:pPr>
      <w:r>
        <w:t>Novos componentes serão incorporados ao documento à medida que o modelo evoluir.</w:t>
      </w:r>
    </w:p>
    <w:p>
      <w:pPr>
        <w:pStyle w:val="Heading1"/>
      </w:pPr>
      <w:r>
        <w:t>3. Princípios gerais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Cada componente deverá ter fonte, finalidade e regra de uso claramente definidas.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Os dados deverão produzir um resultado explicável ao usuário.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 entrada de dados deve ser simples e adequada ao advogado em começo de carreira.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Valores aproximados poderão ser usados quando acompanhados de indicação de menor precisão.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Referências externas e dados do usuário deverão permanecer separados.</w:t>
      </w:r>
    </w:p>
    <w:p>
      <w:pPr>
        <w:pStyle w:val="Heading1"/>
      </w:pPr>
      <w:r>
        <w:t>4. Componente 1 — Referência da OAB</w:t>
      </w:r>
    </w:p>
    <w:p>
      <w:pPr>
        <w:spacing w:after="120" w:line="264" w:lineRule="auto"/>
      </w:pPr>
      <w:r>
        <w:t>Este componente fornece a referência profissional inicial de acordo com o estado e o serviço selecionados.</w:t>
      </w:r>
    </w:p>
    <w:p>
      <w:pPr>
        <w:pStyle w:val="Heading2"/>
      </w:pPr>
      <w:r>
        <w:t>4.1 Dado informado pelo usuário</w:t>
      </w:r>
    </w:p>
    <w:p>
      <w:pPr>
        <w:spacing w:after="120" w:line="264" w:lineRule="auto"/>
      </w:pPr>
      <w:r>
        <w:t>O usuário deverá informar o estado onde o serviço jurídico será realizado. O sistema selecionará a versão vigente da tabela da respectiva seccional.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Campo: estado do serviço.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Tipo: unidade federativa, incluindo o Distrito Federal.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Obrigatório: sim.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Efeito: selecionar a tabela, sua vigência e suas regras.</w:t>
      </w:r>
    </w:p>
    <w:p>
      <w:pPr>
        <w:pStyle w:val="Heading2"/>
      </w:pPr>
      <w:r>
        <w:t>4.2 Fonte dos dados</w:t>
      </w:r>
    </w:p>
    <w:p>
      <w:pPr>
        <w:spacing w:after="120" w:line="264" w:lineRule="auto"/>
      </w:pPr>
      <w:r>
        <w:t>Cada seccional publica sua própria tabela, geralmente em PDF, página institucional ou resolução no Diário Eletrônico da OAB. Não foi identificada uma API nacional oficial e padronizada.</w:t>
      </w:r>
    </w:p>
    <w:p>
      <w:pPr>
        <w:spacing w:after="120" w:line="264" w:lineRule="auto"/>
      </w:pPr>
      <w:r>
        <w:t>Para o MVP, os dados serão importados para uma base própria e passarão por revisão antes da publicação. A aplicação não deverá consultar ou extrair os PDFs em tempo real.</w:t>
      </w:r>
    </w:p>
    <w:p>
      <w:pPr>
        <w:pStyle w:val="Heading2"/>
      </w:pPr>
      <w:r>
        <w:t>4.3 Conteúdo a extrair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área jurídica;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código e descrição oficial do item;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tipo de ação, procedimento ou serviço;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valor mínimo;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percentual recomendado, quando houver;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base sobre a qual o percentual incide;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regra de combinação entre percentual e piso;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unidade ou indexador;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observações e exceções;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data de vigência e fonte oficial.</w:t>
      </w:r>
    </w:p>
    <w:p>
      <w:pPr>
        <w:pStyle w:val="Heading2"/>
      </w:pPr>
      <w:r>
        <w:t>4.4 Catálogo de serviços</w:t>
      </w:r>
    </w:p>
    <w:p>
      <w:pPr>
        <w:spacing w:after="120" w:line="264" w:lineRule="auto"/>
      </w:pPr>
      <w:r>
        <w:t>As tabelas também servirão como fonte inicial para o catálogo de serviços. Elas abrangem ações judiciais e atividades como consultas, contratos, pareceres, audiências, diligências, recursos e procedimentos extrajudiciais.</w:t>
      </w:r>
    </w:p>
    <w:p>
      <w:pPr>
        <w:spacing w:after="120" w:line="264" w:lineRule="auto"/>
      </w:pPr>
      <w:r>
        <w:t>Como as seccionais usam nomes e classificações diferentes, o sistema terá dois níveis: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Serviço canônico: identificação interna comum a todos os estados.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Item da seccional: descrição, código, valor e regras da tabela estadual.</w:t>
      </w:r>
    </w:p>
    <w:p>
      <w:pPr>
        <w:pStyle w:val="Heading2"/>
      </w:pPr>
      <w:r>
        <w:t>4.5 Estrutura mínima do registro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40" w:type="dxa"/>
      </w:tblPr>
      <w:tblGrid>
        <w:gridCol w:w="2880"/>
        <w:gridCol w:w="6480"/>
      </w:tblGrid>
      <w:tr>
        <w:tc>
          <w:tcPr>
            <w:tcW w:type="dxa" w:w="28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Campo</w:t>
            </w:r>
          </w:p>
        </w:tc>
        <w:tc>
          <w:tcPr>
            <w:tcW w:type="dxa" w:w="648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Finalidade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state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UF da seccional aplicável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service_code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Código canônico interno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official_code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Código original da tabela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official_description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Descrição original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minimum_value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Valor mínimo em reais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percentage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Percentual, quando aplicável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calculation_basis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Base do percentual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effective_from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Início da vigência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source_url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Endereço da fonte oficial</w:t>
            </w:r>
          </w:p>
        </w:tc>
      </w:tr>
      <w:tr>
        <w:tc>
          <w:tcPr>
            <w:tcW w:type="dxa" w:w="28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source_item</w:t>
            </w:r>
          </w:p>
        </w:tc>
        <w:tc>
          <w:tcPr>
            <w:tcW w:type="dxa" w:w="6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Item ou página de origem</w:t>
            </w:r>
          </w:p>
        </w:tc>
      </w:tr>
    </w:tbl>
    <w:p>
      <w:pPr>
        <w:pStyle w:val="Heading2"/>
      </w:pPr>
      <w:r>
        <w:t>4.6 Regra inicial de uso</w:t>
      </w:r>
    </w:p>
    <w:p>
      <w:pPr>
        <w:spacing w:after="120" w:line="264" w:lineRule="auto"/>
      </w:pPr>
      <w:r>
        <w:t>Após o usuário selecionar o estado e o serviço canônico, o sistema localizará o item correspondente na tabela vigente. O valor ou percentual encontrado será exibido como referência da OAB e constituirá uma das bases do cálculo, sem ser automaticamente tratado como valor final recomendado.</w:t>
      </w:r>
    </w:p>
    <w:p>
      <w:pPr>
        <w:pStyle w:val="Heading2"/>
      </w:pPr>
      <w:r>
        <w:t>4.7 Atualização e controle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guardar todas as versões das tabelas;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registrar origem e data de vigência;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não sobrescrever valores históricos;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revisar a extração antes de disponibilizá-la;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alertar quando uma tabela estiver vencida ou sem confirmação recente.</w:t>
      </w:r>
    </w:p>
    <w:p>
      <w:pPr>
        <w:pStyle w:val="Heading2"/>
      </w:pPr>
      <w:r>
        <w:t>4.8 Decisões do componente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 base inicial será própria e curada.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 fonte primária será sempre a publicação oficial da seccional.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Os serviços serão normalizados em um catálogo canônico.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 referência da OAB será identificável e explicável no resultado.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 desenvolvimento poderá começar com um conjunto reduzido de estados.</w:t>
      </w:r>
    </w:p>
    <w:p>
      <w:pPr>
        <w:pStyle w:val="Heading1"/>
      </w:pPr>
      <w:r>
        <w:t>5. Componente 2 — Custos fixos</w:t>
      </w:r>
    </w:p>
    <w:p>
      <w:pPr>
        <w:spacing w:after="120" w:line="264" w:lineRule="auto"/>
      </w:pPr>
      <w:r>
        <w:t>Os custos fixos representarão o custo operacional mensal do advogado. O foco inicial será o profissional em começo de carreira, autônomo ou em home office, evitando um cadastro complexo voltado a grandes escritórios.</w:t>
      </w:r>
    </w:p>
    <w:p>
      <w:pPr>
        <w:spacing w:after="120" w:line="264" w:lineRule="auto"/>
      </w:pPr>
      <w:r>
        <w:t>Esse componente também incorporará parte da regionalização de forma indireta: diferenças locais, como aluguel e transporte, serão refletidas pelos custos reais informados, sem um multiplicador arbitrário por cidade.</w:t>
      </w:r>
    </w:p>
    <w:p>
      <w:pPr>
        <w:pStyle w:val="Heading2"/>
      </w:pPr>
      <w:r>
        <w:t>5.1 Lista principal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anuidade da OAB;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certificado digital;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contador;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softwares jurídicos;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internet;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telefone;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transporte recorrente;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coworking ou aluguel de sala;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domínio, site e e-mail profissional;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marketing;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material de escritório;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equipamentos e depreciação.</w:t>
      </w:r>
    </w:p>
    <w:p>
      <w:pPr>
        <w:pStyle w:val="Heading2"/>
      </w:pPr>
      <w:r>
        <w:t>5.2 Regras de preenchimento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Valores anuais serão convertidos automaticamente para uma média mensal.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Custos oscilantes poderão usar uma média mensal informada pelo usuário.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No home office, internet, energia e equipamentos considerarão apenas a parcela de uso profissional.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Cada item permitirá a opção 'não tenho esse custo'.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O usuário poderá informar um custo mensal aproximado quando não conhecer o valor exato.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Equipe, escritório completo, seguros e ferramentas avançadas ficarão em 'Outros custos'.</w:t>
      </w:r>
    </w:p>
    <w:p>
      <w:pPr>
        <w:pStyle w:val="Heading2"/>
      </w:pPr>
      <w:r>
        <w:t>5.3 Itens que não entram como custos fixos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custas específicas de processos;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viagens e deslocamentos de um caso;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correspondentes pontuais;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perícias;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impostos percentuais sobre faturamento;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remuneração pessoal desejada.</w:t>
      </w:r>
    </w:p>
    <w:p>
      <w:pPr>
        <w:spacing w:after="120" w:line="264" w:lineRule="auto"/>
      </w:pPr>
      <w:r>
        <w:t>Esses valores serão tratados como custos variáveis, tributos ou remuneração desejada em componentes separados do cálculo.</w:t>
      </w:r>
    </w:p>
    <w:p>
      <w:pPr>
        <w:pStyle w:val="Heading2"/>
      </w:pPr>
      <w:r>
        <w:t>5.4 Uso no cálculo</w:t>
      </w:r>
    </w:p>
    <w:p>
      <w:pPr>
        <w:spacing w:after="120" w:line="264" w:lineRule="auto"/>
      </w:pPr>
      <w:r>
        <w:t>Os custos mensais serão distribuídos entre as horas efetivamente faturáveis do profissional. O resultado formará um custo operacional por hora, usado posteriormente para estimar o piso econômico do serviço.</w:t>
      </w:r>
    </w:p>
    <w:p>
      <w:pPr>
        <w:pStyle w:val="Heading1"/>
      </w:pPr>
      <w:r>
        <w:t>6. Componente 3 — Tempo estimado</w:t>
      </w:r>
    </w:p>
    <w:p>
      <w:pPr>
        <w:spacing w:after="120" w:line="264" w:lineRule="auto"/>
      </w:pPr>
      <w:r>
        <w:t>O tempo estimado deverá representar as horas de trabalho necessárias para executar o serviço. Como essa estimativa varia por área, procedimento e forma de atuação, a base inicial será fornecida pelos profissionais de advocacia envolvidos no projeto.</w:t>
      </w:r>
    </w:p>
    <w:p>
      <w:pPr>
        <w:pStyle w:val="Heading2"/>
      </w:pPr>
      <w:r>
        <w:t>6.1 Separação necessária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Horas de trabalho: esforço efetivo dedicado pelo advogado.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Duração processual: período transcorrido entre o início e o encerramento do processo.</w:t>
      </w:r>
    </w:p>
    <w:p>
      <w:pPr>
        <w:spacing w:after="120" w:line="264" w:lineRule="auto"/>
      </w:pPr>
      <w:r>
        <w:t>A duração do processo não será tratada como equivalente às horas trabalhadas. No futuro, ela poderá influenciar risco, acompanhamento e grau de incerteza.</w:t>
      </w:r>
    </w:p>
    <w:p>
      <w:pPr>
        <w:pStyle w:val="Heading2"/>
      </w:pPr>
      <w:r>
        <w:t>6.2 Fontes registradas para avaliação futura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Painel de Estatísticas do CNJ: consultas por tribunal, município, classe e assunto — https://www.cnj.jus.br/programas-e-acoes/estatistica/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API Pública do DataJud: metadados processuais, classes, assuntos e movimentações — https://www.cnj.jus.br/sistemas/datajud/api-publica/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Justiça em Números: indicadores oficiais e comparações entre tribunais — https://www.cnj.jus.br/pesquisas-judiciarias/justica-em-numeros/</w:t>
      </w:r>
    </w:p>
    <w:p>
      <w:pPr>
        <w:pStyle w:val="Heading2"/>
      </w:pPr>
      <w:r>
        <w:t>6.3 Decisão atual</w:t>
      </w:r>
    </w:p>
    <w:p>
      <w:pPr>
        <w:spacing w:after="120" w:line="264" w:lineRule="auto"/>
      </w:pPr>
      <w:r>
        <w:t>As fontes do CNJ ficam registradas apenas como referência para pesquisa e possível evolução do produto. Nesta fase, seus dados não serão integrados nem utilizados no cálculo de honorários.</w:t>
      </w:r>
    </w:p>
    <w:p>
      <w:pPr>
        <w:spacing w:after="120" w:line="264" w:lineRule="auto"/>
      </w:pPr>
      <w:r>
        <w:t>A estimativa inicial de horas será construída com os sócios que atuam diretamente na advocacia, preferencialmente por etapas do serviço e com faixas mínima, típica e máxima.</w:t>
      </w:r>
    </w:p>
    <w:p>
      <w:pPr>
        <w:pStyle w:val="Heading1"/>
      </w:pPr>
      <w:r>
        <w:t>7. Componente 4 — Complexidade da causa</w:t>
      </w:r>
    </w:p>
    <w:p>
      <w:pPr>
        <w:spacing w:after="120" w:line="264" w:lineRule="auto"/>
      </w:pPr>
      <w:r>
        <w:t>A complexidade representará o nível de dificuldade da causa ou do serviço. No MVP, será informada diretamente pelo usuário por meio de três opções: baixa, média ou alta.</w:t>
      </w:r>
    </w:p>
    <w:p>
      <w:pPr>
        <w:pStyle w:val="Heading2"/>
      </w:pPr>
      <w:r>
        <w:t>7.1 Regra do MVP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Baixa: demanda simples, previsível e com poucos elementos de análise.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Média: demanda com fatores adicionais, mas dentro de um cenário jurídico relativamente conhecido.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Alta: demanda com múltiplos elementos, controvérsias relevantes ou necessidade de atuação especializada.</w:t>
      </w:r>
    </w:p>
    <w:p>
      <w:pPr>
        <w:spacing w:after="120" w:line="264" w:lineRule="auto"/>
      </w:pPr>
      <w:r>
        <w:t>Nesta fase, a classificação será subjetiva e não será calculada automaticamente pelo sistema.</w:t>
      </w:r>
    </w:p>
    <w:p>
      <w:pPr>
        <w:pStyle w:val="Heading2"/>
      </w:pPr>
      <w:r>
        <w:t>7.2 Dimensões registradas para evolução futura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complexidade jurídica: consolidação ou controvérsia da tese;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complexidade factual: quantidade e relação entre os fatos;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quantidade de partes envolvidas;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volume e dificuldade de análise dos documentos;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produção de provas, testemunhas ou perícias;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escopo processual, incidentes e possibilidade de recursos;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grau de especialização jurídica necessário.</w:t>
      </w:r>
    </w:p>
    <w:p>
      <w:pPr>
        <w:spacing w:after="120" w:line="264" w:lineRule="auto"/>
      </w:pPr>
      <w:r>
        <w:t>Futuramente, essas dimensões poderão ser convertidas em perguntas objetivas e pontuadas para produzir automaticamente a classificação baixa, média ou alta.</w:t>
      </w:r>
    </w:p>
    <w:p>
      <w:pPr>
        <w:pStyle w:val="Heading2"/>
      </w:pPr>
      <w:r>
        <w:t>7.3 Fatores mantidos separados</w:t>
      </w:r>
    </w:p>
    <w:p>
      <w:pPr>
        <w:spacing w:after="120" w:line="264" w:lineRule="auto"/>
      </w:pPr>
      <w:r>
        <w:t>Urgência, duração, valor econômico, risco de inadimplência e forma de pagamento não farão parte do índice de complexidade. Eles serão tratados em componentes próprios para evitar que o mesmo fator influencie o preço mais de uma vez.</w:t>
      </w:r>
    </w:p>
    <w:p>
      <w:pPr>
        <w:pStyle w:val="Heading2"/>
      </w:pPr>
      <w:r>
        <w:t>7.4 Decisão atual</w:t>
      </w:r>
    </w:p>
    <w:p>
      <w:pPr>
        <w:spacing w:after="120" w:line="264" w:lineRule="auto"/>
      </w:pPr>
      <w:r>
        <w:t>No MVP, será utilizada somente a seleção direta entre baixa, média e alta. As dimensões objetivas ficam registradas apenas como referência para evolução posterior.</w:t>
      </w:r>
    </w:p>
    <w:p>
      <w:pPr>
        <w:pStyle w:val="Heading1"/>
      </w:pPr>
      <w:r>
        <w:t>8. Componente 5 — Risco</w:t>
      </w:r>
    </w:p>
    <w:p>
      <w:pPr>
        <w:spacing w:after="120" w:line="264" w:lineRule="auto"/>
      </w:pPr>
      <w:r>
        <w:t>O risco representará a incerteza econômica e operacional associada ao serviço. No MVP, será informado diretamente pelo usuário por meio de três opções: baixo, médio ou alto.</w:t>
      </w:r>
    </w:p>
    <w:p>
      <w:pPr>
        <w:pStyle w:val="Heading2"/>
      </w:pPr>
      <w:r>
        <w:t>8.1 Regra do MVP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Baixo: escopo previsível, pagamento seguro e poucas dependências externas.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Médio: alguma incerteza relacionada ao trabalho, à duração ou ao recebimento.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Alto: grande incerteza de escopo, remuneração condicionada ou elevada exposição profissional.</w:t>
      </w:r>
    </w:p>
    <w:p>
      <w:pPr>
        <w:spacing w:after="120" w:line="264" w:lineRule="auto"/>
      </w:pPr>
      <w:r>
        <w:t>Nesta fase, a classificação será manual e não será calculada automaticamente pelo sistema.</w:t>
      </w:r>
    </w:p>
    <w:p>
      <w:pPr>
        <w:pStyle w:val="Heading2"/>
      </w:pPr>
      <w:r>
        <w:t>8.2 Dimensões registradas para evolução futura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risco de escopo: possibilidade de surgir trabalho não previsto;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risco de duração: possibilidade de o serviço se prolongar;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risco de recebimento: inadimplência ou pagamento condicionado ao êxito;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dependência externa: perícias, terceiros, órgãos ou documentos;</w:t>
      </w:r>
    </w:p>
    <w:p>
      <w:pPr>
        <w:pStyle w:val="ListBullet"/>
        <w:spacing w:after="8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responsabilidade profissional: impacto potencial e sensibilidade da atuação.</w:t>
      </w:r>
    </w:p>
    <w:p>
      <w:pPr>
        <w:spacing w:after="120" w:line="264" w:lineRule="auto"/>
      </w:pPr>
      <w:r>
        <w:t>Futuramente, essas dimensões poderão ser transformadas em perguntas objetivas e pontuadas para produzir automaticamente a classificação baixa, média ou alta.</w:t>
      </w:r>
    </w:p>
    <w:p>
      <w:pPr>
        <w:pStyle w:val="Heading2"/>
      </w:pPr>
      <w:r>
        <w:t>8.3 Limites do componente</w:t>
      </w:r>
    </w:p>
    <w:p>
      <w:pPr>
        <w:spacing w:after="120" w:line="264" w:lineRule="auto"/>
      </w:pPr>
      <w:r>
        <w:t>Complexidade, urgência e valor econômico permanecerão separados para evitar influência duplicada sobre o preço. A possibilidade de resultado jurídico desfavorável, isoladamente, não deverá determinar aumento dos honorários e será validada com os profissionais jurídicos do projeto.</w:t>
      </w:r>
    </w:p>
    <w:p>
      <w:pPr>
        <w:pStyle w:val="Heading2"/>
      </w:pPr>
      <w:r>
        <w:t>8.4 Decisão atual</w:t>
      </w:r>
    </w:p>
    <w:p>
      <w:pPr>
        <w:spacing w:after="120" w:line="264" w:lineRule="auto"/>
      </w:pPr>
      <w:r>
        <w:t>No MVP, será utilizada somente a seleção direta entre risco baixo, médio e alto. As dimensões objetivas ficam registradas apenas para consulta e evolução futura.</w:t>
      </w:r>
    </w:p>
    <w:p>
      <w:pPr>
        <w:spacing w:before="280"/>
        <w:jc w:val="center"/>
      </w:pPr>
      <w:r>
        <w:rPr>
          <w:rFonts w:ascii="Calibri" w:hAnsi="Calibri"/>
          <w:b w:val="0"/>
          <w:i/>
          <w:color w:val="5A626C"/>
          <w:sz w:val="18"/>
        </w:rPr>
        <w:t>Próximo componente: horas faturáveis e remuneração desejada.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26C"/>
        <w:sz w:val="17"/>
      </w:rPr>
      <w:t>Documento de trabalho • Versão 0.6 • 15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A626C"/>
        <w:sz w:val="17"/>
      </w:rPr>
      <w:t>APLICATIVO JURÍDICO  •  MODELO DE CÁLCULO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 para Cálculo de Honorários — Estado e OAB</dc:title>
  <dc:subject/>
  <dc:creator>Equipe do Aplicativo Jurídico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