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0B2545"/>
          <w:sz w:val="44"/>
        </w:rPr>
        <w:t>METODOLOGIA DE CÁLCULO DE HONORÁRIOS</w:t>
      </w:r>
    </w:p>
    <w:p>
      <w:pPr>
        <w:spacing w:after="60"/>
      </w:pPr>
      <w:r>
        <w:rPr>
          <w:rFonts w:ascii="Calibri" w:hAnsi="Calibri"/>
          <w:b w:val="0"/>
          <w:i w:val="0"/>
          <w:color w:val="5A626C"/>
          <w:sz w:val="28"/>
        </w:rPr>
        <w:t>Modelo inicial baseado em três referências separadas</w:t>
      </w:r>
    </w:p>
    <w:p>
      <w:pPr>
        <w:spacing w:after="360"/>
      </w:pPr>
      <w:r>
        <w:rPr>
          <w:rFonts w:ascii="Calibri" w:hAnsi="Calibri"/>
          <w:b/>
          <w:i w:val="0"/>
          <w:color w:val="2E74B5"/>
          <w:sz w:val="19"/>
        </w:rPr>
        <w:t>Fase de descoberta  | 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Decisão central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A ferramenta não apresentará a referência da OAB, o custo do advogado e a estimativa técnica como se fossem o mesmo valor. Cada referência será exibida separadamente e acompanhada de sua finalidade.</w:t>
            </w:r>
          </w:p>
        </w:tc>
      </w:tr>
    </w:tbl>
    <w:p>
      <w:pPr>
        <w:pStyle w:val="Heading1"/>
      </w:pPr>
      <w:r>
        <w:t>1. Objetivo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Definir a metodologia inicial para transformar os dados coletados pela ferramenta em valores claros, explicáveis e úteis para a elaboração de propostas de honorários.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modelo busca conciliar a realidade econômica do advogado, as características do serviço e a referência profissional da seccional da OAB aplicável.</w:t>
      </w:r>
    </w:p>
    <w:p>
      <w:pPr>
        <w:pStyle w:val="Heading1"/>
      </w:pPr>
      <w:r>
        <w:t>2. Resultado apresentado ao usuário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resultado será composto por três valores independentes: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Valor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Finalidade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Tratamento no sistema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Referência da OAB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 mínimo ou percentual previsto na tabela da seccional aplicável.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Exibido separadamente, com estado, item, vigência e fonte.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Custo mínimo sustentável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Estimativa do custo econômico necessário para executar o serviço.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Calculado com os custos do advogado e o tempo estimado.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Estimativa técnica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 calculado após considerar esforço, complexidade e risco.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Usado como base para a faixa de cobrança, sujeito às ressalvas éticas.</w:t>
            </w:r>
          </w:p>
        </w:tc>
      </w:tr>
    </w:tbl>
    <w:p>
      <w:pPr>
        <w:pStyle w:val="Heading1"/>
      </w:pPr>
      <w:r>
        <w:t>3. Formação dos valores</w:t>
      </w:r>
    </w:p>
    <w:p>
      <w:pPr>
        <w:pStyle w:val="Heading2"/>
      </w:pPr>
      <w:r>
        <w:t>3.1 Referência da OAB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sistema localizará o item correspondente ao estado e ao tipo de serviço selecionados. O valor será apresentado como referência regulatória, e não incorporado silenciosamente à estimativa técnica.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Identificação mínima: </w:t>
      </w:r>
      <w:r>
        <w:rPr>
          <w:rFonts w:ascii="Calibri" w:hAnsi="Calibri"/>
          <w:b w:val="0"/>
          <w:i w:val="0"/>
          <w:color w:val="000000"/>
          <w:sz w:val="22"/>
        </w:rPr>
        <w:t>seccional, descrição oficial do item, valor ou percentual, vigência e fonte oficial.</w:t>
      </w:r>
    </w:p>
    <w:p>
      <w:pPr>
        <w:pStyle w:val="Heading2"/>
      </w:pPr>
      <w:r>
        <w:t>3.2 Custo mínimo sustentável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Custo operacional por hora: </w:t>
      </w:r>
      <w:r>
        <w:rPr>
          <w:rFonts w:ascii="Calibri" w:hAnsi="Calibri"/>
          <w:b w:val="0"/>
          <w:i w:val="0"/>
          <w:color w:val="000000"/>
          <w:sz w:val="22"/>
        </w:rPr>
        <w:t>custos fixos mensais ÷ horas faturáveis mensais.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Custo do serviço: </w:t>
      </w:r>
      <w:r>
        <w:rPr>
          <w:rFonts w:ascii="Calibri" w:hAnsi="Calibri"/>
          <w:b w:val="0"/>
          <w:i w:val="0"/>
          <w:color w:val="000000"/>
          <w:sz w:val="22"/>
        </w:rPr>
        <w:t>custo operacional por hora × horas estimadas para o serviço.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Nesta fase, o resultado representa um piso operacional provisório. Antes do uso em produção, o modelo deverá incorporar remuneração desejada, tributos, custos variáveis e margem de segurança.</w:t>
      </w:r>
    </w:p>
    <w:p>
      <w:pPr>
        <w:pStyle w:val="Heading2"/>
      </w:pPr>
      <w:r>
        <w:t>3.3 Estimativa técnica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Horas ajustadas: </w:t>
      </w:r>
      <w:r>
        <w:rPr>
          <w:rFonts w:ascii="Calibri" w:hAnsi="Calibri"/>
          <w:b w:val="0"/>
          <w:i w:val="0"/>
          <w:color w:val="000000"/>
          <w:sz w:val="22"/>
        </w:rPr>
        <w:t>horas estimadas × fator de complexidade.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Estimativa técnica: </w:t>
      </w:r>
      <w:r>
        <w:rPr>
          <w:rFonts w:ascii="Calibri" w:hAnsi="Calibri"/>
          <w:b w:val="0"/>
          <w:i w:val="0"/>
          <w:color w:val="000000"/>
          <w:sz w:val="22"/>
        </w:rPr>
        <w:t>custo operacional por hora × horas ajustadas × fator de risco.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No MVP, complexidade e risco serão classificados manualmente como baixos, médios ou altos. Seus multiplicadores serão definidos e calibrados com os profissionais jurídicos do projeto antes da implementação.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Custos específicos do caso, como viagens, perícias e correspondentes, deverão ser apresentados separadamente ou somados como custos variáveis identificáveis.</w:t>
      </w:r>
    </w:p>
    <w:p>
      <w:pPr>
        <w:pStyle w:val="Heading1"/>
      </w:pPr>
      <w:r>
        <w:t>4. Regra de apresentação e decisão</w:t>
      </w:r>
    </w:p>
    <w:p>
      <w:pPr>
        <w:pStyle w:val="Heading2"/>
      </w:pPr>
      <w:r>
        <w:t>4.1 Estimativa técnica igual ou superior à referência da OAB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estimativa técnica poderá servir como centro da faixa sugerida. A referência da OAB continuará visível para que o usuário entenda a comparação.</w:t>
      </w:r>
    </w:p>
    <w:p>
      <w:pPr>
        <w:pStyle w:val="Heading2"/>
      </w:pPr>
      <w:r>
        <w:t>4.2 Estimativa técnica inferior à referência da OAB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sistema não substituirá automaticamente a estimativa técnica pelo valor da tabela. Em vez disso, exibirá os dois valores, destacará a divergência e apresentará a ressalva ética aplicável.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Um valor inferior à tabela não deverá ser rotulado como recomendação regular ou compatível com a OAB sem validação jurídica específica.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Alternativas comerciais: </w:t>
      </w:r>
      <w:r>
        <w:rPr>
          <w:rFonts w:ascii="Calibri" w:hAnsi="Calibri"/>
          <w:b w:val="0"/>
          <w:i w:val="0"/>
          <w:color w:val="000000"/>
          <w:sz w:val="22"/>
        </w:rPr>
        <w:t>parcelamento, redução clara do escopo, contratação por etapas ou estrutura de entrada combinada com honorários de êxito, quando juridicamente adequada.</w:t>
      </w:r>
    </w:p>
    <w:p>
      <w:pPr>
        <w:pStyle w:val="Heading1"/>
        <w:pageBreakBefore/>
      </w:pPr>
      <w:r>
        <w:t>5. Código de Ética da OAB e aviltamento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referência principal está no Código de Ética e Disciplina da OAB, aprovado pela Resolução nº 02/2015 do Conselho Federal.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Seção: </w:t>
      </w:r>
      <w:r>
        <w:rPr>
          <w:rFonts w:ascii="Calibri" w:hAnsi="Calibri"/>
          <w:b w:val="0"/>
          <w:i w:val="0"/>
          <w:color w:val="000000"/>
          <w:sz w:val="22"/>
        </w:rPr>
        <w:t>Título I, Capítulo IX - Dos Honorários Profissionais, art. 48, § 6º.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dispositivo determina que o advogado observe o valor mínimo da tabela instituída pelo Conselho Seccional onde o serviço é realizado e associa seu descumprimento à caracterização de aviltamento de honorários.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art. 2º, parágrafo único, VIII, f, também estabelece como dever do advogado não contratar honorários em valores aviltantes. O art. 49 registra fatores de moderação, como complexidade, trabalho, tempo, valor da causa, condição econômica do cliente, local e prática do foro.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Fonte oficial: </w:t>
      </w:r>
      <w:hyperlink r:id="rId11">
        <w:r>
          <w:rPr>
            <w:color w:val="0563C1"/>
            <w:u w:val="single"/>
          </w:rPr>
          <w:t>Código de Ética e Disciplina da OAB - Resolução nº 02/2015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>Ressalva para o produto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forma de interpretar e aplicar cada tabela deverá ser validada por seccional e revisada pelos profissionais jurídicos do projeto. A ferramenta deve apoiar a decisão do advogado, sem declarar regularidade ética automática.</w:t>
            </w:r>
          </w:p>
        </w:tc>
      </w:tr>
    </w:tbl>
    <w:p>
      <w:pPr>
        <w:pStyle w:val="Heading1"/>
      </w:pPr>
      <w:r>
        <w:t>6. Pendências para validação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Horas faturáveis mensais: </w:t>
      </w:r>
      <w:r>
        <w:rPr>
          <w:rFonts w:ascii="Calibri" w:hAnsi="Calibri"/>
          <w:b w:val="0"/>
          <w:i w:val="0"/>
          <w:color w:val="000000"/>
          <w:sz w:val="22"/>
        </w:rPr>
        <w:t>definir o método de cálculo e um valor inicial orientativo para novos advogados.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Remuneração desejada: </w:t>
      </w:r>
      <w:r>
        <w:rPr>
          <w:rFonts w:ascii="Calibri" w:hAnsi="Calibri"/>
          <w:b w:val="0"/>
          <w:i w:val="0"/>
          <w:color w:val="000000"/>
          <w:sz w:val="22"/>
        </w:rPr>
        <w:t>definir como integrará o custo-hora sem ser confundida com custo fixo.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Multiplicadores: </w:t>
      </w:r>
      <w:r>
        <w:rPr>
          <w:rFonts w:ascii="Calibri" w:hAnsi="Calibri"/>
          <w:b w:val="0"/>
          <w:i w:val="0"/>
          <w:color w:val="000000"/>
          <w:sz w:val="22"/>
        </w:rPr>
        <w:t>calibrar os fatores de complexidade e risco com os sócios jurídicos.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Faixa sugerida: </w:t>
      </w:r>
      <w:r>
        <w:rPr>
          <w:rFonts w:ascii="Calibri" w:hAnsi="Calibri"/>
          <w:b w:val="0"/>
          <w:i w:val="0"/>
          <w:color w:val="000000"/>
          <w:sz w:val="22"/>
        </w:rPr>
        <w:t>definir a variação inferior e superior ao redor da estimativa técnica.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Validação ética: </w:t>
      </w:r>
      <w:r>
        <w:rPr>
          <w:rFonts w:ascii="Calibri" w:hAnsi="Calibri"/>
          <w:b w:val="0"/>
          <w:i w:val="0"/>
          <w:color w:val="000000"/>
          <w:sz w:val="22"/>
        </w:rPr>
        <w:t>confirmar regras e eventuais particularidades das seccionais atendidas no MVP.</w:t>
      </w:r>
    </w:p>
    <w:p>
      <w:pPr>
        <w:spacing w:before="280"/>
        <w:jc w:val="center"/>
      </w:pPr>
      <w:r>
        <w:rPr>
          <w:rFonts w:ascii="Calibri" w:hAnsi="Calibri"/>
          <w:b w:val="0"/>
          <w:i/>
          <w:color w:val="5A626C"/>
          <w:sz w:val="18"/>
        </w:rPr>
        <w:t>Documento inicial sujeito a validação jurídica e calibração com usuários.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26C"/>
        <w:sz w:val="17"/>
      </w:rPr>
      <w:t xml:space="preserve">Documento de trabalho  |  Versão 0.1  |  16 de agosto de 2026  |  Página </w:t>
    </w:r>
    <w:r>
      <w:rPr>
        <w:rFonts w:ascii="Calibri" w:hAnsi="Calibri"/>
        <w:b w:val="0"/>
        <w:i w:val="0"/>
        <w:color w:val="5A626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626C"/>
        <w:sz w:val="17"/>
      </w:rPr>
      <w:t>APLICATIVO JURÍDICO  |  METODOLOGIA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ab.org.br/leisnormas/legislacao/resolucoes/02-20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de Cálculo de Honorários</dc:title>
  <dc:subject>Modelo inicial com referência da OAB, custo mínimo sustentável e estimativa técnica</dc:subject>
  <dc:creator>Equipe do Aplicativo Jurídico</dc:creator>
  <cp:keywords>honorários, OAB, cálculo, metodologia, aviltamento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