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24"/>
          <w:szCs w:val="24"/>
        </w:rPr>
        <w:t xml:space="preserve">GUÍA 1.3.2 </w:t>
      </w:r>
      <w:r>
        <w:rPr>
          <w:sz w:val="24"/>
          <w:szCs w:val="24"/>
        </w:rPr>
        <w:t xml:space="preserve">Documentando alcances, responsabilidades y funciones de microservicios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0"/>
        <w:gridCol w:w="3660"/>
        <w:gridCol w:w="2660"/>
      </w:tblGrid>
      <w:tr>
        <w:tc>
          <w:tcPr>
            <w:tcW w:type="dxa" w:w="2660"/>
            <w:shd w:fill="1F6FB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3660"/>
            <w:shd w:fill="1F6FB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2660"/>
            <w:shd w:fill="1F6FB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Experiencia de Aprendizaje</w:t>
            </w:r>
          </w:p>
        </w:tc>
      </w:tr>
      <w:tr>
        <w:tc>
          <w:tcPr>
            <w:tcW w:type="dxa" w:w="2660"/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JVY0101</w:t>
            </w:r>
          </w:p>
        </w:tc>
        <w:tc>
          <w:tcPr>
            <w:tcW w:type="dxa" w:w="3660"/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Java: Diseño y Construcción de Soluciones Nativas en Nube</w:t>
            </w:r>
          </w:p>
        </w:tc>
        <w:tc>
          <w:tcPr>
            <w:tcW w:type="dxa" w:w="2660"/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EA1</w:t>
            </w:r>
          </w:p>
        </w:tc>
      </w:tr>
      <w:tr>
        <w:tc>
          <w:tcPr>
            <w:tcW w:type="dxa" w:w="2660"/>
            <w:shd w:fill="1F6FB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3660"/>
            <w:shd w:fill="1F6FB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Modalidad de Trabajo</w:t>
            </w:r>
          </w:p>
        </w:tc>
        <w:tc>
          <w:tcPr>
            <w:tcW w:type="dxa" w:w="2660"/>
            <w:shd w:fill="1F6FB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Indicadores de Logro</w:t>
            </w:r>
          </w:p>
        </w:tc>
      </w:tr>
      <w:tr>
        <w:tc>
          <w:tcPr>
            <w:tcW w:type="dxa" w:w="2660"/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 hora</w:t>
            </w:r>
          </w:p>
        </w:tc>
        <w:tc>
          <w:tcPr>
            <w:tcW w:type="dxa" w:w="3660"/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Individual</w:t>
            </w:r>
          </w:p>
        </w:tc>
        <w:tc>
          <w:tcPr>
            <w:tcW w:type="dxa" w:w="2660"/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IL1.3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6FB2"/>
        </w:rPr>
        <w:t xml:space="preserve">Objetivo</w:t>
      </w:r>
    </w:p>
    <w:p>
      <w:pPr>
        <w:spacing w:after="150"/>
      </w:pPr>
      <w:r>
        <w:t xml:space="preserve">Definir los límites funcionales de los microservicios, sus propósitos individuales y sus interacciones con otros servicios o componentes de la solución.</w:t>
      </w:r>
    </w:p>
    <w:p>
      <w:pPr>
        <w:pStyle w:val="Heading2"/>
        <w:spacing w:after="150" w:before="300"/>
      </w:pPr>
      <w:r>
        <w:rPr>
          <w:b/>
          <w:bCs/>
          <w:color w:val="1F6FB2"/>
        </w:rPr>
        <w:t xml:space="preserve">Desarrollo de la actividad</w:t>
      </w:r>
    </w:p>
    <w:p>
      <w:pPr>
        <w:spacing w:after="100" w:before="250"/>
      </w:pPr>
      <w:r>
        <w:rPr>
          <w:b/>
          <w:bCs/>
          <w:sz w:val="24"/>
          <w:szCs w:val="24"/>
        </w:rPr>
        <w:t xml:space="preserve">1. Caso de proyecto</w:t>
      </w:r>
    </w:p>
    <w:p>
      <w:pPr>
        <w:spacing w:after="150"/>
      </w:pPr>
      <w:r>
        <w:t xml:space="preserve">NexusVital — Plataforma de gestión de documentos médicos entre hospitales, que permite a pacientes revisar sus exámenes e historial médico, y a los médicos acceder al historial clínico de los pacientes que atienden.</w:t>
      </w:r>
    </w:p>
    <w:p>
      <w:pPr>
        <w:spacing w:after="100" w:before="250"/>
      </w:pPr>
      <w:r>
        <w:rPr>
          <w:b/>
          <w:bCs/>
          <w:sz w:val="24"/>
          <w:szCs w:val="24"/>
        </w:rPr>
        <w:t xml:space="preserve">2. Microservicios identificados</w:t>
      </w:r>
    </w:p>
    <w:p>
      <w:pPr>
        <w:spacing w:after="150"/>
      </w:pPr>
      <w:r>
        <w:t xml:space="preserve">1. Gestión de Usuarios</w:t>
      </w:r>
    </w:p>
    <w:p>
      <w:pPr>
        <w:spacing w:after="150"/>
      </w:pPr>
      <w:r>
        <w:t xml:space="preserve">2. Autenticación y Consentimiento</w:t>
      </w:r>
    </w:p>
    <w:p>
      <w:pPr>
        <w:spacing w:after="150"/>
      </w:pPr>
      <w:r>
        <w:t xml:space="preserve">3. Historial Clínico</w:t>
      </w:r>
    </w:p>
    <w:p>
      <w:pPr>
        <w:spacing w:after="150"/>
      </w:pPr>
      <w:r>
        <w:t xml:space="preserve">4. Documentos/Exámenes</w:t>
      </w:r>
    </w:p>
    <w:p>
      <w:pPr>
        <w:spacing w:after="150"/>
      </w:pPr>
      <w:r>
        <w:t xml:space="preserve">5. Búsqueda de Pacientes</w:t>
      </w:r>
    </w:p>
    <w:p>
      <w:pPr>
        <w:spacing w:after="100" w:before="250"/>
      </w:pPr>
      <w:r>
        <w:rPr>
          <w:b/>
          <w:bCs/>
          <w:sz w:val="24"/>
          <w:szCs w:val="24"/>
        </w:rPr>
        <w:t xml:space="preserve">3. Fichas de microservicio</w:t>
      </w:r>
    </w:p>
    <w:p>
      <w:pPr>
        <w:spacing w:after="100" w:before="250"/>
      </w:pPr>
      <w:r>
        <w:rPr>
          <w:b/>
          <w:bCs/>
          <w:color w:val="1F6FB2"/>
          <w:sz w:val="22"/>
          <w:szCs w:val="22"/>
        </w:rPr>
        <w:t xml:space="preserve">Ficha 1 — Gestión de Usuarios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Nombre del microservicio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Gestión de Usuarios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Propósito general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Administrar el registro y los perfiles de los usuarios del sistema (pacientes, médicos y administradores), incluyendo sus datos de contacto.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Funciones clave (al menos 2–3)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Registrar nuevo usuario (paciente o médico)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Consultar y actualizar perfil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Actualizar información de contacto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Interacciones con otros microservicios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Con el microservicio de Autenticación y Consentimiento (validación de credenciales) y con Historial Clínico (referencia de identidad del paciente/médico).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Justificación del aislamiento del servicio (seguridad, escalabilidad, mantenibilidad, etc.)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Separar la identidad y los datos personales del resto del sistema reduce el impacto de un incidente de seguridad, facilita cumplir normativas de protección de datos y permite escalar el registro de usuarios de forma independiente.</w:t>
            </w:r>
          </w:p>
        </w:tc>
      </w:tr>
    </w:tbl>
    <w:p>
      <w:pPr>
        <w:spacing w:after="200"/>
      </w:pPr>
    </w:p>
    <w:p>
      <w:pPr>
        <w:spacing w:after="100" w:before="250"/>
      </w:pPr>
      <w:r>
        <w:rPr>
          <w:b/>
          <w:bCs/>
          <w:color w:val="1F6FB2"/>
          <w:sz w:val="22"/>
          <w:szCs w:val="22"/>
        </w:rPr>
        <w:t xml:space="preserve">Ficha 2 — Autenticación y Consentimiento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Nombre del microservicio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Autenticación y Consentimiento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Propósito general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Gestionar el acceso seguro al sistema (login, JWT) y el consentimiento del paciente para compartir su información médica entre hospitales.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Funciones clave (al menos 2–3)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Autenticar usuarios y emitir/validar tokens JWT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Registrar y verificar consentimiento del paciente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Revocar accesos o consentimientos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Interacciones con otros microservicios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Con Gestión de Usuarios (validar identidad), y actúa como filtro para Documentos/Exámenes e Historial Clínico (verifica consentimiento antes de dar acceso).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Justificación del aislamiento del servicio (seguridad, escalabilidad, mantenibilidad, etc.)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La seguridad y el consentimiento son responsabilidades críticas y sensibles; aislarlas permite aplicar controles de seguridad más estrictos (RNF-01, RNF-05, RNF-06) sin acoplarlas a la lógica clínica.</w:t>
            </w:r>
          </w:p>
        </w:tc>
      </w:tr>
    </w:tbl>
    <w:p>
      <w:pPr>
        <w:spacing w:after="200"/>
      </w:pPr>
    </w:p>
    <w:p>
      <w:pPr>
        <w:spacing w:after="100" w:before="250"/>
      </w:pPr>
      <w:r>
        <w:rPr>
          <w:b/>
          <w:bCs/>
          <w:color w:val="1F6FB2"/>
          <w:sz w:val="22"/>
          <w:szCs w:val="22"/>
        </w:rPr>
        <w:t xml:space="preserve">Ficha 3 — Historial Clínico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Nombre del microservicio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Historial Clínico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Propósito general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Consolidar y presentar la línea de tiempo médica del paciente, incluyendo consultas y resúmenes descargables.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Funciones clave (al menos 2–3)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Mostrar línea de tiempo de eventos clínicos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Registrar nuevas consultas médicas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Generar y permitir descarga de resumen clínico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Interacciones con otros microservicios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Con Documentos/Exámenes (incorpora archivos a la línea de tiempo), con Gestión de Usuarios (datos del paciente/médico) y con Autenticación y Consentimiento (verificación de acceso).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Justificación del aislamiento del servicio (seguridad, escalabilidad, mantenibilidad, etc.)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Aísla la lógica de negocio clínica (agregación y presentación de datos) de la gestión de archivos y usuarios, permitiendo escalar consultas de lectura (alta demanda) sin afectar otros servicios.</w:t>
            </w:r>
          </w:p>
        </w:tc>
      </w:tr>
    </w:tbl>
    <w:p>
      <w:pPr>
        <w:spacing w:after="200"/>
      </w:pPr>
    </w:p>
    <w:p>
      <w:pPr>
        <w:spacing w:after="100" w:before="250"/>
      </w:pPr>
      <w:r>
        <w:rPr>
          <w:b/>
          <w:bCs/>
          <w:color w:val="1F6FB2"/>
          <w:sz w:val="22"/>
          <w:szCs w:val="22"/>
        </w:rPr>
        <w:t xml:space="preserve">Ficha 4 — Documentos/Exámenes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Nombre del microservicio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Documentos/Exámenes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Propósito general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Administrar la carga, almacenamiento y consulta de archivos clínicos (exámenes, imágenes, informes).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Funciones clave (al menos 2–3)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Cargar archivo clínico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Consultar/descargar archivo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Asociar archivo a un paciente y consulta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Interacciones con otros microservicios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Con Historial Clínico (los archivos alimentan la línea de tiempo) y con Autenticación y Consentimiento (control de acceso a archivos sensibles).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Justificación del aislamiento del servicio (seguridad, escalabilidad, mantenibilidad, etc.)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El manejo de archivos tiene requisitos distintos de almacenamiento y rendimiento (RNF-04, RNF-07) que el resto del sistema; separarlo permite escalar el almacenamiento de forma independiente y aplicar cifrado específico a datos en reposo.</w:t>
            </w:r>
          </w:p>
        </w:tc>
      </w:tr>
    </w:tbl>
    <w:p>
      <w:pPr>
        <w:spacing w:after="200"/>
      </w:pPr>
    </w:p>
    <w:p>
      <w:pPr>
        <w:spacing w:after="100" w:before="250"/>
      </w:pPr>
      <w:r>
        <w:rPr>
          <w:b/>
          <w:bCs/>
          <w:color w:val="1F6FB2"/>
          <w:sz w:val="22"/>
          <w:szCs w:val="22"/>
        </w:rPr>
        <w:t xml:space="preserve">Ficha 5 — Búsqueda de Pacientes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Nombre del microservicio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Búsqueda de Pacientes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Propósito general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Permitir a médicos y hospitales encontrar rápidamente a un paciente y acceder (con consentimiento) a su información.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Funciones clave (al menos 2–3)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Buscar paciente por nombre/ID/RUT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Filtrar resultados por hospital o especialidad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Interacciones con otros microservicios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Con Gestión de Usuarios (datos base del paciente) y con Autenticación y Consentimiento (verifica que el médico tenga permiso para ver al paciente encontrado).</w:t>
            </w:r>
          </w:p>
        </w:tc>
      </w:tr>
      <w:tr>
        <w:tc>
          <w:tcPr>
            <w:tcW w:type="dxa" w:w="2700"/>
            <w:shd w:fill="EDED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Justificación del aislamiento del servicio (seguridad, escalabilidad, mantenibilidad, etc.)</w:t>
            </w:r>
          </w:p>
        </w:tc>
        <w:tc>
          <w:tcPr>
            <w:tcW w:type="dxa" w:w="6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Las búsquedas suelen requerir alta concurrencia y baja latencia (RNF-04, RNF-07); separarlas evita que picos de uso en la búsqueda afecten el rendimiento de otros servicios más críticos como el historial clínico.</w:t>
            </w:r>
          </w:p>
        </w:tc>
      </w:tr>
    </w:tbl>
    <w:p>
      <w:pPr>
        <w:spacing w:after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2026-08-26T23:13:07.082Z</dcterms:created>
  <dcterms:modified xsi:type="dcterms:W3CDTF">2026-08-26T23:13:07.096Z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