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C77" w:rsidRDefault="005F3759">
      <w:r>
        <w:rPr>
          <w:noProof/>
        </w:rPr>
        <w:pict>
          <v:rect id="_x0000_i1025" alt="" style="width:481.65pt;height:.05pt;mso-width-percent:0;mso-height-percent:0;mso-width-percent:0;mso-height-percent:0" o:hralign="center" o:hrstd="t" o:hr="t"/>
        </w:pict>
      </w:r>
    </w:p>
    <w:tbl>
      <w:tblPr>
        <w:tblStyle w:val="Table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7E0" w:firstRow="1" w:lastRow="1" w:firstColumn="1" w:lastColumn="1" w:noHBand="1" w:noVBand="1"/>
      </w:tblPr>
      <w:tblGrid>
        <w:gridCol w:w="1828"/>
        <w:gridCol w:w="2839"/>
        <w:gridCol w:w="2564"/>
        <w:gridCol w:w="2392"/>
      </w:tblGrid>
      <w:tr w:rsidR="0052548B" w:rsidTr="000973F5">
        <w:tc>
          <w:tcPr>
            <w:tcW w:w="950" w:type="pct"/>
          </w:tcPr>
          <w:p w:rsidR="0052548B" w:rsidRDefault="0052548B" w:rsidP="00081C0C">
            <w:pPr>
              <w:pStyle w:val="Compact"/>
              <w:spacing w:after="120"/>
            </w:pPr>
            <w:r>
              <w:t>Surveyor</w:t>
            </w:r>
          </w:p>
        </w:tc>
        <w:tc>
          <w:tcPr>
            <w:tcW w:w="4050" w:type="pct"/>
            <w:gridSpan w:val="3"/>
          </w:tcPr>
          <w:p w:rsidR="0052548B" w:rsidRDefault="0052548B" w:rsidP="00081C0C">
            <w:pPr>
              <w:pStyle w:val="Compact"/>
              <w:spacing w:after="120"/>
            </w:pPr>
          </w:p>
        </w:tc>
      </w:tr>
      <w:tr w:rsidR="0052548B" w:rsidTr="000973F5">
        <w:tc>
          <w:tcPr>
            <w:tcW w:w="950" w:type="pct"/>
          </w:tcPr>
          <w:p w:rsidR="0052548B" w:rsidRDefault="0052548B" w:rsidP="00081C0C">
            <w:pPr>
              <w:pStyle w:val="Compact"/>
              <w:spacing w:after="120"/>
            </w:pPr>
            <w:r>
              <w:t>Survey Date</w:t>
            </w:r>
          </w:p>
        </w:tc>
        <w:tc>
          <w:tcPr>
            <w:tcW w:w="1475" w:type="pct"/>
          </w:tcPr>
          <w:p w:rsidR="0052548B" w:rsidRDefault="0052548B" w:rsidP="00081C0C">
            <w:pPr>
              <w:pStyle w:val="Compact"/>
              <w:spacing w:after="120"/>
            </w:pPr>
          </w:p>
        </w:tc>
        <w:tc>
          <w:tcPr>
            <w:tcW w:w="1332" w:type="pct"/>
          </w:tcPr>
          <w:p w:rsidR="0052548B" w:rsidRDefault="0052548B" w:rsidP="00081C0C">
            <w:pPr>
              <w:pStyle w:val="Compact"/>
              <w:spacing w:after="120"/>
            </w:pPr>
            <w:r>
              <w:t>Start Time (</w:t>
            </w:r>
            <w:proofErr w:type="spellStart"/>
            <w:r>
              <w:t>hh:mm</w:t>
            </w:r>
            <w:proofErr w:type="spellEnd"/>
            <w:r>
              <w:t>)</w:t>
            </w:r>
          </w:p>
        </w:tc>
        <w:tc>
          <w:tcPr>
            <w:tcW w:w="1243" w:type="pct"/>
          </w:tcPr>
          <w:p w:rsidR="0052548B" w:rsidRDefault="0052548B" w:rsidP="00081C0C">
            <w:pPr>
              <w:pStyle w:val="Compact"/>
              <w:spacing w:after="120"/>
            </w:pPr>
          </w:p>
        </w:tc>
      </w:tr>
      <w:tr w:rsidR="0052548B" w:rsidTr="000973F5">
        <w:tc>
          <w:tcPr>
            <w:tcW w:w="950" w:type="pct"/>
          </w:tcPr>
          <w:p w:rsidR="0052548B" w:rsidRDefault="0052548B" w:rsidP="00081C0C">
            <w:pPr>
              <w:pStyle w:val="Compact"/>
              <w:spacing w:after="120"/>
            </w:pPr>
            <w:r>
              <w:t>Pond Ref No</w:t>
            </w:r>
          </w:p>
        </w:tc>
        <w:tc>
          <w:tcPr>
            <w:tcW w:w="1475" w:type="pct"/>
          </w:tcPr>
          <w:p w:rsidR="0052548B" w:rsidRDefault="0052548B" w:rsidP="00081C0C">
            <w:pPr>
              <w:pStyle w:val="Compact"/>
              <w:spacing w:after="120"/>
            </w:pPr>
          </w:p>
        </w:tc>
        <w:tc>
          <w:tcPr>
            <w:tcW w:w="1332" w:type="pct"/>
          </w:tcPr>
          <w:p w:rsidR="0052548B" w:rsidRDefault="0052548B" w:rsidP="00081C0C">
            <w:pPr>
              <w:pStyle w:val="Compact"/>
              <w:spacing w:after="120"/>
            </w:pPr>
            <w:r>
              <w:t>Pond Name/Location</w:t>
            </w:r>
          </w:p>
        </w:tc>
        <w:tc>
          <w:tcPr>
            <w:tcW w:w="1243" w:type="pct"/>
          </w:tcPr>
          <w:p w:rsidR="0052548B" w:rsidRDefault="0052548B" w:rsidP="00081C0C">
            <w:pPr>
              <w:pStyle w:val="Compact"/>
              <w:spacing w:after="120"/>
            </w:pPr>
          </w:p>
        </w:tc>
      </w:tr>
      <w:tr w:rsidR="0052548B" w:rsidTr="000973F5">
        <w:tc>
          <w:tcPr>
            <w:tcW w:w="950" w:type="pct"/>
          </w:tcPr>
          <w:p w:rsidR="0052548B" w:rsidRDefault="0052548B" w:rsidP="00081C0C">
            <w:pPr>
              <w:pStyle w:val="Compact"/>
              <w:spacing w:after="120"/>
            </w:pPr>
            <w:r>
              <w:t>Latitude (n/s)</w:t>
            </w:r>
          </w:p>
        </w:tc>
        <w:tc>
          <w:tcPr>
            <w:tcW w:w="1475" w:type="pct"/>
          </w:tcPr>
          <w:p w:rsidR="0052548B" w:rsidRDefault="0052548B" w:rsidP="00081C0C">
            <w:pPr>
              <w:pStyle w:val="Compact"/>
              <w:spacing w:after="120"/>
            </w:pPr>
          </w:p>
        </w:tc>
        <w:tc>
          <w:tcPr>
            <w:tcW w:w="1332" w:type="pct"/>
          </w:tcPr>
          <w:p w:rsidR="0052548B" w:rsidRDefault="0052548B" w:rsidP="00081C0C">
            <w:pPr>
              <w:pStyle w:val="Compact"/>
              <w:spacing w:after="120"/>
            </w:pPr>
            <w:r>
              <w:t>Longitude (w/e)</w:t>
            </w:r>
          </w:p>
        </w:tc>
        <w:tc>
          <w:tcPr>
            <w:tcW w:w="1243" w:type="pct"/>
          </w:tcPr>
          <w:p w:rsidR="0052548B" w:rsidRDefault="0052548B" w:rsidP="00081C0C">
            <w:pPr>
              <w:pStyle w:val="Compact"/>
              <w:spacing w:after="120"/>
            </w:pPr>
          </w:p>
        </w:tc>
      </w:tr>
    </w:tbl>
    <w:p w:rsidR="001D127D" w:rsidRPr="00081C0C" w:rsidRDefault="001D127D" w:rsidP="00081C0C">
      <w:pPr>
        <w:spacing w:after="0"/>
        <w:rPr>
          <w:sz w:val="18"/>
          <w:szCs w:val="18"/>
        </w:rPr>
      </w:pPr>
    </w:p>
    <w:tbl>
      <w:tblPr>
        <w:tblStyle w:val="Table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7E0" w:firstRow="1" w:lastRow="1" w:firstColumn="1" w:lastColumn="1" w:noHBand="1" w:noVBand="1"/>
      </w:tblPr>
      <w:tblGrid>
        <w:gridCol w:w="3101"/>
        <w:gridCol w:w="6522"/>
      </w:tblGrid>
      <w:tr w:rsidR="001D127D" w:rsidTr="000973F5">
        <w:tc>
          <w:tcPr>
            <w:tcW w:w="1611" w:type="pct"/>
          </w:tcPr>
          <w:p w:rsidR="001D127D" w:rsidRDefault="001D127D" w:rsidP="00081C0C">
            <w:pPr>
              <w:pStyle w:val="Compact"/>
              <w:spacing w:after="120"/>
            </w:pPr>
            <w:r>
              <w:t>Recorder Make/Model</w:t>
            </w:r>
          </w:p>
        </w:tc>
        <w:tc>
          <w:tcPr>
            <w:tcW w:w="3389" w:type="pct"/>
          </w:tcPr>
          <w:p w:rsidR="001D127D" w:rsidRDefault="001D127D" w:rsidP="00081C0C">
            <w:pPr>
              <w:pStyle w:val="Compact"/>
              <w:spacing w:after="120"/>
            </w:pPr>
          </w:p>
        </w:tc>
      </w:tr>
      <w:tr w:rsidR="001D127D" w:rsidTr="000973F5">
        <w:tc>
          <w:tcPr>
            <w:tcW w:w="1611" w:type="pct"/>
          </w:tcPr>
          <w:p w:rsidR="001D127D" w:rsidRDefault="001D127D" w:rsidP="00081C0C">
            <w:pPr>
              <w:pStyle w:val="Compact"/>
              <w:spacing w:after="120"/>
            </w:pPr>
            <w:r>
              <w:t>Hydrophone Make/Model</w:t>
            </w:r>
          </w:p>
        </w:tc>
        <w:tc>
          <w:tcPr>
            <w:tcW w:w="3389" w:type="pct"/>
          </w:tcPr>
          <w:p w:rsidR="001D127D" w:rsidRDefault="001D127D" w:rsidP="00081C0C">
            <w:pPr>
              <w:pStyle w:val="Compact"/>
              <w:spacing w:after="120"/>
            </w:pPr>
          </w:p>
        </w:tc>
      </w:tr>
      <w:tr w:rsidR="001D127D" w:rsidTr="000973F5">
        <w:tc>
          <w:tcPr>
            <w:tcW w:w="1611" w:type="pct"/>
          </w:tcPr>
          <w:p w:rsidR="001D127D" w:rsidRDefault="001D127D" w:rsidP="00081C0C">
            <w:pPr>
              <w:pStyle w:val="Compact"/>
              <w:spacing w:after="120"/>
            </w:pPr>
            <w:r>
              <w:t>Sample Rate (kHz)</w:t>
            </w:r>
          </w:p>
        </w:tc>
        <w:tc>
          <w:tcPr>
            <w:tcW w:w="3389" w:type="pct"/>
          </w:tcPr>
          <w:p w:rsidR="001D127D" w:rsidRDefault="001D127D" w:rsidP="00081C0C">
            <w:pPr>
              <w:pStyle w:val="Compact"/>
              <w:spacing w:after="120"/>
            </w:pPr>
          </w:p>
        </w:tc>
      </w:tr>
      <w:tr w:rsidR="001D127D" w:rsidTr="000973F5">
        <w:tc>
          <w:tcPr>
            <w:tcW w:w="1611" w:type="pct"/>
          </w:tcPr>
          <w:p w:rsidR="001D127D" w:rsidRDefault="001D127D" w:rsidP="00081C0C">
            <w:pPr>
              <w:pStyle w:val="Compact"/>
              <w:spacing w:after="120"/>
            </w:pPr>
            <w:r>
              <w:t>Bit-depth</w:t>
            </w:r>
          </w:p>
        </w:tc>
        <w:tc>
          <w:tcPr>
            <w:tcW w:w="3389" w:type="pct"/>
          </w:tcPr>
          <w:p w:rsidR="001D127D" w:rsidRDefault="001D127D" w:rsidP="00081C0C">
            <w:pPr>
              <w:pStyle w:val="Compact"/>
              <w:spacing w:after="120"/>
            </w:pPr>
          </w:p>
        </w:tc>
      </w:tr>
      <w:tr w:rsidR="001D127D" w:rsidTr="000973F5">
        <w:tc>
          <w:tcPr>
            <w:tcW w:w="1611" w:type="pct"/>
          </w:tcPr>
          <w:p w:rsidR="001D127D" w:rsidRDefault="001D127D" w:rsidP="00081C0C">
            <w:pPr>
              <w:pStyle w:val="Compact"/>
              <w:spacing w:after="120"/>
            </w:pPr>
            <w:r>
              <w:t>Gain setting (dB)</w:t>
            </w:r>
          </w:p>
        </w:tc>
        <w:tc>
          <w:tcPr>
            <w:tcW w:w="3389" w:type="pct"/>
          </w:tcPr>
          <w:p w:rsidR="001D127D" w:rsidRDefault="001D127D" w:rsidP="00081C0C">
            <w:pPr>
              <w:pStyle w:val="Compact"/>
              <w:spacing w:after="120"/>
            </w:pPr>
          </w:p>
        </w:tc>
      </w:tr>
    </w:tbl>
    <w:p w:rsidR="001D127D" w:rsidRPr="00081C0C" w:rsidRDefault="001D127D" w:rsidP="00081C0C">
      <w:pPr>
        <w:spacing w:after="0"/>
        <w:rPr>
          <w:sz w:val="18"/>
          <w:szCs w:val="18"/>
        </w:rPr>
      </w:pPr>
    </w:p>
    <w:tbl>
      <w:tblPr>
        <w:tblStyle w:val="Table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7E0" w:firstRow="1" w:lastRow="1" w:firstColumn="1" w:lastColumn="1" w:noHBand="1" w:noVBand="1"/>
      </w:tblPr>
      <w:tblGrid>
        <w:gridCol w:w="2804"/>
        <w:gridCol w:w="1709"/>
        <w:gridCol w:w="5110"/>
      </w:tblGrid>
      <w:tr w:rsidR="000973F5" w:rsidTr="000973F5">
        <w:tc>
          <w:tcPr>
            <w:tcW w:w="1457" w:type="pct"/>
          </w:tcPr>
          <w:p w:rsidR="000973F5" w:rsidRDefault="000973F5" w:rsidP="00081C0C">
            <w:pPr>
              <w:pStyle w:val="Compact"/>
              <w:spacing w:after="120"/>
            </w:pPr>
            <w:r>
              <w:t>Air temperature (˚C)</w:t>
            </w:r>
          </w:p>
        </w:tc>
        <w:tc>
          <w:tcPr>
            <w:tcW w:w="888" w:type="pct"/>
          </w:tcPr>
          <w:p w:rsidR="000973F5" w:rsidRDefault="000973F5" w:rsidP="00081C0C">
            <w:pPr>
              <w:pStyle w:val="Compact"/>
              <w:spacing w:after="120"/>
            </w:pPr>
          </w:p>
        </w:tc>
        <w:tc>
          <w:tcPr>
            <w:tcW w:w="2655" w:type="pct"/>
          </w:tcPr>
          <w:p w:rsidR="000973F5" w:rsidRDefault="000973F5" w:rsidP="00081C0C">
            <w:pPr>
              <w:pStyle w:val="Compact"/>
              <w:spacing w:after="120"/>
            </w:pPr>
            <w:r>
              <w:t>Photograph references</w:t>
            </w:r>
          </w:p>
        </w:tc>
      </w:tr>
      <w:tr w:rsidR="000973F5" w:rsidTr="000973F5">
        <w:tc>
          <w:tcPr>
            <w:tcW w:w="1457" w:type="pct"/>
          </w:tcPr>
          <w:p w:rsidR="000973F5" w:rsidRDefault="000973F5" w:rsidP="00081C0C">
            <w:pPr>
              <w:pStyle w:val="Compact"/>
              <w:spacing w:after="120"/>
            </w:pPr>
            <w:r>
              <w:t>Rain? (yes = 1/no = 0)</w:t>
            </w:r>
          </w:p>
        </w:tc>
        <w:tc>
          <w:tcPr>
            <w:tcW w:w="888" w:type="pct"/>
          </w:tcPr>
          <w:p w:rsidR="000973F5" w:rsidRDefault="000973F5" w:rsidP="00081C0C">
            <w:pPr>
              <w:pStyle w:val="Compact"/>
              <w:spacing w:after="120"/>
            </w:pPr>
          </w:p>
        </w:tc>
        <w:tc>
          <w:tcPr>
            <w:tcW w:w="2655" w:type="pct"/>
            <w:vMerge w:val="restart"/>
          </w:tcPr>
          <w:p w:rsidR="000973F5" w:rsidRDefault="000973F5" w:rsidP="00081C0C">
            <w:pPr>
              <w:pStyle w:val="Compact"/>
              <w:spacing w:after="120"/>
            </w:pPr>
          </w:p>
        </w:tc>
      </w:tr>
      <w:tr w:rsidR="000973F5" w:rsidTr="000973F5">
        <w:tc>
          <w:tcPr>
            <w:tcW w:w="1457" w:type="pct"/>
          </w:tcPr>
          <w:p w:rsidR="000973F5" w:rsidRDefault="000973F5" w:rsidP="00081C0C">
            <w:pPr>
              <w:pStyle w:val="Compact"/>
              <w:spacing w:after="120"/>
            </w:pPr>
            <w:r>
              <w:t>Cloud cover %</w:t>
            </w:r>
          </w:p>
        </w:tc>
        <w:tc>
          <w:tcPr>
            <w:tcW w:w="888" w:type="pct"/>
          </w:tcPr>
          <w:p w:rsidR="000973F5" w:rsidRDefault="000973F5" w:rsidP="00081C0C">
            <w:pPr>
              <w:pStyle w:val="Compact"/>
              <w:spacing w:after="120"/>
            </w:pPr>
          </w:p>
        </w:tc>
        <w:tc>
          <w:tcPr>
            <w:tcW w:w="2655" w:type="pct"/>
            <w:vMerge/>
          </w:tcPr>
          <w:p w:rsidR="000973F5" w:rsidRDefault="000973F5" w:rsidP="00081C0C">
            <w:pPr>
              <w:pStyle w:val="Compact"/>
              <w:spacing w:after="120"/>
            </w:pPr>
          </w:p>
        </w:tc>
      </w:tr>
    </w:tbl>
    <w:p w:rsidR="001D127D" w:rsidRPr="00081C0C" w:rsidRDefault="001D127D" w:rsidP="00081C0C">
      <w:pPr>
        <w:spacing w:after="0"/>
        <w:rPr>
          <w:sz w:val="18"/>
          <w:szCs w:val="18"/>
        </w:rPr>
      </w:pPr>
    </w:p>
    <w:tbl>
      <w:tblPr>
        <w:tblStyle w:val="Table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7E0" w:firstRow="1" w:lastRow="1" w:firstColumn="1" w:lastColumn="1" w:noHBand="1" w:noVBand="1"/>
      </w:tblPr>
      <w:tblGrid>
        <w:gridCol w:w="7516"/>
        <w:gridCol w:w="2107"/>
      </w:tblGrid>
      <w:tr w:rsidR="001D127D" w:rsidTr="000973F5">
        <w:tc>
          <w:tcPr>
            <w:tcW w:w="3905" w:type="pct"/>
          </w:tcPr>
          <w:p w:rsidR="001D127D" w:rsidRDefault="001D127D" w:rsidP="00081C0C">
            <w:pPr>
              <w:pStyle w:val="Compact"/>
              <w:spacing w:after="120"/>
            </w:pPr>
            <w:r>
              <w:t>Pond Area m</w:t>
            </w:r>
            <w:r w:rsidRPr="001D127D">
              <w:rPr>
                <w:rFonts w:cs="Times New Roman (Body CS)"/>
                <w:vertAlign w:val="superscript"/>
              </w:rPr>
              <w:t>2</w:t>
            </w:r>
            <w:r>
              <w:t xml:space="preserve"> (at highest water level)</w:t>
            </w:r>
          </w:p>
        </w:tc>
        <w:tc>
          <w:tcPr>
            <w:tcW w:w="1095" w:type="pct"/>
          </w:tcPr>
          <w:p w:rsidR="001D127D" w:rsidRDefault="001D127D" w:rsidP="00081C0C">
            <w:pPr>
              <w:pStyle w:val="Compact"/>
              <w:spacing w:after="120"/>
            </w:pPr>
          </w:p>
        </w:tc>
      </w:tr>
      <w:tr w:rsidR="001D127D" w:rsidTr="000973F5">
        <w:tc>
          <w:tcPr>
            <w:tcW w:w="3905" w:type="pct"/>
          </w:tcPr>
          <w:p w:rsidR="001D127D" w:rsidRDefault="001D127D" w:rsidP="00081C0C">
            <w:pPr>
              <w:pStyle w:val="Compact"/>
              <w:spacing w:after="120"/>
            </w:pPr>
            <w:r>
              <w:t>Inflow (present = 1/absent = 0)</w:t>
            </w:r>
          </w:p>
        </w:tc>
        <w:tc>
          <w:tcPr>
            <w:tcW w:w="1095" w:type="pct"/>
          </w:tcPr>
          <w:p w:rsidR="001D127D" w:rsidRDefault="001D127D" w:rsidP="00081C0C">
            <w:pPr>
              <w:pStyle w:val="Compact"/>
              <w:spacing w:after="120"/>
            </w:pPr>
          </w:p>
        </w:tc>
      </w:tr>
      <w:tr w:rsidR="001D127D" w:rsidTr="000973F5">
        <w:tc>
          <w:tcPr>
            <w:tcW w:w="3905" w:type="pct"/>
          </w:tcPr>
          <w:p w:rsidR="001D127D" w:rsidRDefault="001D127D" w:rsidP="00081C0C">
            <w:pPr>
              <w:pStyle w:val="Compact"/>
              <w:spacing w:after="120"/>
            </w:pPr>
            <w:r>
              <w:t>Permanence (dries never, rarely, sometimes, annually)</w:t>
            </w:r>
          </w:p>
        </w:tc>
        <w:tc>
          <w:tcPr>
            <w:tcW w:w="1095" w:type="pct"/>
          </w:tcPr>
          <w:p w:rsidR="001D127D" w:rsidRDefault="001D127D" w:rsidP="00081C0C">
            <w:pPr>
              <w:pStyle w:val="Compact"/>
              <w:spacing w:after="120"/>
            </w:pPr>
          </w:p>
        </w:tc>
      </w:tr>
      <w:tr w:rsidR="001D127D" w:rsidTr="000973F5">
        <w:tc>
          <w:tcPr>
            <w:tcW w:w="3905" w:type="pct"/>
          </w:tcPr>
          <w:p w:rsidR="001D127D" w:rsidRDefault="001D127D" w:rsidP="00081C0C">
            <w:pPr>
              <w:pStyle w:val="Compact"/>
              <w:spacing w:after="120"/>
            </w:pPr>
            <w:r>
              <w:t>Water quality (good, moderate, poor, bad)</w:t>
            </w:r>
          </w:p>
        </w:tc>
        <w:tc>
          <w:tcPr>
            <w:tcW w:w="1095" w:type="pct"/>
          </w:tcPr>
          <w:p w:rsidR="001D127D" w:rsidRDefault="001D127D" w:rsidP="00081C0C">
            <w:pPr>
              <w:pStyle w:val="Compact"/>
              <w:spacing w:after="120"/>
            </w:pPr>
          </w:p>
        </w:tc>
      </w:tr>
      <w:tr w:rsidR="001D127D" w:rsidTr="000973F5">
        <w:tc>
          <w:tcPr>
            <w:tcW w:w="3905" w:type="pct"/>
          </w:tcPr>
          <w:p w:rsidR="001D127D" w:rsidRDefault="001D127D" w:rsidP="00081C0C">
            <w:pPr>
              <w:pStyle w:val="Compact"/>
              <w:spacing w:after="120"/>
            </w:pPr>
            <w:r>
              <w:t>Shading of perimeter (% of pond perimeter overhung)</w:t>
            </w:r>
          </w:p>
        </w:tc>
        <w:tc>
          <w:tcPr>
            <w:tcW w:w="1095" w:type="pct"/>
          </w:tcPr>
          <w:p w:rsidR="001D127D" w:rsidRDefault="001D127D" w:rsidP="00081C0C">
            <w:pPr>
              <w:pStyle w:val="Compact"/>
              <w:spacing w:after="120"/>
            </w:pPr>
          </w:p>
        </w:tc>
      </w:tr>
      <w:tr w:rsidR="001D127D" w:rsidTr="000973F5">
        <w:tc>
          <w:tcPr>
            <w:tcW w:w="3905" w:type="pct"/>
          </w:tcPr>
          <w:p w:rsidR="001D127D" w:rsidRDefault="001D127D" w:rsidP="00081C0C">
            <w:pPr>
              <w:pStyle w:val="Compact"/>
              <w:spacing w:after="120"/>
            </w:pPr>
            <w:r>
              <w:t>Macrophyte cover (</w:t>
            </w:r>
            <w:r>
              <w:t>%</w:t>
            </w:r>
            <w:r>
              <w:t xml:space="preserve"> at pond surface) </w:t>
            </w:r>
          </w:p>
        </w:tc>
        <w:tc>
          <w:tcPr>
            <w:tcW w:w="1095" w:type="pct"/>
          </w:tcPr>
          <w:p w:rsidR="001D127D" w:rsidRDefault="001D127D" w:rsidP="00081C0C">
            <w:pPr>
              <w:pStyle w:val="Compact"/>
              <w:spacing w:after="120"/>
            </w:pPr>
          </w:p>
        </w:tc>
      </w:tr>
      <w:tr w:rsidR="001D127D" w:rsidTr="000973F5">
        <w:tc>
          <w:tcPr>
            <w:tcW w:w="3905" w:type="pct"/>
          </w:tcPr>
          <w:p w:rsidR="001D127D" w:rsidRDefault="001D127D" w:rsidP="00081C0C">
            <w:pPr>
              <w:pStyle w:val="Compact"/>
              <w:spacing w:after="120"/>
            </w:pPr>
            <w:r>
              <w:t>Waterfowl impact (absent/minor/major)</w:t>
            </w:r>
          </w:p>
        </w:tc>
        <w:tc>
          <w:tcPr>
            <w:tcW w:w="1095" w:type="pct"/>
          </w:tcPr>
          <w:p w:rsidR="001D127D" w:rsidRDefault="001D127D" w:rsidP="00081C0C">
            <w:pPr>
              <w:pStyle w:val="Compact"/>
              <w:spacing w:after="120"/>
            </w:pPr>
          </w:p>
        </w:tc>
      </w:tr>
      <w:tr w:rsidR="001D127D" w:rsidTr="000973F5">
        <w:tc>
          <w:tcPr>
            <w:tcW w:w="3905" w:type="pct"/>
          </w:tcPr>
          <w:p w:rsidR="001D127D" w:rsidRDefault="001D127D" w:rsidP="00081C0C">
            <w:pPr>
              <w:pStyle w:val="Compact"/>
              <w:spacing w:after="120"/>
            </w:pPr>
            <w:r>
              <w:t xml:space="preserve">Fish present? (absent, possible, minor </w:t>
            </w:r>
            <w:proofErr w:type="spellStart"/>
            <w:r>
              <w:t>popn</w:t>
            </w:r>
            <w:proofErr w:type="spellEnd"/>
            <w:r>
              <w:t>, major popn)</w:t>
            </w:r>
          </w:p>
        </w:tc>
        <w:tc>
          <w:tcPr>
            <w:tcW w:w="1095" w:type="pct"/>
          </w:tcPr>
          <w:p w:rsidR="001D127D" w:rsidRDefault="001D127D" w:rsidP="00081C0C">
            <w:pPr>
              <w:pStyle w:val="Compact"/>
              <w:spacing w:after="120"/>
            </w:pPr>
          </w:p>
        </w:tc>
      </w:tr>
      <w:tr w:rsidR="001D127D" w:rsidTr="000973F5">
        <w:tc>
          <w:tcPr>
            <w:tcW w:w="3905" w:type="pct"/>
          </w:tcPr>
          <w:p w:rsidR="001D127D" w:rsidRDefault="001D127D" w:rsidP="00081C0C">
            <w:pPr>
              <w:pStyle w:val="Compact"/>
              <w:spacing w:after="120"/>
            </w:pPr>
            <w:r>
              <w:t>Terrestrial habitat quality around pond (good, moderate, poor, none)</w:t>
            </w:r>
          </w:p>
        </w:tc>
        <w:tc>
          <w:tcPr>
            <w:tcW w:w="1095" w:type="pct"/>
          </w:tcPr>
          <w:p w:rsidR="001D127D" w:rsidRDefault="001D127D" w:rsidP="00081C0C">
            <w:pPr>
              <w:pStyle w:val="Compact"/>
              <w:spacing w:after="120"/>
            </w:pPr>
          </w:p>
        </w:tc>
      </w:tr>
    </w:tbl>
    <w:p w:rsidR="001D127D" w:rsidRPr="00081C0C" w:rsidRDefault="001D127D" w:rsidP="00081C0C">
      <w:pPr>
        <w:spacing w:after="0"/>
        <w:rPr>
          <w:sz w:val="18"/>
          <w:szCs w:val="18"/>
        </w:rPr>
      </w:pPr>
    </w:p>
    <w:tbl>
      <w:tblPr>
        <w:tblStyle w:val="Table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7E0" w:firstRow="1" w:lastRow="1" w:firstColumn="1" w:lastColumn="1" w:noHBand="1" w:noVBand="1"/>
      </w:tblPr>
      <w:tblGrid>
        <w:gridCol w:w="536"/>
        <w:gridCol w:w="4273"/>
        <w:gridCol w:w="570"/>
        <w:gridCol w:w="4244"/>
      </w:tblGrid>
      <w:tr w:rsidR="000973F5" w:rsidTr="000973F5">
        <w:tc>
          <w:tcPr>
            <w:tcW w:w="5000" w:type="pct"/>
            <w:gridSpan w:val="4"/>
          </w:tcPr>
          <w:p w:rsidR="000973F5" w:rsidRDefault="000973F5" w:rsidP="00081C0C">
            <w:pPr>
              <w:pStyle w:val="Compact"/>
              <w:spacing w:after="120"/>
            </w:pPr>
            <w:r>
              <w:t>Audio file references</w:t>
            </w:r>
          </w:p>
        </w:tc>
      </w:tr>
      <w:tr w:rsidR="000973F5" w:rsidTr="000973F5">
        <w:tc>
          <w:tcPr>
            <w:tcW w:w="279" w:type="pct"/>
          </w:tcPr>
          <w:p w:rsidR="000973F5" w:rsidRDefault="000973F5" w:rsidP="00081C0C">
            <w:pPr>
              <w:pStyle w:val="Compact"/>
              <w:spacing w:after="120"/>
            </w:pPr>
            <w:r>
              <w:t>1</w:t>
            </w:r>
          </w:p>
        </w:tc>
        <w:tc>
          <w:tcPr>
            <w:tcW w:w="2220" w:type="pct"/>
          </w:tcPr>
          <w:p w:rsidR="000973F5" w:rsidRDefault="000973F5" w:rsidP="00081C0C">
            <w:pPr>
              <w:pStyle w:val="Compact"/>
              <w:spacing w:after="120"/>
            </w:pPr>
          </w:p>
        </w:tc>
        <w:tc>
          <w:tcPr>
            <w:tcW w:w="296" w:type="pct"/>
          </w:tcPr>
          <w:p w:rsidR="000973F5" w:rsidRDefault="000973F5" w:rsidP="00081C0C">
            <w:pPr>
              <w:pStyle w:val="Compact"/>
              <w:spacing w:after="120"/>
            </w:pPr>
            <w:r>
              <w:t>6</w:t>
            </w:r>
          </w:p>
        </w:tc>
        <w:tc>
          <w:tcPr>
            <w:tcW w:w="2205" w:type="pct"/>
          </w:tcPr>
          <w:p w:rsidR="000973F5" w:rsidRDefault="000973F5" w:rsidP="00081C0C">
            <w:pPr>
              <w:pStyle w:val="Compact"/>
              <w:spacing w:after="120"/>
            </w:pPr>
          </w:p>
        </w:tc>
      </w:tr>
      <w:tr w:rsidR="000973F5" w:rsidTr="000973F5">
        <w:tc>
          <w:tcPr>
            <w:tcW w:w="279" w:type="pct"/>
          </w:tcPr>
          <w:p w:rsidR="000973F5" w:rsidRDefault="000973F5" w:rsidP="00081C0C">
            <w:pPr>
              <w:pStyle w:val="Compact"/>
              <w:spacing w:after="120"/>
            </w:pPr>
            <w:r>
              <w:t>2</w:t>
            </w:r>
          </w:p>
        </w:tc>
        <w:tc>
          <w:tcPr>
            <w:tcW w:w="2220" w:type="pct"/>
          </w:tcPr>
          <w:p w:rsidR="000973F5" w:rsidRDefault="000973F5" w:rsidP="00081C0C">
            <w:pPr>
              <w:pStyle w:val="Compact"/>
              <w:spacing w:after="120"/>
            </w:pPr>
          </w:p>
        </w:tc>
        <w:tc>
          <w:tcPr>
            <w:tcW w:w="296" w:type="pct"/>
          </w:tcPr>
          <w:p w:rsidR="000973F5" w:rsidRDefault="000973F5" w:rsidP="00081C0C">
            <w:pPr>
              <w:pStyle w:val="Compact"/>
              <w:spacing w:after="120"/>
            </w:pPr>
            <w:r>
              <w:t>7</w:t>
            </w:r>
          </w:p>
        </w:tc>
        <w:tc>
          <w:tcPr>
            <w:tcW w:w="2205" w:type="pct"/>
          </w:tcPr>
          <w:p w:rsidR="000973F5" w:rsidRDefault="000973F5" w:rsidP="00081C0C">
            <w:pPr>
              <w:pStyle w:val="Compact"/>
              <w:spacing w:after="120"/>
            </w:pPr>
          </w:p>
        </w:tc>
      </w:tr>
      <w:tr w:rsidR="000973F5" w:rsidTr="000973F5">
        <w:tc>
          <w:tcPr>
            <w:tcW w:w="279" w:type="pct"/>
          </w:tcPr>
          <w:p w:rsidR="000973F5" w:rsidRDefault="000973F5" w:rsidP="00081C0C">
            <w:pPr>
              <w:pStyle w:val="Compact"/>
              <w:spacing w:after="120"/>
            </w:pPr>
            <w:r>
              <w:t>3</w:t>
            </w:r>
          </w:p>
        </w:tc>
        <w:tc>
          <w:tcPr>
            <w:tcW w:w="2220" w:type="pct"/>
          </w:tcPr>
          <w:p w:rsidR="000973F5" w:rsidRDefault="000973F5" w:rsidP="00081C0C">
            <w:pPr>
              <w:pStyle w:val="Compact"/>
              <w:spacing w:after="120"/>
            </w:pPr>
          </w:p>
        </w:tc>
        <w:tc>
          <w:tcPr>
            <w:tcW w:w="296" w:type="pct"/>
          </w:tcPr>
          <w:p w:rsidR="000973F5" w:rsidRDefault="000973F5" w:rsidP="00081C0C">
            <w:pPr>
              <w:pStyle w:val="Compact"/>
              <w:spacing w:after="120"/>
            </w:pPr>
            <w:r>
              <w:t>8</w:t>
            </w:r>
          </w:p>
        </w:tc>
        <w:tc>
          <w:tcPr>
            <w:tcW w:w="2205" w:type="pct"/>
          </w:tcPr>
          <w:p w:rsidR="000973F5" w:rsidRDefault="000973F5" w:rsidP="00081C0C">
            <w:pPr>
              <w:pStyle w:val="Compact"/>
              <w:spacing w:after="120"/>
            </w:pPr>
          </w:p>
        </w:tc>
      </w:tr>
      <w:tr w:rsidR="000973F5" w:rsidTr="000973F5">
        <w:tc>
          <w:tcPr>
            <w:tcW w:w="279" w:type="pct"/>
          </w:tcPr>
          <w:p w:rsidR="000973F5" w:rsidRDefault="000973F5" w:rsidP="00081C0C">
            <w:pPr>
              <w:pStyle w:val="Compact"/>
              <w:spacing w:after="120"/>
            </w:pPr>
            <w:r>
              <w:t>4</w:t>
            </w:r>
          </w:p>
        </w:tc>
        <w:tc>
          <w:tcPr>
            <w:tcW w:w="2220" w:type="pct"/>
          </w:tcPr>
          <w:p w:rsidR="000973F5" w:rsidRDefault="000973F5" w:rsidP="00081C0C">
            <w:pPr>
              <w:pStyle w:val="Compact"/>
              <w:spacing w:after="120"/>
            </w:pPr>
          </w:p>
        </w:tc>
        <w:tc>
          <w:tcPr>
            <w:tcW w:w="296" w:type="pct"/>
          </w:tcPr>
          <w:p w:rsidR="000973F5" w:rsidRDefault="000973F5" w:rsidP="00081C0C">
            <w:pPr>
              <w:pStyle w:val="Compact"/>
              <w:spacing w:after="120"/>
            </w:pPr>
            <w:r>
              <w:t>9</w:t>
            </w:r>
          </w:p>
        </w:tc>
        <w:tc>
          <w:tcPr>
            <w:tcW w:w="2205" w:type="pct"/>
          </w:tcPr>
          <w:p w:rsidR="000973F5" w:rsidRDefault="000973F5" w:rsidP="00081C0C">
            <w:pPr>
              <w:pStyle w:val="Compact"/>
              <w:spacing w:after="120"/>
            </w:pPr>
          </w:p>
        </w:tc>
      </w:tr>
      <w:tr w:rsidR="000973F5" w:rsidTr="000973F5">
        <w:tc>
          <w:tcPr>
            <w:tcW w:w="279" w:type="pct"/>
          </w:tcPr>
          <w:p w:rsidR="000973F5" w:rsidRDefault="000973F5" w:rsidP="00081C0C">
            <w:pPr>
              <w:pStyle w:val="Compact"/>
              <w:spacing w:after="120"/>
            </w:pPr>
            <w:r>
              <w:t>5</w:t>
            </w:r>
          </w:p>
        </w:tc>
        <w:tc>
          <w:tcPr>
            <w:tcW w:w="2220" w:type="pct"/>
          </w:tcPr>
          <w:p w:rsidR="000973F5" w:rsidRDefault="000973F5" w:rsidP="00081C0C">
            <w:pPr>
              <w:pStyle w:val="Compact"/>
              <w:spacing w:after="120"/>
            </w:pPr>
          </w:p>
        </w:tc>
        <w:tc>
          <w:tcPr>
            <w:tcW w:w="296" w:type="pct"/>
          </w:tcPr>
          <w:p w:rsidR="000973F5" w:rsidRDefault="000973F5" w:rsidP="00081C0C">
            <w:pPr>
              <w:pStyle w:val="Compact"/>
              <w:spacing w:after="120"/>
            </w:pPr>
            <w:r>
              <w:t>10</w:t>
            </w:r>
          </w:p>
        </w:tc>
        <w:tc>
          <w:tcPr>
            <w:tcW w:w="2205" w:type="pct"/>
          </w:tcPr>
          <w:p w:rsidR="000973F5" w:rsidRDefault="000973F5" w:rsidP="00081C0C">
            <w:pPr>
              <w:pStyle w:val="Compact"/>
              <w:spacing w:after="120"/>
            </w:pPr>
          </w:p>
        </w:tc>
      </w:tr>
    </w:tbl>
    <w:p w:rsidR="001D127D" w:rsidRDefault="001D127D"/>
    <w:tbl>
      <w:tblPr>
        <w:tblStyle w:val="Table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7E0" w:firstRow="1" w:lastRow="1" w:firstColumn="1" w:lastColumn="1" w:noHBand="1" w:noVBand="1"/>
      </w:tblPr>
      <w:tblGrid>
        <w:gridCol w:w="2460"/>
        <w:gridCol w:w="1940"/>
        <w:gridCol w:w="3185"/>
        <w:gridCol w:w="2038"/>
      </w:tblGrid>
      <w:tr w:rsidR="008D2B49" w:rsidTr="008D2B49">
        <w:tc>
          <w:tcPr>
            <w:tcW w:w="2286" w:type="pct"/>
            <w:gridSpan w:val="2"/>
          </w:tcPr>
          <w:p w:rsidR="008D2B49" w:rsidRDefault="008D2B49">
            <w:pPr>
              <w:pStyle w:val="Compact"/>
            </w:pPr>
            <w:r>
              <w:lastRenderedPageBreak/>
              <w:t>Optional data - water chemistry</w:t>
            </w:r>
          </w:p>
        </w:tc>
        <w:tc>
          <w:tcPr>
            <w:tcW w:w="1655" w:type="pct"/>
          </w:tcPr>
          <w:p w:rsidR="008D2B49" w:rsidRDefault="008D2B49">
            <w:pPr>
              <w:pStyle w:val="Compact"/>
            </w:pPr>
            <w:r>
              <w:t>Water temperature (°C)</w:t>
            </w:r>
          </w:p>
        </w:tc>
        <w:tc>
          <w:tcPr>
            <w:tcW w:w="1059" w:type="pct"/>
          </w:tcPr>
          <w:p w:rsidR="008D2B49" w:rsidRDefault="008D2B49">
            <w:pPr>
              <w:pStyle w:val="Compact"/>
            </w:pPr>
          </w:p>
        </w:tc>
      </w:tr>
      <w:tr w:rsidR="008D2B49" w:rsidTr="008D2B49">
        <w:tc>
          <w:tcPr>
            <w:tcW w:w="1278" w:type="pct"/>
          </w:tcPr>
          <w:p w:rsidR="008D2B49" w:rsidRDefault="008D2B49" w:rsidP="008D2B49">
            <w:pPr>
              <w:pStyle w:val="Compact"/>
            </w:pPr>
            <w:r>
              <w:t>pH</w:t>
            </w:r>
          </w:p>
        </w:tc>
        <w:tc>
          <w:tcPr>
            <w:tcW w:w="1008" w:type="pct"/>
          </w:tcPr>
          <w:p w:rsidR="008D2B49" w:rsidRDefault="008D2B49" w:rsidP="008D2B49">
            <w:pPr>
              <w:pStyle w:val="Compact"/>
            </w:pPr>
          </w:p>
        </w:tc>
        <w:tc>
          <w:tcPr>
            <w:tcW w:w="1655" w:type="pct"/>
          </w:tcPr>
          <w:p w:rsidR="008D2B49" w:rsidRDefault="008D2B49" w:rsidP="008D2B49">
            <w:pPr>
              <w:pStyle w:val="Compact"/>
            </w:pPr>
            <w:r>
              <w:t>Dissolved Oxygen (mg/L)</w:t>
            </w:r>
          </w:p>
        </w:tc>
        <w:tc>
          <w:tcPr>
            <w:tcW w:w="1059" w:type="pct"/>
          </w:tcPr>
          <w:p w:rsidR="008D2B49" w:rsidRDefault="008D2B49" w:rsidP="008D2B49">
            <w:pPr>
              <w:pStyle w:val="Compact"/>
            </w:pPr>
          </w:p>
        </w:tc>
      </w:tr>
      <w:tr w:rsidR="008D2B49" w:rsidTr="008D2B49">
        <w:tc>
          <w:tcPr>
            <w:tcW w:w="1278" w:type="pct"/>
          </w:tcPr>
          <w:p w:rsidR="008D2B49" w:rsidRDefault="008D2B49" w:rsidP="008D2B49">
            <w:pPr>
              <w:pStyle w:val="Compact"/>
            </w:pPr>
            <w:r>
              <w:t>Conductivity (µS/cm)</w:t>
            </w:r>
          </w:p>
        </w:tc>
        <w:tc>
          <w:tcPr>
            <w:tcW w:w="1008" w:type="pct"/>
          </w:tcPr>
          <w:p w:rsidR="008D2B49" w:rsidRDefault="008D2B49" w:rsidP="008D2B49">
            <w:pPr>
              <w:pStyle w:val="Compact"/>
            </w:pPr>
          </w:p>
        </w:tc>
        <w:tc>
          <w:tcPr>
            <w:tcW w:w="1655" w:type="pct"/>
          </w:tcPr>
          <w:p w:rsidR="008D2B49" w:rsidRDefault="008D2B49" w:rsidP="008D2B49">
            <w:pPr>
              <w:pStyle w:val="Compact"/>
            </w:pPr>
            <w:r>
              <w:t>Total dissolved solids (mg/L)</w:t>
            </w:r>
          </w:p>
        </w:tc>
        <w:tc>
          <w:tcPr>
            <w:tcW w:w="1059" w:type="pct"/>
          </w:tcPr>
          <w:p w:rsidR="008D2B49" w:rsidRDefault="008D2B49" w:rsidP="008D2B49">
            <w:pPr>
              <w:pStyle w:val="Compact"/>
            </w:pPr>
          </w:p>
        </w:tc>
      </w:tr>
    </w:tbl>
    <w:p w:rsidR="00000000" w:rsidRDefault="005F3759" w:rsidP="00081C0C">
      <w:pPr>
        <w:spacing w:after="0"/>
      </w:pPr>
    </w:p>
    <w:p w:rsidR="008D2B49" w:rsidRDefault="008D2B49" w:rsidP="00081C0C">
      <w:pPr>
        <w:spacing w:after="0"/>
      </w:pPr>
      <w:bookmarkStart w:id="0" w:name="_GoBack"/>
      <w:bookmarkEnd w:id="0"/>
    </w:p>
    <w:p w:rsidR="000973F5" w:rsidRPr="00081C0C" w:rsidRDefault="000973F5" w:rsidP="001D127D">
      <w:pPr>
        <w:rPr>
          <w:b/>
          <w:bCs/>
          <w:u w:val="single"/>
        </w:rPr>
      </w:pPr>
      <w:r w:rsidRPr="00081C0C">
        <w:rPr>
          <w:b/>
          <w:bCs/>
          <w:u w:val="single"/>
        </w:rPr>
        <w:t>Guidance notes for environmental variables</w:t>
      </w:r>
    </w:p>
    <w:p w:rsidR="000973F5" w:rsidRDefault="000973F5" w:rsidP="0011252B">
      <w:pPr>
        <w:pStyle w:val="NormalWeb"/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Pond area is the surface area of the pond when water is at its highest level (excluding flooding events). This should be evident from vegetation types and evidence of a draw down zone around the pond. </w:t>
      </w:r>
    </w:p>
    <w:p w:rsidR="0011252B" w:rsidRDefault="0011252B" w:rsidP="0011252B">
      <w:pPr>
        <w:pStyle w:val="NormalWeb"/>
        <w:shd w:val="clear" w:color="auto" w:fill="FFFFFF"/>
        <w:spacing w:before="0" w:beforeAutospacing="0" w:after="0" w:afterAutospacing="0"/>
      </w:pPr>
    </w:p>
    <w:p w:rsidR="000973F5" w:rsidRDefault="000973F5" w:rsidP="0011252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ill Sans MT" w:hAnsi="Gill Sans MT"/>
          <w:sz w:val="22"/>
          <w:szCs w:val="22"/>
        </w:rPr>
        <w:t xml:space="preserve">Pond permanence should be deduced from water level at the time of the survey, and taking seasonality into consideration. For example, a pond that is already dry by late spring is likely to dry out every year, etc. </w:t>
      </w:r>
    </w:p>
    <w:p w:rsidR="000973F5" w:rsidRDefault="000973F5" w:rsidP="001125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Never dries </w:t>
      </w:r>
    </w:p>
    <w:p w:rsidR="000973F5" w:rsidRDefault="000973F5" w:rsidP="001125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Rarely dries </w:t>
      </w:r>
      <w:r>
        <w:rPr>
          <w:rFonts w:ascii="Gill Sans MT" w:hAnsi="Gill Sans MT"/>
          <w:sz w:val="22"/>
          <w:szCs w:val="22"/>
        </w:rPr>
        <w:t xml:space="preserve">- </w:t>
      </w:r>
      <w:r>
        <w:rPr>
          <w:rFonts w:ascii="Gill Sans MT" w:hAnsi="Gill Sans MT"/>
          <w:sz w:val="22"/>
          <w:szCs w:val="22"/>
        </w:rPr>
        <w:t>Dries no more than two years in ten or only in drought.</w:t>
      </w:r>
    </w:p>
    <w:p w:rsidR="000973F5" w:rsidRDefault="000973F5" w:rsidP="001125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Sometimes dries</w:t>
      </w:r>
      <w:r>
        <w:rPr>
          <w:rFonts w:ascii="Gill Sans MT" w:hAnsi="Gill Sans MT"/>
          <w:sz w:val="22"/>
          <w:szCs w:val="22"/>
        </w:rPr>
        <w:t xml:space="preserve"> -</w:t>
      </w:r>
      <w:r w:rsidRPr="000973F5">
        <w:rPr>
          <w:rFonts w:ascii="Gill Sans MT" w:hAnsi="Gill Sans MT"/>
          <w:sz w:val="22"/>
          <w:szCs w:val="22"/>
        </w:rPr>
        <w:t xml:space="preserve"> </w:t>
      </w:r>
      <w:r>
        <w:rPr>
          <w:rFonts w:ascii="Gill Sans MT" w:hAnsi="Gill Sans MT"/>
          <w:sz w:val="22"/>
          <w:szCs w:val="22"/>
        </w:rPr>
        <w:t>Dries between three years in ten to most years.</w:t>
      </w:r>
    </w:p>
    <w:p w:rsidR="000973F5" w:rsidRPr="0011252B" w:rsidRDefault="000973F5" w:rsidP="001125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rPr>
          <w:rFonts w:ascii="Gill Sans MT" w:hAnsi="Gill Sans MT"/>
          <w:sz w:val="22"/>
          <w:szCs w:val="22"/>
        </w:rPr>
        <w:t xml:space="preserve">Dries annually </w:t>
      </w:r>
    </w:p>
    <w:p w:rsidR="0011252B" w:rsidRPr="000973F5" w:rsidRDefault="0011252B" w:rsidP="0011252B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0973F5" w:rsidRPr="000973F5" w:rsidRDefault="0011252B" w:rsidP="0011252B">
      <w:pPr>
        <w:pStyle w:val="NormalWeb"/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W</w:t>
      </w:r>
      <w:r w:rsidR="000973F5">
        <w:rPr>
          <w:rFonts w:ascii="Gill Sans MT" w:hAnsi="Gill Sans MT"/>
          <w:sz w:val="22"/>
          <w:szCs w:val="22"/>
        </w:rPr>
        <w:t xml:space="preserve">ater quality </w:t>
      </w:r>
      <w:r>
        <w:rPr>
          <w:rFonts w:ascii="Gill Sans MT" w:hAnsi="Gill Sans MT"/>
          <w:sz w:val="22"/>
          <w:szCs w:val="22"/>
        </w:rPr>
        <w:t xml:space="preserve">assessment </w:t>
      </w:r>
      <w:r w:rsidR="000973F5">
        <w:rPr>
          <w:rFonts w:ascii="Gill Sans MT" w:hAnsi="Gill Sans MT"/>
          <w:sz w:val="22"/>
          <w:szCs w:val="22"/>
        </w:rPr>
        <w:t xml:space="preserve">should be based on invertebrate diversity, the presence of submerged water plants and knowledge of the water sources feeding the pond. Water quality should not be confused with water clarity. </w:t>
      </w:r>
    </w:p>
    <w:p w:rsidR="000973F5" w:rsidRPr="000973F5" w:rsidRDefault="000973F5" w:rsidP="001125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Good </w:t>
      </w:r>
      <w:r w:rsidR="0011252B">
        <w:rPr>
          <w:rFonts w:ascii="Gill Sans MT" w:hAnsi="Gill Sans MT"/>
          <w:sz w:val="22"/>
          <w:szCs w:val="22"/>
        </w:rPr>
        <w:t xml:space="preserve">- </w:t>
      </w:r>
      <w:r w:rsidR="0011252B">
        <w:rPr>
          <w:rFonts w:ascii="Gill Sans MT" w:hAnsi="Gill Sans MT"/>
          <w:sz w:val="22"/>
          <w:szCs w:val="22"/>
        </w:rPr>
        <w:t xml:space="preserve">Water supports an abundant and diverse invertebrate community. </w:t>
      </w:r>
      <w:r w:rsidR="0011252B">
        <w:rPr>
          <w:rFonts w:ascii="Gill Sans MT" w:hAnsi="Gill Sans MT"/>
          <w:sz w:val="22"/>
          <w:szCs w:val="22"/>
        </w:rPr>
        <w:t>I</w:t>
      </w:r>
      <w:r w:rsidR="0011252B">
        <w:rPr>
          <w:rFonts w:ascii="Gill Sans MT" w:hAnsi="Gill Sans MT"/>
          <w:sz w:val="22"/>
          <w:szCs w:val="22"/>
        </w:rPr>
        <w:t>ncluding groups such as mayfly larvae and water shrimps.</w:t>
      </w:r>
      <w:r w:rsidR="0011252B">
        <w:rPr>
          <w:rFonts w:ascii="Gill Sans MT" w:hAnsi="Gill Sans MT"/>
          <w:sz w:val="22"/>
          <w:szCs w:val="22"/>
        </w:rPr>
        <w:t xml:space="preserve"> Varied aquatic plant community.</w:t>
      </w:r>
    </w:p>
    <w:p w:rsidR="0011252B" w:rsidRDefault="000973F5" w:rsidP="001125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Moderate </w:t>
      </w:r>
      <w:r w:rsidR="0011252B">
        <w:rPr>
          <w:rFonts w:ascii="Gill Sans MT" w:hAnsi="Gill Sans MT"/>
          <w:sz w:val="22"/>
          <w:szCs w:val="22"/>
        </w:rPr>
        <w:t xml:space="preserve">- </w:t>
      </w:r>
      <w:r w:rsidR="0011252B">
        <w:rPr>
          <w:rFonts w:ascii="Gill Sans MT" w:hAnsi="Gill Sans MT"/>
          <w:sz w:val="22"/>
          <w:szCs w:val="22"/>
        </w:rPr>
        <w:t xml:space="preserve">Moderate invertebrate </w:t>
      </w:r>
      <w:r w:rsidR="0011252B">
        <w:rPr>
          <w:rFonts w:ascii="Gill Sans MT" w:hAnsi="Gill Sans MT"/>
          <w:sz w:val="22"/>
          <w:szCs w:val="22"/>
        </w:rPr>
        <w:t xml:space="preserve">and plant </w:t>
      </w:r>
      <w:r w:rsidR="0011252B">
        <w:rPr>
          <w:rFonts w:ascii="Gill Sans MT" w:hAnsi="Gill Sans MT"/>
          <w:sz w:val="22"/>
          <w:szCs w:val="22"/>
        </w:rPr>
        <w:t>diversity</w:t>
      </w:r>
    </w:p>
    <w:p w:rsidR="0011252B" w:rsidRDefault="000973F5" w:rsidP="001125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Poor </w:t>
      </w:r>
      <w:r w:rsidR="0011252B">
        <w:rPr>
          <w:rFonts w:ascii="Gill Sans MT" w:hAnsi="Gill Sans MT"/>
          <w:sz w:val="22"/>
          <w:szCs w:val="22"/>
        </w:rPr>
        <w:t xml:space="preserve">- </w:t>
      </w:r>
      <w:r w:rsidR="0011252B">
        <w:rPr>
          <w:rFonts w:ascii="Gill Sans MT" w:hAnsi="Gill Sans MT"/>
          <w:sz w:val="22"/>
          <w:szCs w:val="22"/>
        </w:rPr>
        <w:t>Low invertebrate diversity (e.g. species such as midge and mosquito larvae). Few submerged plants.</w:t>
      </w:r>
    </w:p>
    <w:p w:rsidR="000973F5" w:rsidRDefault="000973F5" w:rsidP="001125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Bad </w:t>
      </w:r>
      <w:r w:rsidR="0011252B">
        <w:rPr>
          <w:rFonts w:ascii="Gill Sans MT" w:hAnsi="Gill Sans MT"/>
          <w:sz w:val="22"/>
          <w:szCs w:val="22"/>
        </w:rPr>
        <w:t xml:space="preserve">- </w:t>
      </w:r>
      <w:r w:rsidR="0011252B">
        <w:rPr>
          <w:rFonts w:ascii="Gill Sans MT" w:hAnsi="Gill Sans MT"/>
          <w:sz w:val="22"/>
          <w:szCs w:val="22"/>
        </w:rPr>
        <w:t>Clearly polluted, only pollution-tolerant invertebrates (such as rat-tailed maggots), no submerged plants.</w:t>
      </w:r>
    </w:p>
    <w:p w:rsidR="0011252B" w:rsidRPr="0011252B" w:rsidRDefault="0011252B" w:rsidP="0011252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Gill Sans MT" w:hAnsi="Gill Sans MT"/>
          <w:sz w:val="22"/>
          <w:szCs w:val="22"/>
        </w:rPr>
      </w:pPr>
    </w:p>
    <w:p w:rsidR="0011252B" w:rsidRDefault="0011252B" w:rsidP="0011252B">
      <w:pPr>
        <w:pStyle w:val="NormalWeb"/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Shading of the </w:t>
      </w:r>
      <w:r>
        <w:rPr>
          <w:rFonts w:ascii="Gill Sans MT" w:hAnsi="Gill Sans MT"/>
          <w:sz w:val="22"/>
          <w:szCs w:val="22"/>
        </w:rPr>
        <w:t xml:space="preserve">pond perimeter </w:t>
      </w:r>
      <w:r>
        <w:rPr>
          <w:rFonts w:ascii="Gill Sans MT" w:hAnsi="Gill Sans MT"/>
          <w:sz w:val="22"/>
          <w:szCs w:val="22"/>
        </w:rPr>
        <w:t xml:space="preserve">should be estimated, </w:t>
      </w:r>
      <w:r>
        <w:rPr>
          <w:rFonts w:ascii="Gill Sans MT" w:hAnsi="Gill Sans MT"/>
          <w:sz w:val="22"/>
          <w:szCs w:val="22"/>
        </w:rPr>
        <w:t xml:space="preserve">to at least 1m from the shore. Shading is usually from trees, but can include buildings. Shading should not include emergent pond vegetation. The estimate should be made during the </w:t>
      </w:r>
      <w:r>
        <w:rPr>
          <w:rFonts w:ascii="Gill Sans MT" w:hAnsi="Gill Sans MT"/>
          <w:sz w:val="22"/>
          <w:szCs w:val="22"/>
        </w:rPr>
        <w:t>summer growing period</w:t>
      </w:r>
      <w:r>
        <w:rPr>
          <w:rFonts w:ascii="Gill Sans MT" w:hAnsi="Gill Sans MT"/>
          <w:sz w:val="22"/>
          <w:szCs w:val="22"/>
        </w:rPr>
        <w:t xml:space="preserve">. </w:t>
      </w:r>
    </w:p>
    <w:p w:rsidR="0011252B" w:rsidRPr="0011252B" w:rsidRDefault="0011252B" w:rsidP="0011252B">
      <w:pPr>
        <w:pStyle w:val="NormalWeb"/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</w:p>
    <w:p w:rsidR="0011252B" w:rsidRDefault="0011252B" w:rsidP="0011252B">
      <w:pPr>
        <w:pStyle w:val="NormalWeb"/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Waterfowl impact:</w:t>
      </w:r>
    </w:p>
    <w:p w:rsidR="0011252B" w:rsidRDefault="0011252B" w:rsidP="001125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Absent </w:t>
      </w:r>
      <w:r>
        <w:rPr>
          <w:rFonts w:ascii="Gill Sans MT" w:hAnsi="Gill Sans MT"/>
          <w:sz w:val="22"/>
          <w:szCs w:val="22"/>
        </w:rPr>
        <w:t xml:space="preserve">- </w:t>
      </w:r>
      <w:r>
        <w:rPr>
          <w:rFonts w:ascii="Gill Sans MT" w:hAnsi="Gill Sans MT"/>
          <w:sz w:val="22"/>
          <w:szCs w:val="22"/>
        </w:rPr>
        <w:t>No evidence of waterfowl impact (moorhens may be present).</w:t>
      </w:r>
    </w:p>
    <w:p w:rsidR="0011252B" w:rsidRPr="0011252B" w:rsidRDefault="0011252B" w:rsidP="001125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Minor </w:t>
      </w:r>
      <w:r>
        <w:rPr>
          <w:rFonts w:ascii="Gill Sans MT" w:hAnsi="Gill Sans MT"/>
          <w:sz w:val="22"/>
          <w:szCs w:val="22"/>
        </w:rPr>
        <w:t xml:space="preserve">- </w:t>
      </w:r>
      <w:r>
        <w:rPr>
          <w:rFonts w:ascii="Gill Sans MT" w:hAnsi="Gill Sans MT"/>
          <w:sz w:val="22"/>
          <w:szCs w:val="22"/>
        </w:rPr>
        <w:t>Waterfowl present, but little indication of impact on pond vegetation. Pond still</w:t>
      </w:r>
      <w:r>
        <w:rPr>
          <w:rFonts w:ascii="Gill Sans MT" w:hAnsi="Gill Sans MT"/>
          <w:sz w:val="22"/>
          <w:szCs w:val="22"/>
        </w:rPr>
        <w:t xml:space="preserve"> </w:t>
      </w:r>
      <w:r>
        <w:rPr>
          <w:rFonts w:ascii="Gill Sans MT" w:hAnsi="Gill Sans MT"/>
          <w:sz w:val="22"/>
          <w:szCs w:val="22"/>
        </w:rPr>
        <w:t>supports submerged plants and banks are not denuded of vegetation.</w:t>
      </w:r>
    </w:p>
    <w:p w:rsidR="0011252B" w:rsidRDefault="0011252B" w:rsidP="001125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Major </w:t>
      </w:r>
      <w:r>
        <w:rPr>
          <w:rFonts w:ascii="Gill Sans MT" w:hAnsi="Gill Sans MT"/>
          <w:sz w:val="22"/>
          <w:szCs w:val="22"/>
        </w:rPr>
        <w:t xml:space="preserve">- </w:t>
      </w:r>
      <w:r>
        <w:rPr>
          <w:rFonts w:ascii="Gill Sans MT" w:hAnsi="Gill Sans MT"/>
          <w:sz w:val="22"/>
          <w:szCs w:val="22"/>
        </w:rPr>
        <w:t>Severe impact of waterfowl. Little or no evidence of submerged plants, water</w:t>
      </w:r>
      <w:r>
        <w:rPr>
          <w:rFonts w:ascii="Gill Sans MT" w:hAnsi="Gill Sans MT"/>
          <w:sz w:val="22"/>
          <w:szCs w:val="22"/>
        </w:rPr>
        <w:t xml:space="preserve"> </w:t>
      </w:r>
      <w:r>
        <w:rPr>
          <w:rFonts w:ascii="Gill Sans MT" w:hAnsi="Gill Sans MT"/>
          <w:sz w:val="22"/>
          <w:szCs w:val="22"/>
        </w:rPr>
        <w:t xml:space="preserve">turbid, pond banks showing patches where vegetation removed, evidence of provisioning waterfowl. </w:t>
      </w:r>
    </w:p>
    <w:p w:rsidR="0011252B" w:rsidRPr="0011252B" w:rsidRDefault="0011252B" w:rsidP="0011252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Gill Sans MT" w:hAnsi="Gill Sans MT"/>
          <w:sz w:val="22"/>
          <w:szCs w:val="22"/>
        </w:rPr>
      </w:pPr>
    </w:p>
    <w:p w:rsidR="0011252B" w:rsidRPr="0011252B" w:rsidRDefault="0011252B" w:rsidP="00081C0C">
      <w:pPr>
        <w:pStyle w:val="NormalWeb"/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 w:rsidRPr="0011252B">
        <w:rPr>
          <w:rFonts w:ascii="Gill Sans MT" w:hAnsi="Gill Sans MT"/>
          <w:sz w:val="22"/>
          <w:szCs w:val="22"/>
        </w:rPr>
        <w:t>Terrestrial habitat should be considered within approximately 250 m from the pond</w:t>
      </w:r>
      <w:r w:rsidR="00081C0C">
        <w:rPr>
          <w:rFonts w:ascii="Gill Sans MT" w:hAnsi="Gill Sans MT"/>
          <w:sz w:val="22"/>
          <w:szCs w:val="22"/>
        </w:rPr>
        <w:t>:</w:t>
      </w:r>
    </w:p>
    <w:p w:rsidR="0011252B" w:rsidRPr="0011252B" w:rsidRDefault="0011252B" w:rsidP="00081C0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 w:rsidRPr="0011252B">
        <w:rPr>
          <w:rFonts w:ascii="Gill Sans MT" w:hAnsi="Gill Sans MT"/>
          <w:sz w:val="22"/>
          <w:szCs w:val="22"/>
        </w:rPr>
        <w:t xml:space="preserve">Good </w:t>
      </w:r>
      <w:r w:rsidR="00081C0C">
        <w:rPr>
          <w:rFonts w:ascii="Gill Sans MT" w:hAnsi="Gill Sans MT"/>
          <w:sz w:val="22"/>
          <w:szCs w:val="22"/>
        </w:rPr>
        <w:t>– Valuable/varied h</w:t>
      </w:r>
      <w:r w:rsidR="00081C0C" w:rsidRPr="0011252B">
        <w:rPr>
          <w:rFonts w:ascii="Gill Sans MT" w:hAnsi="Gill Sans MT"/>
          <w:sz w:val="22"/>
          <w:szCs w:val="22"/>
        </w:rPr>
        <w:t xml:space="preserve">abitat </w:t>
      </w:r>
      <w:r w:rsidR="00081C0C">
        <w:rPr>
          <w:rFonts w:ascii="Gill Sans MT" w:hAnsi="Gill Sans MT"/>
          <w:sz w:val="22"/>
          <w:szCs w:val="22"/>
        </w:rPr>
        <w:t>composition, with</w:t>
      </w:r>
      <w:r w:rsidR="00081C0C" w:rsidRPr="0011252B">
        <w:rPr>
          <w:rFonts w:ascii="Gill Sans MT" w:hAnsi="Gill Sans MT"/>
          <w:sz w:val="22"/>
          <w:szCs w:val="22"/>
        </w:rPr>
        <w:t xml:space="preserve"> semi-natural environments, such as rough grassland, scrub or woodland</w:t>
      </w:r>
      <w:r w:rsidR="00081C0C">
        <w:rPr>
          <w:rFonts w:ascii="Gill Sans MT" w:hAnsi="Gill Sans MT"/>
          <w:sz w:val="22"/>
          <w:szCs w:val="22"/>
        </w:rPr>
        <w:t xml:space="preserve"> (or</w:t>
      </w:r>
      <w:r w:rsidR="00081C0C" w:rsidRPr="0011252B">
        <w:rPr>
          <w:rFonts w:ascii="Gill Sans MT" w:hAnsi="Gill Sans MT"/>
          <w:sz w:val="22"/>
          <w:szCs w:val="22"/>
        </w:rPr>
        <w:t xml:space="preserve"> brownfield sites and low intensity farmland) </w:t>
      </w:r>
      <w:r w:rsidR="00081C0C">
        <w:rPr>
          <w:rFonts w:ascii="Gill Sans MT" w:hAnsi="Gill Sans MT"/>
          <w:sz w:val="22"/>
          <w:szCs w:val="22"/>
        </w:rPr>
        <w:t>over</w:t>
      </w:r>
      <w:r w:rsidR="00081C0C" w:rsidRPr="0011252B">
        <w:rPr>
          <w:rFonts w:ascii="Gill Sans MT" w:hAnsi="Gill Sans MT"/>
          <w:sz w:val="22"/>
          <w:szCs w:val="22"/>
        </w:rPr>
        <w:t xml:space="preserve"> more than 75% of </w:t>
      </w:r>
      <w:r w:rsidR="00081C0C">
        <w:rPr>
          <w:rFonts w:ascii="Gill Sans MT" w:hAnsi="Gill Sans MT"/>
          <w:sz w:val="22"/>
          <w:szCs w:val="22"/>
        </w:rPr>
        <w:t>area</w:t>
      </w:r>
      <w:r w:rsidR="00081C0C" w:rsidRPr="0011252B">
        <w:rPr>
          <w:rFonts w:ascii="Gill Sans MT" w:hAnsi="Gill Sans MT"/>
          <w:sz w:val="22"/>
          <w:szCs w:val="22"/>
        </w:rPr>
        <w:t>.</w:t>
      </w:r>
    </w:p>
    <w:p w:rsidR="00081C0C" w:rsidRDefault="0011252B" w:rsidP="00081C0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 w:rsidRPr="0011252B">
        <w:rPr>
          <w:rFonts w:ascii="Gill Sans MT" w:hAnsi="Gill Sans MT"/>
          <w:sz w:val="22"/>
          <w:szCs w:val="22"/>
        </w:rPr>
        <w:t xml:space="preserve">Moderate </w:t>
      </w:r>
      <w:r w:rsidR="00081C0C">
        <w:rPr>
          <w:rFonts w:ascii="Gill Sans MT" w:hAnsi="Gill Sans MT"/>
          <w:sz w:val="22"/>
          <w:szCs w:val="22"/>
        </w:rPr>
        <w:t xml:space="preserve">- </w:t>
      </w:r>
      <w:r w:rsidR="00081C0C" w:rsidRPr="0011252B">
        <w:rPr>
          <w:rFonts w:ascii="Gill Sans MT" w:hAnsi="Gill Sans MT"/>
          <w:sz w:val="22"/>
          <w:szCs w:val="22"/>
        </w:rPr>
        <w:t>Habitat offers opportunities for foraging and shelter but may not be extensive (25- 75%) of available area.</w:t>
      </w:r>
    </w:p>
    <w:p w:rsidR="0011252B" w:rsidRPr="0011252B" w:rsidRDefault="0011252B" w:rsidP="00081C0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 w:rsidRPr="0011252B">
        <w:rPr>
          <w:rFonts w:ascii="Gill Sans MT" w:hAnsi="Gill Sans MT"/>
          <w:sz w:val="22"/>
          <w:szCs w:val="22"/>
        </w:rPr>
        <w:t xml:space="preserve">Poor </w:t>
      </w:r>
      <w:r w:rsidR="00081C0C">
        <w:rPr>
          <w:rFonts w:ascii="Gill Sans MT" w:hAnsi="Gill Sans MT"/>
          <w:sz w:val="22"/>
          <w:szCs w:val="22"/>
        </w:rPr>
        <w:t xml:space="preserve">- </w:t>
      </w:r>
      <w:r w:rsidR="00081C0C" w:rsidRPr="0011252B">
        <w:rPr>
          <w:rFonts w:ascii="Gill Sans MT" w:hAnsi="Gill Sans MT"/>
          <w:sz w:val="22"/>
          <w:szCs w:val="22"/>
        </w:rPr>
        <w:t xml:space="preserve">Habitat with poor structure (e.g. amenity grassland, improved pasture and arable) that offers limited opportunities (less than 25% of available area) for </w:t>
      </w:r>
      <w:r w:rsidR="00081C0C">
        <w:rPr>
          <w:rFonts w:ascii="Gill Sans MT" w:hAnsi="Gill Sans MT"/>
          <w:sz w:val="22"/>
          <w:szCs w:val="22"/>
        </w:rPr>
        <w:t>pond fauna</w:t>
      </w:r>
      <w:r w:rsidR="00081C0C" w:rsidRPr="0011252B">
        <w:rPr>
          <w:rFonts w:ascii="Gill Sans MT" w:hAnsi="Gill Sans MT"/>
          <w:sz w:val="22"/>
          <w:szCs w:val="22"/>
        </w:rPr>
        <w:t>.</w:t>
      </w:r>
    </w:p>
    <w:p w:rsidR="0011252B" w:rsidRPr="0011252B" w:rsidRDefault="0011252B" w:rsidP="00081C0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ill Sans MT" w:hAnsi="Gill Sans MT"/>
          <w:sz w:val="22"/>
          <w:szCs w:val="22"/>
        </w:rPr>
      </w:pPr>
      <w:r w:rsidRPr="0011252B">
        <w:rPr>
          <w:rFonts w:ascii="Gill Sans MT" w:hAnsi="Gill Sans MT"/>
          <w:sz w:val="22"/>
          <w:szCs w:val="22"/>
        </w:rPr>
        <w:t xml:space="preserve">None </w:t>
      </w:r>
      <w:r w:rsidR="00081C0C">
        <w:rPr>
          <w:rFonts w:ascii="Gill Sans MT" w:hAnsi="Gill Sans MT"/>
          <w:sz w:val="22"/>
          <w:szCs w:val="22"/>
        </w:rPr>
        <w:t xml:space="preserve">- </w:t>
      </w:r>
      <w:r w:rsidR="00081C0C" w:rsidRPr="0011252B">
        <w:rPr>
          <w:rFonts w:ascii="Gill Sans MT" w:hAnsi="Gill Sans MT"/>
          <w:sz w:val="22"/>
          <w:szCs w:val="22"/>
        </w:rPr>
        <w:t>No suitable habitat around pond (e.g. centre of arable field or large expanse of bare habitat).</w:t>
      </w:r>
    </w:p>
    <w:p w:rsidR="0011252B" w:rsidRPr="000973F5" w:rsidRDefault="0011252B" w:rsidP="0011252B">
      <w:pPr>
        <w:pStyle w:val="NormalWeb"/>
        <w:shd w:val="clear" w:color="auto" w:fill="FFFFFF"/>
        <w:spacing w:before="0" w:beforeAutospacing="0" w:after="0" w:afterAutospacing="0"/>
      </w:pPr>
    </w:p>
    <w:sectPr w:rsidR="0011252B" w:rsidRPr="000973F5" w:rsidSect="00081C0C">
      <w:headerReference w:type="default" r:id="rId7"/>
      <w:footerReference w:type="default" r:id="rId8"/>
      <w:pgSz w:w="11901" w:h="16817"/>
      <w:pgMar w:top="1361" w:right="1134" w:bottom="1276" w:left="1134" w:header="425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759" w:rsidRDefault="005F3759">
      <w:pPr>
        <w:spacing w:after="0"/>
      </w:pPr>
      <w:r>
        <w:separator/>
      </w:r>
    </w:p>
  </w:endnote>
  <w:endnote w:type="continuationSeparator" w:id="0">
    <w:p w:rsidR="005F3759" w:rsidRDefault="005F37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206030504050203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7D" w:rsidRPr="00081C0C" w:rsidRDefault="001D127D" w:rsidP="00081C0C">
    <w:pPr>
      <w:spacing w:after="0"/>
      <w:rPr>
        <w:color w:val="808080" w:themeColor="background1" w:themeShade="80"/>
      </w:rPr>
    </w:pPr>
    <w:r w:rsidRPr="00081C0C">
      <w:rPr>
        <w:color w:val="808080" w:themeColor="background1" w:themeShade="80"/>
      </w:rPr>
      <w:t>v1. 2020-04-12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759" w:rsidRDefault="005F3759">
      <w:r>
        <w:separator/>
      </w:r>
    </w:p>
  </w:footnote>
  <w:footnote w:type="continuationSeparator" w:id="0">
    <w:p w:rsidR="005F3759" w:rsidRDefault="005F3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7D" w:rsidRDefault="001D127D" w:rsidP="001D127D">
    <w:pPr>
      <w:pStyle w:val="Heading1"/>
    </w:pPr>
    <w:bookmarkStart w:id="1" w:name="field-data-form"/>
    <w:r>
      <w:t>Pond Acoustic Survey - Field Data Form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982D9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314B5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22C2D63"/>
    <w:multiLevelType w:val="hybridMultilevel"/>
    <w:tmpl w:val="E920F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1C0C"/>
    <w:rsid w:val="000973F5"/>
    <w:rsid w:val="0011252B"/>
    <w:rsid w:val="001D127D"/>
    <w:rsid w:val="004E29B3"/>
    <w:rsid w:val="0052548B"/>
    <w:rsid w:val="00590D07"/>
    <w:rsid w:val="005F3759"/>
    <w:rsid w:val="00784D58"/>
    <w:rsid w:val="008D2B49"/>
    <w:rsid w:val="008D6863"/>
    <w:rsid w:val="00B04C7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826B8"/>
  <w15:docId w15:val="{97FBC986-BC8E-F747-9925-BD182069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D127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D127D"/>
  </w:style>
  <w:style w:type="paragraph" w:styleId="Footer">
    <w:name w:val="footer"/>
    <w:basedOn w:val="Normal"/>
    <w:link w:val="FooterChar"/>
    <w:unhideWhenUsed/>
    <w:rsid w:val="001D127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D127D"/>
  </w:style>
  <w:style w:type="paragraph" w:styleId="NormalWeb">
    <w:name w:val="Normal (Web)"/>
    <w:basedOn w:val="Normal"/>
    <w:uiPriority w:val="99"/>
    <w:unhideWhenUsed/>
    <w:rsid w:val="000973F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2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1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0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9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0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Abrahams</dc:creator>
  <cp:keywords/>
  <cp:lastModifiedBy>Carlos Abrahams</cp:lastModifiedBy>
  <cp:revision>2</cp:revision>
  <cp:lastPrinted>2020-04-12T09:53:00Z</cp:lastPrinted>
  <dcterms:created xsi:type="dcterms:W3CDTF">2020-04-12T10:36:00Z</dcterms:created>
  <dcterms:modified xsi:type="dcterms:W3CDTF">2020-04-12T10:36:00Z</dcterms:modified>
</cp:coreProperties>
</file>