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de Software</w:t>
        <w:br/>
        <w:t>en Eventos UNCA</w:t>
      </w:r>
    </w:p>
    <w:p>
      <w:pPr>
        <w:pStyle w:val="Subtitle"/>
      </w:pPr>
      <w:r>
        <w:t>De las necesidades de los interesados a las decisiones de diseño</w:t>
      </w:r>
    </w:p>
    <w:p>
      <w:r>
        <w:t>Caso de estudio de una aplicación universitaria</w:t>
      </w:r>
    </w:p>
    <w:p>
      <w:pPr>
        <w:pStyle w:val="Heading2"/>
      </w:pPr>
      <w:r>
        <w:t>El punto de partida</w:t>
      </w:r>
    </w:p>
    <w:p>
      <w:r>
        <w:t>Organizar un evento implica coordinar información y personas antes, durante y después de su realización. Antes necesitamos comunicar la propuesta y recibir inscripciones. Durante el evento debemos reconocer a quienes llegan y registrar su asistencia. Después necesitamos consultar resultados y entregar los recursos que correspondan.</w:t>
      </w:r>
    </w:p>
    <w:p>
      <w:r>
        <w:t>La propuesta inicial de Eventos UNCA plantea centralizar la publicación de eventos, las inscripciones, la acreditación y los certificados. El problema incluye controlar cupos, evitar duplicados y conservar información confiable para la administración. Estas necesidades dan sentido a la solución técnica.</w:t>
      </w:r>
    </w:p>
    <w:p>
      <w:r>
        <w:t>Una arquitectura de software establece responsabilidades, relaciones y límites para que el sistema pueda cumplir esos objetivos bajo determinadas restricciones. Elegir un framework es una parte de ese trabajo. También debemos decidir quién puede hacer cada operación, dónde se comprueban las reglas, qué información se conserva y cómo se responde ante fallos.</w:t>
      </w:r>
    </w:p>
    <w:p>
      <w:pPr>
        <w:pStyle w:val="Heading2"/>
      </w:pPr>
      <w:r>
        <w:t>Una pregunta que organiza el análisis</w:t>
      </w:r>
    </w:p>
    <w:p>
      <w:r>
        <w:t>Podemos comenzar con una situación concreta: queda un único lugar en un evento y dos personas intentan inscribirse al mismo tiempo. Ambas necesitan una respuesta confiable. La organización necesita respetar el cupo. Quienes operan el sistema necesitan explicar qué ocurrió. Una misma situación reúne necesidades de distintos interesados y exige decisiones que atraviesan varias partes del software.</w:t>
      </w:r>
    </w:p>
    <w:p>
      <w:r>
        <w:t>El recorrido que seguiremos parte del problema y de esas perspectivas. Luego transforma las necesidades en requisitos y reglas de negocio, identifica restricciones y analiza cómo se distribuyeron las responsabilidades. Finalmente, contrasta las decisiones con el código y considera cómo puede evolucionar la solución.</w:t>
      </w:r>
    </w:p>
    <w:p>
      <w:pPr>
        <w:pStyle w:val="Heading2"/>
      </w:pPr>
      <w:r>
        <w:t>La solución que vamos a estudiar</w:t>
      </w:r>
    </w:p>
    <w:p>
      <w:r>
        <w:t>La aplicación actual reúne interfaz y lógica del servidor en Next.js, utiliza PocketBase como servicio externo de datos y archivos, y organiza el código en capas. Podemos clasificarla como un monolito de aplicación con capas lógicas y persistencia externa. Esta descripción será más útil cuando podamos relacionar cada parte con las necesidades que atiende.</w:t>
      </w:r>
    </w:p>
    <w:p>
      <w:r>
        <w:t>El caso también muestra que la arquitectura cambia con el producto. A las capacidades iniciales se incorporaron materiales para asistentes y corrección de datos durante la acreditación. El diseño original, los requisitos posteriores y el código actual permiten observar esa evolución.</w:t>
      </w:r>
    </w:p>
    <w:p>
      <w:r>
        <w:br w:type="page"/>
      </w:r>
    </w:p>
    <w:p>
      <w:pPr>
        <w:pStyle w:val="Heading1"/>
      </w:pPr>
      <w:r>
        <w:t>Los interesados que participan del evento</w:t>
      </w:r>
    </w:p>
    <w:p>
      <w:r>
        <w:t>Un interesado es una persona o grupo que tiene necesidades, expectativas o responsabilidades respecto del sistema. Algunos lo utilizan directamente; otros dependen de sus resultados o deben mantenerlo. Por eso identificar interesados es más amplio que enumerar cuentas de usuario.</w:t>
      </w:r>
    </w:p>
    <w:p>
      <w:pPr>
        <w:pStyle w:val="Heading2"/>
      </w:pPr>
      <w:r>
        <w:t>Las personas que desean asistir</w:t>
      </w:r>
    </w:p>
    <w:p>
      <w:r>
        <w:t>Necesitan conocer el tema, la fecha, el lugar y las condiciones del evento. También necesitan saber si pueden inscribirse y recibir una confirmación clara cuando lo hacen. La inscripción sin cuenta reduce pasos, pero obliga a resolver cómo identificar cada registro y evitar que la misma persona ocupe más de un lugar en un evento.</w:t>
      </w:r>
    </w:p>
    <w:p>
      <w:r>
        <w:t>En este proyecto, la inscripción solicita nombres, apellidos, email y documento. El documento normalizado permite reconocer una inscripción aunque se escriba con formatos diferentes. La unicidad se establece dentro de cada evento: una persona puede participar en varios eventos.</w:t>
      </w:r>
    </w:p>
    <w:p>
      <w:r>
        <w:t>Después de asistir, la persona necesita acceder a los recursos disponibles. La solución actual permite consultar por DNI las inscripciones acreditadas y acceder a materiales y certificados cuando corresponda. Inscribirse, asistir y disponer de un certificado son situaciones distintas; confundirlas produciría errores en las reglas de acceso.</w:t>
      </w:r>
    </w:p>
    <w:p>
      <w:pPr>
        <w:pStyle w:val="Heading2"/>
      </w:pPr>
      <w:r>
        <w:t>Quienes organizan y administran</w:t>
      </w:r>
    </w:p>
    <w:p>
      <w:r>
        <w:t>Necesitan crear y actualizar eventos, decidir cuándo publicarlos, habilitar o cerrar inscripciones y ajustar el cupo. También deben distinguir lo que se ofrece públicamente de la información operativa del panel. Estas necesidades llevan a separar la experiencia pública de las operaciones administrativas autenticadas.</w:t>
      </w:r>
    </w:p>
    <w:p>
      <w:r>
        <w:t>La organización necesita conservar control sobre las excepciones. Una inscripción pública debe respetar el cupo, mientras que un alta presencial puede superar ese límite con confirmación administrativa. El sistema debe representar ambas situaciones sin perder su origen ni su trazabilidad.</w:t>
      </w:r>
    </w:p>
    <w:p>
      <w:pPr>
        <w:pStyle w:val="Heading2"/>
      </w:pPr>
      <w:r>
        <w:t>El personal que acredita la asistencia</w:t>
      </w:r>
    </w:p>
    <w:p>
      <w:r>
        <w:t>Durante el evento necesita localizar personas, verificar sus datos y registrar asistencia sin generar registros repetidos. Si encuentra un error en el nombre o el documento, necesita corregirlo conservando la inscripción, el cupo y el estado de asistencia. Si llega una persona sin inscripción previa, necesita registrar un alta presencial.</w:t>
      </w:r>
    </w:p>
    <w:p>
      <w:r>
        <w:t>Estas responsabilidades ayudan a descubrir necesidades diferentes, aunque la implementación actual las reúna bajo un mismo rol administrativo. Identificar interesados no obliga a crear un rol técnico distinto para cada responsabilidad.</w:t>
      </w:r>
    </w:p>
    <w:p>
      <w:r>
        <w:br w:type="page"/>
      </w:r>
    </w:p>
    <w:p>
      <w:pPr>
        <w:pStyle w:val="Heading1"/>
      </w:pPr>
      <w:r>
        <w:t>Las perspectivas institucionales y técnicas</w:t>
      </w:r>
    </w:p>
    <w:p>
      <w:pPr>
        <w:pStyle w:val="Heading2"/>
      </w:pPr>
      <w:r>
        <w:t>La institución y sus resultados</w:t>
      </w:r>
    </w:p>
    <w:p>
      <w:r>
        <w:t>Desde la perspectiva institucional, no alcanza con recibir formularios. Se necesitan datos que permitan conocer cuántas personas se inscribieron, cuántas asistieron, cuántas llegaron de manera presencial y cuáles estuvieron ausentes. Los reportes y las exportaciones deben reflejar los estados vigentes de los participantes.</w:t>
      </w:r>
    </w:p>
    <w:p>
      <w:r>
        <w:t>La trazabilidad permite relacionar cambios sensibles con un responsable y una fecha. Acreditar, revocar una asistencia o corregir una inscripción afecta resultados que luego pueden utilizarse en reportes o certificados. Por eso la auditoría forma parte de la solución funcional y no es solamente una herramienta de diagnóstico.</w:t>
      </w:r>
    </w:p>
    <w:p>
      <w:pPr>
        <w:pStyle w:val="Heading2"/>
      </w:pPr>
      <w:r>
        <w:t>Los disertantes y los contenidos</w:t>
      </w:r>
    </w:p>
    <w:p>
      <w:r>
        <w:t>Los disertantes están representados mediante perfiles y participaciones en eventos. Sus datos y fotos deben poder reutilizarse sin multiplicar innecesariamente los perfiles. Los materiales de las charlas se asocian al evento y deben llegar a quienes cumplen las condiciones de acceso.</w:t>
      </w:r>
    </w:p>
    <w:p>
      <w:r>
        <w:t>En la aplicación actual, la administración gestiona estos contenidos. La presencia de disertantes como interesados no implica que exista un portal donde cada disertante pueda iniciar sesión y editar su información.</w:t>
      </w:r>
    </w:p>
    <w:p>
      <w:pPr>
        <w:pStyle w:val="Heading2"/>
      </w:pPr>
      <w:r>
        <w:t>Quienes desarrollan y operan el sistema</w:t>
      </w:r>
    </w:p>
    <w:p>
      <w:r>
        <w:t>La perspectiva de mantenimiento exige comprender dónde se modifica una regla y cómo comprobar sus efectos. La perspectiva operativa exige configurar servicios, preservar secretos, aplicar el esquema de datos y recuperar la información ante un incidente. Estas responsabilidades explican el valor de las capas, las pruebas, los scripts de preparación y las instrucciones de respaldo.</w:t>
      </w:r>
    </w:p>
    <w:p>
      <w:r>
        <w:t>El contexto inicial ya incluía un proyecto Next.js y una instancia de PocketBase que debía utilizarse. La arquitectura se planteó dentro de esas condiciones. La documentación operativa describe un despliegue con Node.js, Nixpacks y Dokploy, y la necesidad de que Next.js pueda comunicarse con PocketBase.</w:t>
      </w:r>
    </w:p>
    <w:p>
      <w:pPr>
        <w:pStyle w:val="Heading2"/>
      </w:pPr>
      <w:r>
        <w:t>Necesidades que deben conciliarse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9"/>
        <w:gridCol w:w="5669"/>
      </w:tblGrid>
      <w:tr>
        <w:trPr>
          <w:tblHeader/>
          <w:cantSplit/>
        </w:trPr>
        <w:tc>
          <w:tcPr>
            <w:tcW w:type="dxa" w:w="3969"/>
            <w:vAlign w:val="center"/>
            <w:tcMar>
              <w:top w:w="85" w:type="dxa"/>
              <w:bottom w:w="85" w:type="dxa"/>
              <w:left w:w="110" w:type="dxa"/>
              <w:right w:w="110" w:type="dxa"/>
            </w:tcMar>
            <w:shd w:fill="DFEAF2"/>
          </w:tcPr>
          <w:p>
            <w:pPr>
              <w:spacing w:after="40" w:line="245" w:lineRule="auto"/>
            </w:pPr>
            <w:r>
              <w:rPr>
                <w:b/>
                <w:sz w:val="19"/>
              </w:rPr>
              <w:t>Necesidades en tensión</w:t>
            </w:r>
          </w:p>
        </w:tc>
        <w:tc>
          <w:tcPr>
            <w:tcW w:type="dxa" w:w="5669"/>
            <w:vAlign w:val="center"/>
            <w:tcMar>
              <w:top w:w="85" w:type="dxa"/>
              <w:bottom w:w="85" w:type="dxa"/>
              <w:left w:w="110" w:type="dxa"/>
              <w:right w:w="110" w:type="dxa"/>
            </w:tcMar>
            <w:shd w:fill="DFEAF2"/>
          </w:tcPr>
          <w:p>
            <w:pPr>
              <w:spacing w:after="40" w:line="245" w:lineRule="auto"/>
            </w:pPr>
            <w:r>
              <w:rPr>
                <w:b/>
                <w:sz w:val="19"/>
              </w:rPr>
              <w:t>Consecuencia para el diseño</w:t>
            </w:r>
          </w:p>
        </w:tc>
      </w:tr>
      <w:tr>
        <w:trPr>
          <w:cantSplit/>
        </w:trPr>
        <w:tc>
          <w:tcPr>
            <w:tcW w:type="dxa" w:w="3969"/>
            <w:vAlign w:val="center"/>
            <w:tcMar>
              <w:top w:w="85" w:type="dxa"/>
              <w:bottom w:w="85" w:type="dxa"/>
              <w:left w:w="110" w:type="dxa"/>
              <w:right w:w="110" w:type="dxa"/>
            </w:tcMar>
            <w:shd w:fill="FFFFFF"/>
          </w:tcPr>
          <w:p>
            <w:pPr>
              <w:spacing w:after="40" w:line="245" w:lineRule="auto"/>
            </w:pPr>
            <w:r>
              <w:rPr>
                <w:b w:val="0"/>
                <w:sz w:val="19"/>
              </w:rPr>
              <w:t>Inscripción sencilla y datos consistentes.</w:t>
            </w:r>
          </w:p>
        </w:tc>
        <w:tc>
          <w:tcPr>
            <w:tcW w:type="dxa" w:w="5669"/>
            <w:vAlign w:val="center"/>
            <w:tcMar>
              <w:top w:w="85" w:type="dxa"/>
              <w:bottom w:w="85" w:type="dxa"/>
              <w:left w:w="110" w:type="dxa"/>
              <w:right w:w="110" w:type="dxa"/>
            </w:tcMar>
            <w:shd w:fill="FFFFFF"/>
          </w:tcPr>
          <w:p>
            <w:pPr>
              <w:spacing w:after="40" w:line="245" w:lineRule="auto"/>
            </w:pPr>
            <w:r>
              <w:rPr>
                <w:b w:val="0"/>
                <w:sz w:val="19"/>
              </w:rPr>
              <w:t>Reducir pasos sin eliminar validación y control de duplicados.</w:t>
            </w:r>
          </w:p>
        </w:tc>
      </w:tr>
      <w:tr>
        <w:trPr>
          <w:cantSplit/>
        </w:trPr>
        <w:tc>
          <w:tcPr>
            <w:tcW w:type="dxa" w:w="3969"/>
            <w:vAlign w:val="center"/>
            <w:tcMar>
              <w:top w:w="85" w:type="dxa"/>
              <w:bottom w:w="85" w:type="dxa"/>
              <w:left w:w="110" w:type="dxa"/>
              <w:right w:w="110" w:type="dxa"/>
            </w:tcMar>
            <w:shd w:fill="F5F7F9"/>
          </w:tcPr>
          <w:p>
            <w:pPr>
              <w:spacing w:after="40" w:line="245" w:lineRule="auto"/>
            </w:pPr>
            <w:r>
              <w:rPr>
                <w:b w:val="0"/>
                <w:sz w:val="19"/>
              </w:rPr>
              <w:t>Cupo limitado y excepciones presenciales.</w:t>
            </w:r>
          </w:p>
        </w:tc>
        <w:tc>
          <w:tcPr>
            <w:tcW w:type="dxa" w:w="5669"/>
            <w:vAlign w:val="center"/>
            <w:tcMar>
              <w:top w:w="85" w:type="dxa"/>
              <w:bottom w:w="85" w:type="dxa"/>
              <w:left w:w="110" w:type="dxa"/>
              <w:right w:w="110" w:type="dxa"/>
            </w:tcMar>
            <w:shd w:fill="F5F7F9"/>
          </w:tcPr>
          <w:p>
            <w:pPr>
              <w:spacing w:after="40" w:line="245" w:lineRule="auto"/>
            </w:pPr>
            <w:r>
              <w:rPr>
                <w:b w:val="0"/>
                <w:sz w:val="19"/>
              </w:rPr>
              <w:t>Distinguir la regla pública de la excepción administrativa.</w:t>
            </w:r>
          </w:p>
        </w:tc>
      </w:tr>
      <w:tr>
        <w:trPr>
          <w:cantSplit/>
        </w:trPr>
        <w:tc>
          <w:tcPr>
            <w:tcW w:type="dxa" w:w="3969"/>
            <w:vAlign w:val="center"/>
            <w:tcMar>
              <w:top w:w="85" w:type="dxa"/>
              <w:bottom w:w="85" w:type="dxa"/>
              <w:left w:w="110" w:type="dxa"/>
              <w:right w:w="110" w:type="dxa"/>
            </w:tcMar>
            <w:shd w:fill="FFFFFF"/>
          </w:tcPr>
          <w:p>
            <w:pPr>
              <w:spacing w:after="40" w:line="245" w:lineRule="auto"/>
            </w:pPr>
            <w:r>
              <w:rPr>
                <w:b w:val="0"/>
                <w:sz w:val="19"/>
              </w:rPr>
              <w:t>Acceso fácil a recursos y protección de datos.</w:t>
            </w:r>
          </w:p>
        </w:tc>
        <w:tc>
          <w:tcPr>
            <w:tcW w:type="dxa" w:w="5669"/>
            <w:vAlign w:val="center"/>
            <w:tcMar>
              <w:top w:w="85" w:type="dxa"/>
              <w:bottom w:w="85" w:type="dxa"/>
              <w:left w:w="110" w:type="dxa"/>
              <w:right w:w="110" w:type="dxa"/>
            </w:tcMar>
            <w:shd w:fill="FFFFFF"/>
          </w:tcPr>
          <w:p>
            <w:pPr>
              <w:spacing w:after="40" w:line="245" w:lineRule="auto"/>
            </w:pPr>
            <w:r>
              <w:rPr>
                <w:b w:val="0"/>
                <w:sz w:val="19"/>
              </w:rPr>
              <w:t>Definir cómo se concede, limita y revoca el acceso.</w:t>
            </w:r>
          </w:p>
        </w:tc>
      </w:tr>
      <w:tr>
        <w:trPr>
          <w:cantSplit/>
        </w:trPr>
        <w:tc>
          <w:tcPr>
            <w:tcW w:type="dxa" w:w="3969"/>
            <w:vAlign w:val="center"/>
            <w:tcMar>
              <w:top w:w="85" w:type="dxa"/>
              <w:bottom w:w="85" w:type="dxa"/>
              <w:left w:w="110" w:type="dxa"/>
              <w:right w:w="110" w:type="dxa"/>
            </w:tcMar>
            <w:shd w:fill="F5F7F9"/>
          </w:tcPr>
          <w:p>
            <w:pPr>
              <w:spacing w:after="40" w:line="245" w:lineRule="auto"/>
            </w:pPr>
            <w:r>
              <w:rPr>
                <w:b w:val="0"/>
                <w:sz w:val="19"/>
              </w:rPr>
              <w:t>Simplicidad operativa y posibilidad de crecimiento.</w:t>
            </w:r>
          </w:p>
        </w:tc>
        <w:tc>
          <w:tcPr>
            <w:tcW w:type="dxa" w:w="5669"/>
            <w:vAlign w:val="center"/>
            <w:tcMar>
              <w:top w:w="85" w:type="dxa"/>
              <w:bottom w:w="85" w:type="dxa"/>
              <w:left w:w="110" w:type="dxa"/>
              <w:right w:w="110" w:type="dxa"/>
            </w:tcMar>
            <w:shd w:fill="F5F7F9"/>
          </w:tcPr>
          <w:p>
            <w:pPr>
              <w:spacing w:after="40" w:line="245" w:lineRule="auto"/>
            </w:pPr>
            <w:r>
              <w:rPr>
                <w:b w:val="0"/>
                <w:sz w:val="19"/>
              </w:rPr>
              <w:t>Elegir una solución inicial y reconocer qué cambios exigirían más infraestructura.</w:t>
            </w:r>
          </w:p>
        </w:tc>
      </w:tr>
    </w:tbl>
    <w:p>
      <w:pPr>
        <w:spacing w:after="0"/>
      </w:pPr>
    </w:p>
    <w:p>
      <w:r>
        <w:br w:type="page"/>
      </w:r>
    </w:p>
    <w:p>
      <w:pPr>
        <w:pStyle w:val="Heading1"/>
      </w:pPr>
      <w:r>
        <w:t>De las necesidades a requisitos verificables</w:t>
      </w:r>
    </w:p>
    <w:p>
      <w:r>
        <w:t>Una necesidad expresa un resultado valioso para alguien. Un requisito establece un comportamiento o una condición que el sistema debe cumplir. Una decisión de diseño propone cómo lograrlo. Mantener esta diferencia permite evaluar alternativas sin confundir el problema con una tecnología determinada.</w:t>
      </w:r>
    </w:p>
    <w:p>
      <w:r>
        <w:t>Por ejemplo, la organización necesita respetar el cupo. El requisito establece que las confirmaciones públicas no deben excederlo ante solicitudes simultáneas. La solución combina cálculo del lugar disponible, una restricción única en los datos y tratamiento de colisiones. Son tres niveles distintos de descripción del mismo problema.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5"/>
        <w:gridCol w:w="3515"/>
        <w:gridCol w:w="3458"/>
      </w:tblGrid>
      <w:tr>
        <w:trPr>
          <w:tblHeader/>
          <w:cantSplit/>
        </w:trPr>
        <w:tc>
          <w:tcPr>
            <w:tcW w:type="dxa" w:w="2665"/>
            <w:vAlign w:val="center"/>
            <w:tcMar>
              <w:top w:w="85" w:type="dxa"/>
              <w:bottom w:w="85" w:type="dxa"/>
              <w:left w:w="110" w:type="dxa"/>
              <w:right w:w="110" w:type="dxa"/>
            </w:tcMar>
            <w:shd w:fill="DFEAF2"/>
          </w:tcPr>
          <w:p>
            <w:pPr>
              <w:spacing w:after="40" w:line="245" w:lineRule="auto"/>
            </w:pPr>
            <w:r>
              <w:rPr>
                <w:b/>
                <w:sz w:val="19"/>
              </w:rPr>
              <w:t>Necesidad</w:t>
            </w:r>
          </w:p>
        </w:tc>
        <w:tc>
          <w:tcPr>
            <w:tcW w:type="dxa" w:w="3515"/>
            <w:vAlign w:val="center"/>
            <w:tcMar>
              <w:top w:w="85" w:type="dxa"/>
              <w:bottom w:w="85" w:type="dxa"/>
              <w:left w:w="110" w:type="dxa"/>
              <w:right w:w="110" w:type="dxa"/>
            </w:tcMar>
            <w:shd w:fill="DFEAF2"/>
          </w:tcPr>
          <w:p>
            <w:pPr>
              <w:spacing w:after="40" w:line="245" w:lineRule="auto"/>
            </w:pPr>
            <w:r>
              <w:rPr>
                <w:b/>
                <w:sz w:val="19"/>
              </w:rPr>
              <w:t>Requisito del sistema</w:t>
            </w:r>
          </w:p>
        </w:tc>
        <w:tc>
          <w:tcPr>
            <w:tcW w:type="dxa" w:w="3458"/>
            <w:vAlign w:val="center"/>
            <w:tcMar>
              <w:top w:w="85" w:type="dxa"/>
              <w:bottom w:w="85" w:type="dxa"/>
              <w:left w:w="110" w:type="dxa"/>
              <w:right w:w="110" w:type="dxa"/>
            </w:tcMar>
            <w:shd w:fill="DFEAF2"/>
          </w:tcPr>
          <w:p>
            <w:pPr>
              <w:spacing w:after="40" w:line="245" w:lineRule="auto"/>
            </w:pPr>
            <w:r>
              <w:rPr>
                <w:b/>
                <w:sz w:val="19"/>
              </w:rPr>
              <w:t>Comprobación observable</w:t>
            </w:r>
          </w:p>
        </w:tc>
      </w:tr>
      <w:tr>
        <w:trPr>
          <w:cantSplit/>
        </w:trPr>
        <w:tc>
          <w:tcPr>
            <w:tcW w:type="dxa" w:w="2665"/>
            <w:vAlign w:val="center"/>
            <w:tcMar>
              <w:top w:w="85" w:type="dxa"/>
              <w:bottom w:w="85" w:type="dxa"/>
              <w:left w:w="110" w:type="dxa"/>
              <w:right w:w="110" w:type="dxa"/>
            </w:tcMar>
            <w:shd w:fill="FFFFFF"/>
          </w:tcPr>
          <w:p>
            <w:pPr>
              <w:spacing w:after="40" w:line="245" w:lineRule="auto"/>
            </w:pPr>
            <w:r>
              <w:rPr>
                <w:b w:val="0"/>
                <w:sz w:val="19"/>
              </w:rPr>
              <w:t>Publicar información confiable.</w:t>
            </w:r>
          </w:p>
        </w:tc>
        <w:tc>
          <w:tcPr>
            <w:tcW w:type="dxa" w:w="3515"/>
            <w:vAlign w:val="center"/>
            <w:tcMar>
              <w:top w:w="85" w:type="dxa"/>
              <w:bottom w:w="85" w:type="dxa"/>
              <w:left w:w="110" w:type="dxa"/>
              <w:right w:w="110" w:type="dxa"/>
            </w:tcMar>
            <w:shd w:fill="FFFFFF"/>
          </w:tcPr>
          <w:p>
            <w:pPr>
              <w:spacing w:after="40" w:line="245" w:lineRule="auto"/>
            </w:pPr>
            <w:r>
              <w:rPr>
                <w:b w:val="0"/>
                <w:sz w:val="19"/>
              </w:rPr>
              <w:t>Administrar eventos y ofrecer una página pública identificable.</w:t>
            </w:r>
          </w:p>
        </w:tc>
        <w:tc>
          <w:tcPr>
            <w:tcW w:type="dxa" w:w="3458"/>
            <w:vAlign w:val="center"/>
            <w:tcMar>
              <w:top w:w="85" w:type="dxa"/>
              <w:bottom w:w="85" w:type="dxa"/>
              <w:left w:w="110" w:type="dxa"/>
              <w:right w:w="110" w:type="dxa"/>
            </w:tcMar>
            <w:shd w:fill="FFFFFF"/>
          </w:tcPr>
          <w:p>
            <w:pPr>
              <w:spacing w:after="40" w:line="245" w:lineRule="auto"/>
            </w:pPr>
            <w:r>
              <w:rPr>
                <w:b w:val="0"/>
                <w:sz w:val="19"/>
              </w:rPr>
              <w:t>La página corresponde al evento y refleja su disponibilidad.</w:t>
            </w:r>
          </w:p>
        </w:tc>
      </w:tr>
      <w:tr>
        <w:trPr>
          <w:cantSplit/>
        </w:trPr>
        <w:tc>
          <w:tcPr>
            <w:tcW w:type="dxa" w:w="2665"/>
            <w:vAlign w:val="center"/>
            <w:tcMar>
              <w:top w:w="85" w:type="dxa"/>
              <w:bottom w:w="85" w:type="dxa"/>
              <w:left w:w="110" w:type="dxa"/>
              <w:right w:w="110" w:type="dxa"/>
            </w:tcMar>
            <w:shd w:fill="F5F7F9"/>
          </w:tcPr>
          <w:p>
            <w:pPr>
              <w:spacing w:after="40" w:line="245" w:lineRule="auto"/>
            </w:pPr>
            <w:r>
              <w:rPr>
                <w:b w:val="0"/>
                <w:sz w:val="19"/>
              </w:rPr>
              <w:t>Inscribirse sin gestionar una cuenta.</w:t>
            </w:r>
          </w:p>
        </w:tc>
        <w:tc>
          <w:tcPr>
            <w:tcW w:type="dxa" w:w="3515"/>
            <w:vAlign w:val="center"/>
            <w:tcMar>
              <w:top w:w="85" w:type="dxa"/>
              <w:bottom w:w="85" w:type="dxa"/>
              <w:left w:w="110" w:type="dxa"/>
              <w:right w:w="110" w:type="dxa"/>
            </w:tcMar>
            <w:shd w:fill="F5F7F9"/>
          </w:tcPr>
          <w:p>
            <w:pPr>
              <w:spacing w:after="40" w:line="245" w:lineRule="auto"/>
            </w:pPr>
            <w:r>
              <w:rPr>
                <w:b w:val="0"/>
                <w:sz w:val="19"/>
              </w:rPr>
              <w:t>Aceptar datos obligatorios y normalizados.</w:t>
            </w:r>
          </w:p>
        </w:tc>
        <w:tc>
          <w:tcPr>
            <w:tcW w:type="dxa" w:w="3458"/>
            <w:vAlign w:val="center"/>
            <w:tcMar>
              <w:top w:w="85" w:type="dxa"/>
              <w:bottom w:w="85" w:type="dxa"/>
              <w:left w:w="110" w:type="dxa"/>
              <w:right w:w="110" w:type="dxa"/>
            </w:tcMar>
            <w:shd w:fill="F5F7F9"/>
          </w:tcPr>
          <w:p>
            <w:pPr>
              <w:spacing w:after="40" w:line="245" w:lineRule="auto"/>
            </w:pPr>
            <w:r>
              <w:rPr>
                <w:b w:val="0"/>
                <w:sz w:val="19"/>
              </w:rPr>
              <w:t>Datos válidos permiten una inscripción cuando el evento está disponible.</w:t>
            </w:r>
          </w:p>
        </w:tc>
      </w:tr>
      <w:tr>
        <w:trPr>
          <w:cantSplit/>
        </w:trPr>
        <w:tc>
          <w:tcPr>
            <w:tcW w:type="dxa" w:w="2665"/>
            <w:vAlign w:val="center"/>
            <w:tcMar>
              <w:top w:w="85" w:type="dxa"/>
              <w:bottom w:w="85" w:type="dxa"/>
              <w:left w:w="110" w:type="dxa"/>
              <w:right w:w="110" w:type="dxa"/>
            </w:tcMar>
            <w:shd w:fill="FFFFFF"/>
          </w:tcPr>
          <w:p>
            <w:pPr>
              <w:spacing w:after="40" w:line="245" w:lineRule="auto"/>
            </w:pPr>
            <w:r>
              <w:rPr>
                <w:b w:val="0"/>
                <w:sz w:val="19"/>
              </w:rPr>
              <w:t>Evitar registros repetidos.</w:t>
            </w:r>
          </w:p>
        </w:tc>
        <w:tc>
          <w:tcPr>
            <w:tcW w:type="dxa" w:w="3515"/>
            <w:vAlign w:val="center"/>
            <w:tcMar>
              <w:top w:w="85" w:type="dxa"/>
              <w:bottom w:w="85" w:type="dxa"/>
              <w:left w:w="110" w:type="dxa"/>
              <w:right w:w="110" w:type="dxa"/>
            </w:tcMar>
            <w:shd w:fill="FFFFFF"/>
          </w:tcPr>
          <w:p>
            <w:pPr>
              <w:spacing w:after="40" w:line="245" w:lineRule="auto"/>
            </w:pPr>
            <w:r>
              <w:rPr>
                <w:b w:val="0"/>
                <w:sz w:val="19"/>
              </w:rPr>
              <w:t>Admitir un documento una sola vez por evento.</w:t>
            </w:r>
          </w:p>
        </w:tc>
        <w:tc>
          <w:tcPr>
            <w:tcW w:type="dxa" w:w="3458"/>
            <w:vAlign w:val="center"/>
            <w:tcMar>
              <w:top w:w="85" w:type="dxa"/>
              <w:bottom w:w="85" w:type="dxa"/>
              <w:left w:w="110" w:type="dxa"/>
              <w:right w:w="110" w:type="dxa"/>
            </w:tcMar>
            <w:shd w:fill="FFFFFF"/>
          </w:tcPr>
          <w:p>
            <w:pPr>
              <w:spacing w:after="40" w:line="245" w:lineRule="auto"/>
            </w:pPr>
            <w:r>
              <w:rPr>
                <w:b w:val="0"/>
                <w:sz w:val="19"/>
              </w:rPr>
              <w:t>Otro formato del mismo documento no crea un duplicado.</w:t>
            </w:r>
          </w:p>
        </w:tc>
      </w:tr>
      <w:tr>
        <w:trPr>
          <w:cantSplit/>
        </w:trPr>
        <w:tc>
          <w:tcPr>
            <w:tcW w:type="dxa" w:w="2665"/>
            <w:vAlign w:val="center"/>
            <w:tcMar>
              <w:top w:w="85" w:type="dxa"/>
              <w:bottom w:w="85" w:type="dxa"/>
              <w:left w:w="110" w:type="dxa"/>
              <w:right w:w="110" w:type="dxa"/>
            </w:tcMar>
            <w:shd w:fill="F5F7F9"/>
          </w:tcPr>
          <w:p>
            <w:pPr>
              <w:spacing w:after="40" w:line="245" w:lineRule="auto"/>
            </w:pPr>
            <w:r>
              <w:rPr>
                <w:b w:val="0"/>
                <w:sz w:val="19"/>
              </w:rPr>
              <w:t>Respetar el último lugar.</w:t>
            </w:r>
          </w:p>
        </w:tc>
        <w:tc>
          <w:tcPr>
            <w:tcW w:type="dxa" w:w="3515"/>
            <w:vAlign w:val="center"/>
            <w:tcMar>
              <w:top w:w="85" w:type="dxa"/>
              <w:bottom w:w="85" w:type="dxa"/>
              <w:left w:w="110" w:type="dxa"/>
              <w:right w:w="110" w:type="dxa"/>
            </w:tcMar>
            <w:shd w:fill="F5F7F9"/>
          </w:tcPr>
          <w:p>
            <w:pPr>
              <w:spacing w:after="40" w:line="245" w:lineRule="auto"/>
            </w:pPr>
            <w:r>
              <w:rPr>
                <w:b w:val="0"/>
                <w:sz w:val="19"/>
              </w:rPr>
              <w:t>Coordinar inscripciones públicas simultáneas.</w:t>
            </w:r>
          </w:p>
        </w:tc>
        <w:tc>
          <w:tcPr>
            <w:tcW w:type="dxa" w:w="3458"/>
            <w:vAlign w:val="center"/>
            <w:tcMar>
              <w:top w:w="85" w:type="dxa"/>
              <w:bottom w:w="85" w:type="dxa"/>
              <w:left w:w="110" w:type="dxa"/>
              <w:right w:w="110" w:type="dxa"/>
            </w:tcMar>
            <w:shd w:fill="F5F7F9"/>
          </w:tcPr>
          <w:p>
            <w:pPr>
              <w:spacing w:after="40" w:line="245" w:lineRule="auto"/>
            </w:pPr>
            <w:r>
              <w:rPr>
                <w:b w:val="0"/>
                <w:sz w:val="19"/>
              </w:rPr>
              <w:t>Como máximo una confirma el único lugar restante.</w:t>
            </w:r>
          </w:p>
        </w:tc>
      </w:tr>
      <w:tr>
        <w:trPr>
          <w:cantSplit/>
        </w:trPr>
        <w:tc>
          <w:tcPr>
            <w:tcW w:type="dxa" w:w="2665"/>
            <w:vAlign w:val="center"/>
            <w:tcMar>
              <w:top w:w="85" w:type="dxa"/>
              <w:bottom w:w="85" w:type="dxa"/>
              <w:left w:w="110" w:type="dxa"/>
              <w:right w:w="110" w:type="dxa"/>
            </w:tcMar>
            <w:shd w:fill="FFFFFF"/>
          </w:tcPr>
          <w:p>
            <w:pPr>
              <w:spacing w:after="40" w:line="245" w:lineRule="auto"/>
            </w:pPr>
            <w:r>
              <w:rPr>
                <w:b w:val="0"/>
                <w:sz w:val="19"/>
              </w:rPr>
              <w:t>Registrar quién asistió.</w:t>
            </w:r>
          </w:p>
        </w:tc>
        <w:tc>
          <w:tcPr>
            <w:tcW w:type="dxa" w:w="3515"/>
            <w:vAlign w:val="center"/>
            <w:tcMar>
              <w:top w:w="85" w:type="dxa"/>
              <w:bottom w:w="85" w:type="dxa"/>
              <w:left w:w="110" w:type="dxa"/>
              <w:right w:w="110" w:type="dxa"/>
            </w:tcMar>
            <w:shd w:fill="FFFFFF"/>
          </w:tcPr>
          <w:p>
            <w:pPr>
              <w:spacing w:after="40" w:line="245" w:lineRule="auto"/>
            </w:pPr>
            <w:r>
              <w:rPr>
                <w:b w:val="0"/>
                <w:sz w:val="19"/>
              </w:rPr>
              <w:t>Acreditar y corregir asistencia con trazabilidad.</w:t>
            </w:r>
          </w:p>
        </w:tc>
        <w:tc>
          <w:tcPr>
            <w:tcW w:type="dxa" w:w="3458"/>
            <w:vAlign w:val="center"/>
            <w:tcMar>
              <w:top w:w="85" w:type="dxa"/>
              <w:bottom w:w="85" w:type="dxa"/>
              <w:left w:w="110" w:type="dxa"/>
              <w:right w:w="110" w:type="dxa"/>
            </w:tcMar>
            <w:shd w:fill="FFFFFF"/>
          </w:tcPr>
          <w:p>
            <w:pPr>
              <w:spacing w:after="40" w:line="245" w:lineRule="auto"/>
            </w:pPr>
            <w:r>
              <w:rPr>
                <w:b w:val="0"/>
                <w:sz w:val="19"/>
              </w:rPr>
              <w:t>Repetir la acreditación conserva un único estado de asistencia.</w:t>
            </w:r>
          </w:p>
        </w:tc>
      </w:tr>
      <w:tr>
        <w:trPr>
          <w:cantSplit/>
        </w:trPr>
        <w:tc>
          <w:tcPr>
            <w:tcW w:type="dxa" w:w="2665"/>
            <w:vAlign w:val="center"/>
            <w:tcMar>
              <w:top w:w="85" w:type="dxa"/>
              <w:bottom w:w="85" w:type="dxa"/>
              <w:left w:w="110" w:type="dxa"/>
              <w:right w:w="110" w:type="dxa"/>
            </w:tcMar>
            <w:shd w:fill="F5F7F9"/>
          </w:tcPr>
          <w:p>
            <w:pPr>
              <w:spacing w:after="40" w:line="245" w:lineRule="auto"/>
            </w:pPr>
            <w:r>
              <w:rPr>
                <w:b w:val="0"/>
                <w:sz w:val="19"/>
              </w:rPr>
              <w:t>Entregar recursos a asistentes.</w:t>
            </w:r>
          </w:p>
        </w:tc>
        <w:tc>
          <w:tcPr>
            <w:tcW w:type="dxa" w:w="3515"/>
            <w:vAlign w:val="center"/>
            <w:tcMar>
              <w:top w:w="85" w:type="dxa"/>
              <w:bottom w:w="85" w:type="dxa"/>
              <w:left w:w="110" w:type="dxa"/>
              <w:right w:w="110" w:type="dxa"/>
            </w:tcMar>
            <w:shd w:fill="F5F7F9"/>
          </w:tcPr>
          <w:p>
            <w:pPr>
              <w:spacing w:after="40" w:line="245" w:lineRule="auto"/>
            </w:pPr>
            <w:r>
              <w:rPr>
                <w:b w:val="0"/>
                <w:sz w:val="19"/>
              </w:rPr>
              <w:t>Comprobar acreditación y autorización al descargar.</w:t>
            </w:r>
          </w:p>
        </w:tc>
        <w:tc>
          <w:tcPr>
            <w:tcW w:type="dxa" w:w="3458"/>
            <w:vAlign w:val="center"/>
            <w:tcMar>
              <w:top w:w="85" w:type="dxa"/>
              <w:bottom w:w="85" w:type="dxa"/>
              <w:left w:w="110" w:type="dxa"/>
              <w:right w:w="110" w:type="dxa"/>
            </w:tcMar>
            <w:shd w:fill="F5F7F9"/>
          </w:tcPr>
          <w:p>
            <w:pPr>
              <w:spacing w:after="40" w:line="245" w:lineRule="auto"/>
            </w:pPr>
            <w:r>
              <w:rPr>
                <w:b w:val="0"/>
                <w:sz w:val="19"/>
              </w:rPr>
              <w:t>La revocación impide nuevas descargas protegidas.</w:t>
            </w:r>
          </w:p>
        </w:tc>
      </w:tr>
    </w:tbl>
    <w:p>
      <w:pPr>
        <w:spacing w:after="0"/>
      </w:pPr>
    </w:p>
    <w:p>
      <w:pPr>
        <w:pStyle w:val="Heading2"/>
      </w:pPr>
      <w:r>
        <w:t>Las reglas que deben preservarse</w:t>
      </w:r>
    </w:p>
    <w:p>
      <w:r>
        <w:t>Una regla de negocio expresa una condición del dominio. Un evento no debe aceptar inscripciones públicas si está cerrado, finalizado o sin cupo. Un documento no puede repetirse dentro del mismo evento. Un certificado de asistencia corresponde a una inscripción acreditada. Estas reglas deben mantenerse aunque cambien los formularios o la tecnología de persistencia.</w:t>
      </w:r>
    </w:p>
    <w:p>
      <w:r>
        <w:t>El acceso a materiales agrega una distinción: una persona acreditada puede disponer de materiales aunque todavía no tenga un certificado, e incluso cuando el evento no emita certificados. La condición relevante es la acreditación vigente, no la existencia del PDF.</w:t>
      </w:r>
    </w:p>
    <w:p>
      <w:r>
        <w:t>También debemos precisar las excepciones. El alta presencial autorizada puede superar el cupo público, pero sigue sujeta al control de duplicados y debe conservar su origen. Una excepción explícita puede modelarse y auditarse; una excepción implícita deja comportamientos difíciles de explicar.</w:t>
      </w:r>
    </w:p>
    <w:p>
      <w:r>
        <w:br w:type="page"/>
      </w:r>
    </w:p>
    <w:p>
      <w:pPr>
        <w:pStyle w:val="Heading1"/>
      </w:pPr>
      <w:r>
        <w:t>Los atributos de calidad como escenarios</w:t>
      </w:r>
    </w:p>
    <w:p>
      <w:r>
        <w:t>Los requisitos funcionales describen qué operaciones existen. Los atributos de calidad describen cómo debe comportarse el sistema en condiciones relevantes. Expresiones como seguro, rápido o fácil de mantener necesitan concretarse para que podamos evaluar el diseño.</w:t>
      </w:r>
    </w:p>
    <w:p>
      <w:pPr>
        <w:pStyle w:val="Heading2"/>
      </w:pPr>
      <w:r>
        <w:t>Consistencia ante concurrencia</w:t>
      </w:r>
    </w:p>
    <w:p>
      <w:r>
        <w:t>Dos personas solicitan el único lugar restante mientras el evento sigue habilitado. El sistema debe confirmar como máximo una inscripción para ese lugar y conservar datos coherentes. La medida principal es la cantidad de confirmaciones y registros resultantes. La prueba debe enviar solicitudes simultáneas; una secuencia de inscripciones no reproduce el mismo problema.</w:t>
      </w:r>
    </w:p>
    <w:p>
      <w:pPr>
        <w:pStyle w:val="Heading2"/>
      </w:pPr>
      <w:r>
        <w:t>Control de acceso</w:t>
      </w:r>
    </w:p>
    <w:p>
      <w:r>
        <w:t>Una persona sin sesión administrativa solicita una exportación. El sistema debe rechazarla sin revelar los datos del listado. El punto relevante es la operación del servidor: ocultar el botón en la interfaz no impide que alguien envíe una solicitud directamente.</w:t>
      </w:r>
    </w:p>
    <w:p>
      <w:r>
        <w:t>Otro escenario aparece cuando se revoca la asistencia después de una consulta válida de recursos. La siguiente descarga debe volver a comprobar las condiciones de acceso. Una autorización previa no debería ignorar un cambio posterior en la acreditación.</w:t>
      </w:r>
    </w:p>
    <w:p>
      <w:pPr>
        <w:pStyle w:val="Heading2"/>
      </w:pPr>
      <w:r>
        <w:t>Modificabilidad</w:t>
      </w:r>
    </w:p>
    <w:p>
      <w:r>
        <w:t>Surge la necesidad de corregir datos personales durante la acreditación. El cambio debe actualizar esos datos y preservar asistencia, origen y cupo. Podemos evaluar la modificación por las responsabilidades afectadas y por pruebas que comprueben que los estados ajenos a la corrección no cambian.</w:t>
      </w:r>
    </w:p>
    <w:p>
      <w:r>
        <w:t>Si la necesidad fuera sustituir PocketBase, el impacto sería mayor. Los servicios utilizan directamente su SDK, de modo que habría que revisar las consultas y los tipos asociados. Esta observación permite medir el acoplamiento en un escenario concreto.</w:t>
      </w:r>
    </w:p>
    <w:p>
      <w:pPr>
        <w:pStyle w:val="Heading2"/>
      </w:pPr>
      <w:r>
        <w:t>Disponibilidad y recuperación</w:t>
      </w:r>
    </w:p>
    <w:p>
      <w:r>
        <w:t>PocketBase puede quedar temporalmente inaccesible o una comunicación puede interrumpirse. La aplicación necesita distinguir una confirmación de una situación en la que no sabe si la operación terminó. El tratamiento de errores, la unicidad y los reintentos deben analizarse juntos para evitar confirmaciones engañosas o duplicados.</w:t>
      </w:r>
    </w:p>
    <w:p>
      <w:r>
        <w:t>El respaldo y la restauración atienden otro escenario: recuperar información después de perder una instancia o su almacenamiento. La existencia de instrucciones de recuperación no demuestra que la restauración haya sido ensayada; ese resultado requiere una comprobación operativa.</w:t>
      </w:r>
    </w:p>
    <w:p>
      <w:pPr>
        <w:pStyle w:val="Heading2"/>
      </w:pPr>
      <w:r>
        <w:t>Rendimiento y criterios medibles</w:t>
      </w:r>
    </w:p>
    <w:p>
      <w:r>
        <w:t>La búsqueda de participantes y la generación de certificados tienen cargas diferentes. Para fijar objetivos de rendimiento necesitamos acordar volumen, concurrencia y tiempos aceptables con los interesados. No podemos deducir una capacidad máxima a partir del framework elegido ni de la cantidad de archivos del proyecto.</w:t>
      </w:r>
    </w:p>
    <w:p>
      <w:r>
        <w:br w:type="page"/>
      </w:r>
    </w:p>
    <w:p>
      <w:pPr>
        <w:pStyle w:val="Heading1"/>
      </w:pPr>
      <w:r>
        <w:t>Alcance y restricciones de la solución</w:t>
      </w:r>
    </w:p>
    <w:p>
      <w:r>
        <w:t>Las restricciones delimitan el espacio de soluciones posibles. Algunas provienen del entorno existente; otras son decisiones del producto. Reconocer su origen ayuda a distinguir lo que podía elegirse libremente de lo que ya estaba establecido.</w:t>
      </w:r>
    </w:p>
    <w:p>
      <w:pPr>
        <w:pStyle w:val="Heading2"/>
      </w:pPr>
      <w:r>
        <w:t>Condiciones del contexto inicial</w:t>
      </w:r>
    </w:p>
    <w:p>
      <w:r>
        <w:t>El documento de diseño inicial describe un proyecto Next.js con App Router y Tailwind CSS, y una instancia de PocketBase disponible en un VPS. PocketBase debía utilizarse para autenticación administrativa, registros y archivos. Por lo tanto, la persistencia no se eligió a partir de una comparación abierta entre todas las tecnologías posibles.</w:t>
      </w:r>
    </w:p>
    <w:p>
      <w:r>
        <w:t>También se estableció que las reglas de negocio debían permanecer en Next.js y que el navegador no debía acceder directamente a PocketBase. Esta frontera concentra en el servidor las operaciones y sus controles, y condiciona la forma de implementar formularios, consultas y descargas.</w:t>
      </w:r>
    </w:p>
    <w:p>
      <w:pPr>
        <w:pStyle w:val="Heading2"/>
      </w:pPr>
      <w:r>
        <w:t>Capacidades incluidas y límites del producto</w:t>
      </w:r>
    </w:p>
    <w:p>
      <w:r>
        <w:t>El alcance inicial comprendía administración de eventos, inscripción pública, acreditación, certificados y reportes. Las especificaciones posteriores incorporaron materiales para asistentes y edición de datos durante la acreditación. La solución actual también administra tipos de eventos y perfiles reutilizables de disertantes.</w:t>
      </w:r>
    </w:p>
    <w:p>
      <w:r>
        <w:t>La inscripción no exige crear una cuenta de asistente. La entrega de certificados no depende de un proveedor de correo. La primera versión no planteó una lista de espera, una pasarela de pagos ni varios roles administrativos. Informar que un evento es arancelado no equivale a implementar cobros en línea.</w:t>
      </w:r>
    </w:p>
    <w:p>
      <w:pPr>
        <w:pStyle w:val="Heading2"/>
      </w:pPr>
      <w:r>
        <w:t>Restricciones que afectan la operación</w:t>
      </w:r>
    </w:p>
    <w:p>
      <w:r>
        <w:t>Las credenciales y los secretos deben permanecer en el servidor. Las operaciones normales utilizan una cuenta técnica de PocketBase, mientras que el aprovisionamiento requiere permisos administrativos. La creación de colecciones, reglas e índices se expresa en scripts para poder preparar y actualizar el entorno de manera reproducible.</w:t>
      </w:r>
    </w:p>
    <w:p>
      <w:r>
        <w:t>Esta separación también tiene consecuencias de mantenimiento. El código de una regla de cupo depende de que el índice correspondiente exista en PocketBase. Desplegar la aplicación sin reconciliar el esquema puede dejar incompleta una garantía que parece correcta al leer solamente el servicio.</w:t>
      </w:r>
    </w:p>
    <w:p>
      <w:pPr>
        <w:pStyle w:val="Heading2"/>
      </w:pPr>
      <w:r>
        <w:t>Las preguntas pendientes también importan</w:t>
      </w:r>
    </w:p>
    <w:p>
      <w:r>
        <w:t>Hay aspectos que necesitan acuerdos adicionales para convertirse en compromisos verificables: cuántas inscripciones simultáneas se esperan, cuánto tiempo de indisponibilidad se tolera y cuánto puede tardar un lote de certificados. Registrar estas preguntas evita presentar una suposición técnica como una necesidad validada.</w:t>
      </w:r>
    </w:p>
    <w:p>
      <w:r>
        <w:t>Con las necesidades y restricciones identificadas, podemos interpretar las decisiones de arquitectura como respuestas a un contexto. También podemos reconocer qué cambios de contexto justificarían revisarlas.</w:t>
      </w:r>
    </w:p>
    <w:p>
      <w:r>
        <w:br w:type="page"/>
      </w:r>
    </w:p>
    <w:p>
      <w:pPr>
        <w:pStyle w:val="Heading1"/>
      </w:pPr>
      <w:r>
        <w:t>La estructura general elegida</w:t>
      </w:r>
    </w:p>
    <w:p>
      <w:r>
        <w:t>El diseño establece Next.js como la aplicación que recibe las solicitudes del navegador y coordina las operaciones. PocketBase queda detrás de esa frontera y ofrece autenticación, datos y archivos. La configuración del repositorio construye y ejecuta una única aplicación Next.js.</w:t>
      </w:r>
    </w:p>
    <w:p>
      <w:pPr>
        <w:spacing w:after="60"/>
      </w:pPr>
      <w:r>
        <w:drawing>
          <wp:inline xmlns:a="http://schemas.openxmlformats.org/drawingml/2006/main" xmlns:pic="http://schemas.openxmlformats.org/drawingml/2006/picture">
            <wp:extent cx="6120000" cy="2371500"/>
            <wp:docPr id="1" name="Picture 1" descr="El navegador envía solicitudes a Next.js y Next.js utiliza la API de PocketBase. La aplicación Next.js se despliega como una unidad y PocketBase se ejecuta por separado."/>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6120000" cy="2371500"/>
                    </a:xfrm>
                    <a:prstGeom prst="rect"/>
                  </pic:spPr>
                </pic:pic>
              </a:graphicData>
            </a:graphic>
          </wp:inline>
        </w:drawing>
      </w:r>
    </w:p>
    <w:p>
      <w:pPr>
        <w:pStyle w:val="Caption"/>
      </w:pPr>
      <w:r>
        <w:t>Figura 1. Frontera entre navegador, aplicación y servicio externo de datos.</w:t>
      </w:r>
    </w:p>
    <w:p>
      <w:pPr>
        <w:pStyle w:val="Heading2"/>
      </w:pPr>
      <w:r>
        <w:t>Por qué hablamos de un monolito</w:t>
      </w:r>
    </w:p>
    <w:p>
      <w:r>
        <w:t>Un monolito de aplicación reúne sus funcionalidades en una unidad de construcción y despliegue. En este caso, el catálogo, el panel, las inscripciones y los certificados forman parte de esa misma unidad. La existencia de PocketBase como servicio externo no convierte cada funcionalidad en un microservicio.</w:t>
      </w:r>
    </w:p>
    <w:p>
      <w:r>
        <w:t>Esta organización permite compartir reglas y coordinar cambios dentro del mismo proyecto. También implica que esas funcionalidades se publican conjuntamente y que una carga intensa dentro del servidor puede competir por recursos con otras operaciones. Son consecuencias que deben evaluarse según las necesidades reales.</w:t>
      </w:r>
    </w:p>
    <w:p>
      <w:pPr>
        <w:pStyle w:val="Heading2"/>
      </w:pPr>
      <w:r>
        <w:t>Alternativas y decisiones documentadas</w:t>
      </w:r>
    </w:p>
    <w:p>
      <w:r>
        <w:t>El diseño original consideró y descartó el acceso directo a PocketBase desde el navegador porque contradecía la frontera acordada y distribuiría controles entre más puntos. También descartó compartir un cliente global autenticado como superusuario por el estado mutable compartido y los privilegios excesivos.</w:t>
      </w:r>
    </w:p>
    <w:p>
      <w:r>
        <w:t>La decisión de mantener una única capa de aplicación resulta compatible con el alcance y las restricciones iniciales. No significa que esta estructura sea óptima para cualquier volumen futuro: la clasificación describe cómo está organizada la solución y nos permite discutir sus consecuencias.</w:t>
      </w:r>
    </w:p>
    <w:p>
      <w:r>
        <w:br w:type="page"/>
      </w:r>
    </w:p>
    <w:p>
      <w:pPr>
        <w:pStyle w:val="Heading1"/>
      </w:pPr>
      <w:r>
        <w:t>La organización lógica en capas</w:t>
      </w:r>
    </w:p>
    <w:p>
      <w:r>
        <w:t>Las capas agrupan responsabilidades dentro de la aplicación. Una capa no necesita un servidor propio. Podemos desplegar conjuntamente varias capas y, al mismo tiempo, mantener diferencias claras entre presentar información, coordinar operaciones, aplicar reglas y acceder a infraestructura.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2948"/>
        <w:gridCol w:w="4252"/>
      </w:tblGrid>
      <w:tr>
        <w:trPr>
          <w:tblHeader/>
          <w:cantSplit/>
        </w:trPr>
        <w:tc>
          <w:tcPr>
            <w:tcW w:type="dxa" w:w="2438"/>
            <w:vAlign w:val="center"/>
            <w:tcMar>
              <w:top w:w="85" w:type="dxa"/>
              <w:bottom w:w="85" w:type="dxa"/>
              <w:left w:w="110" w:type="dxa"/>
              <w:right w:w="110" w:type="dxa"/>
            </w:tcMar>
            <w:shd w:fill="DFEAF2"/>
          </w:tcPr>
          <w:p>
            <w:pPr>
              <w:spacing w:after="40" w:line="245" w:lineRule="auto"/>
            </w:pPr>
            <w:r>
              <w:rPr>
                <w:b/>
                <w:sz w:val="19"/>
              </w:rPr>
              <w:t>Responsabilidad</w:t>
            </w:r>
          </w:p>
        </w:tc>
        <w:tc>
          <w:tcPr>
            <w:tcW w:type="dxa" w:w="2948"/>
            <w:vAlign w:val="center"/>
            <w:tcMar>
              <w:top w:w="85" w:type="dxa"/>
              <w:bottom w:w="85" w:type="dxa"/>
              <w:left w:w="110" w:type="dxa"/>
              <w:right w:w="110" w:type="dxa"/>
            </w:tcMar>
            <w:shd w:fill="DFEAF2"/>
          </w:tcPr>
          <w:p>
            <w:pPr>
              <w:spacing w:after="40" w:line="245" w:lineRule="auto"/>
            </w:pPr>
            <w:r>
              <w:rPr>
                <w:b/>
                <w:sz w:val="19"/>
              </w:rPr>
              <w:t>Ubicación</w:t>
            </w:r>
          </w:p>
        </w:tc>
        <w:tc>
          <w:tcPr>
            <w:tcW w:type="dxa" w:w="4252"/>
            <w:vAlign w:val="center"/>
            <w:tcMar>
              <w:top w:w="85" w:type="dxa"/>
              <w:bottom w:w="85" w:type="dxa"/>
              <w:left w:w="110" w:type="dxa"/>
              <w:right w:w="110" w:type="dxa"/>
            </w:tcMar>
            <w:shd w:fill="DFEAF2"/>
          </w:tcPr>
          <w:p>
            <w:pPr>
              <w:spacing w:after="40" w:line="245" w:lineRule="auto"/>
            </w:pPr>
            <w:r>
              <w:rPr>
                <w:b/>
                <w:sz w:val="19"/>
              </w:rPr>
              <w:t>Función principal</w:t>
            </w:r>
          </w:p>
        </w:tc>
      </w:tr>
      <w:tr>
        <w:trPr>
          <w:cantSplit/>
        </w:trPr>
        <w:tc>
          <w:tcPr>
            <w:tcW w:type="dxa" w:w="2438"/>
            <w:vAlign w:val="center"/>
            <w:tcMar>
              <w:top w:w="85" w:type="dxa"/>
              <w:bottom w:w="85" w:type="dxa"/>
              <w:left w:w="110" w:type="dxa"/>
              <w:right w:w="110" w:type="dxa"/>
            </w:tcMar>
            <w:shd w:fill="FFFFFF"/>
          </w:tcPr>
          <w:p>
            <w:pPr>
              <w:spacing w:after="40" w:line="245" w:lineRule="auto"/>
            </w:pPr>
            <w:r>
              <w:rPr>
                <w:b w:val="0"/>
                <w:sz w:val="19"/>
              </w:rPr>
              <w:t>Presentación</w:t>
            </w:r>
          </w:p>
        </w:tc>
        <w:tc>
          <w:tcPr>
            <w:tcW w:type="dxa" w:w="2948"/>
            <w:vAlign w:val="center"/>
            <w:tcMar>
              <w:top w:w="85" w:type="dxa"/>
              <w:bottom w:w="85" w:type="dxa"/>
              <w:left w:w="110" w:type="dxa"/>
              <w:right w:w="110" w:type="dxa"/>
            </w:tcMar>
            <w:shd w:fill="FFFFFF"/>
          </w:tcPr>
          <w:p>
            <w:pPr>
              <w:spacing w:after="40" w:line="245" w:lineRule="auto"/>
            </w:pPr>
            <w:r>
              <w:rPr>
                <w:b w:val="0"/>
                <w:sz w:val="19"/>
              </w:rPr>
              <w:t>app/ y components/</w:t>
            </w:r>
          </w:p>
        </w:tc>
        <w:tc>
          <w:tcPr>
            <w:tcW w:type="dxa" w:w="4252"/>
            <w:vAlign w:val="center"/>
            <w:tcMar>
              <w:top w:w="85" w:type="dxa"/>
              <w:bottom w:w="85" w:type="dxa"/>
              <w:left w:w="110" w:type="dxa"/>
              <w:right w:w="110" w:type="dxa"/>
            </w:tcMar>
            <w:shd w:fill="FFFFFF"/>
          </w:tcPr>
          <w:p>
            <w:pPr>
              <w:spacing w:after="40" w:line="245" w:lineRule="auto"/>
            </w:pPr>
            <w:r>
              <w:rPr>
                <w:b w:val="0"/>
                <w:sz w:val="19"/>
              </w:rPr>
              <w:t>Mostrar información y recoger datos.</w:t>
            </w:r>
          </w:p>
        </w:tc>
      </w:tr>
      <w:tr>
        <w:trPr>
          <w:cantSplit/>
        </w:trPr>
        <w:tc>
          <w:tcPr>
            <w:tcW w:type="dxa" w:w="2438"/>
            <w:vAlign w:val="center"/>
            <w:tcMar>
              <w:top w:w="85" w:type="dxa"/>
              <w:bottom w:w="85" w:type="dxa"/>
              <w:left w:w="110" w:type="dxa"/>
              <w:right w:w="110" w:type="dxa"/>
            </w:tcMar>
            <w:shd w:fill="F5F7F9"/>
          </w:tcPr>
          <w:p>
            <w:pPr>
              <w:spacing w:after="40" w:line="245" w:lineRule="auto"/>
            </w:pPr>
            <w:r>
              <w:rPr>
                <w:b w:val="0"/>
                <w:sz w:val="19"/>
              </w:rPr>
              <w:t>Entrada al servidor</w:t>
            </w:r>
          </w:p>
        </w:tc>
        <w:tc>
          <w:tcPr>
            <w:tcW w:type="dxa" w:w="2948"/>
            <w:vAlign w:val="center"/>
            <w:tcMar>
              <w:top w:w="85" w:type="dxa"/>
              <w:bottom w:w="85" w:type="dxa"/>
              <w:left w:w="110" w:type="dxa"/>
              <w:right w:w="110" w:type="dxa"/>
            </w:tcMar>
            <w:shd w:fill="F5F7F9"/>
          </w:tcPr>
          <w:p>
            <w:pPr>
              <w:spacing w:after="40" w:line="245" w:lineRule="auto"/>
            </w:pPr>
            <w:r>
              <w:rPr>
                <w:b w:val="0"/>
                <w:sz w:val="19"/>
              </w:rPr>
              <w:t>app/actions/ y app/api/</w:t>
            </w:r>
          </w:p>
        </w:tc>
        <w:tc>
          <w:tcPr>
            <w:tcW w:type="dxa" w:w="4252"/>
            <w:vAlign w:val="center"/>
            <w:tcMar>
              <w:top w:w="85" w:type="dxa"/>
              <w:bottom w:w="85" w:type="dxa"/>
              <w:left w:w="110" w:type="dxa"/>
              <w:right w:w="110" w:type="dxa"/>
            </w:tcMar>
            <w:shd w:fill="F5F7F9"/>
          </w:tcPr>
          <w:p>
            <w:pPr>
              <w:spacing w:after="40" w:line="245" w:lineRule="auto"/>
            </w:pPr>
            <w:r>
              <w:rPr>
                <w:b w:val="0"/>
                <w:sz w:val="19"/>
              </w:rPr>
              <w:t>Recibir solicitudes, validar y comprobar permisos.</w:t>
            </w:r>
          </w:p>
        </w:tc>
      </w:tr>
      <w:tr>
        <w:trPr>
          <w:cantSplit/>
        </w:trPr>
        <w:tc>
          <w:tcPr>
            <w:tcW w:type="dxa" w:w="2438"/>
            <w:vAlign w:val="center"/>
            <w:tcMar>
              <w:top w:w="85" w:type="dxa"/>
              <w:bottom w:w="85" w:type="dxa"/>
              <w:left w:w="110" w:type="dxa"/>
              <w:right w:w="110" w:type="dxa"/>
            </w:tcMar>
            <w:shd w:fill="FFFFFF"/>
          </w:tcPr>
          <w:p>
            <w:pPr>
              <w:spacing w:after="40" w:line="245" w:lineRule="auto"/>
            </w:pPr>
            <w:r>
              <w:rPr>
                <w:b w:val="0"/>
                <w:sz w:val="19"/>
              </w:rPr>
              <w:t>Servicios de aplicación</w:t>
            </w:r>
          </w:p>
        </w:tc>
        <w:tc>
          <w:tcPr>
            <w:tcW w:type="dxa" w:w="2948"/>
            <w:vAlign w:val="center"/>
            <w:tcMar>
              <w:top w:w="85" w:type="dxa"/>
              <w:bottom w:w="85" w:type="dxa"/>
              <w:left w:w="110" w:type="dxa"/>
              <w:right w:w="110" w:type="dxa"/>
            </w:tcMar>
            <w:shd w:fill="FFFFFF"/>
          </w:tcPr>
          <w:p>
            <w:pPr>
              <w:spacing w:after="40" w:line="245" w:lineRule="auto"/>
            </w:pPr>
            <w:r>
              <w:rPr>
                <w:b w:val="0"/>
                <w:sz w:val="19"/>
              </w:rPr>
              <w:t>lib/services/</w:t>
            </w:r>
          </w:p>
        </w:tc>
        <w:tc>
          <w:tcPr>
            <w:tcW w:type="dxa" w:w="4252"/>
            <w:vAlign w:val="center"/>
            <w:tcMar>
              <w:top w:w="85" w:type="dxa"/>
              <w:bottom w:w="85" w:type="dxa"/>
              <w:left w:w="110" w:type="dxa"/>
              <w:right w:w="110" w:type="dxa"/>
            </w:tcMar>
            <w:shd w:fill="FFFFFF"/>
          </w:tcPr>
          <w:p>
            <w:pPr>
              <w:spacing w:after="40" w:line="245" w:lineRule="auto"/>
            </w:pPr>
            <w:r>
              <w:rPr>
                <w:b w:val="0"/>
                <w:sz w:val="19"/>
              </w:rPr>
              <w:t>Coordinar casos de uso y operaciones de datos.</w:t>
            </w:r>
          </w:p>
        </w:tc>
      </w:tr>
      <w:tr>
        <w:trPr>
          <w:cantSplit/>
        </w:trPr>
        <w:tc>
          <w:tcPr>
            <w:tcW w:type="dxa" w:w="2438"/>
            <w:vAlign w:val="center"/>
            <w:tcMar>
              <w:top w:w="85" w:type="dxa"/>
              <w:bottom w:w="85" w:type="dxa"/>
              <w:left w:w="110" w:type="dxa"/>
              <w:right w:w="110" w:type="dxa"/>
            </w:tcMar>
            <w:shd w:fill="F5F7F9"/>
          </w:tcPr>
          <w:p>
            <w:pPr>
              <w:spacing w:after="40" w:line="245" w:lineRule="auto"/>
            </w:pPr>
            <w:r>
              <w:rPr>
                <w:b w:val="0"/>
                <w:sz w:val="19"/>
              </w:rPr>
              <w:t>Dominio</w:t>
            </w:r>
          </w:p>
        </w:tc>
        <w:tc>
          <w:tcPr>
            <w:tcW w:type="dxa" w:w="2948"/>
            <w:vAlign w:val="center"/>
            <w:tcMar>
              <w:top w:w="85" w:type="dxa"/>
              <w:bottom w:w="85" w:type="dxa"/>
              <w:left w:w="110" w:type="dxa"/>
              <w:right w:w="110" w:type="dxa"/>
            </w:tcMar>
            <w:shd w:fill="F5F7F9"/>
          </w:tcPr>
          <w:p>
            <w:pPr>
              <w:spacing w:after="40" w:line="245" w:lineRule="auto"/>
            </w:pPr>
            <w:r>
              <w:rPr>
                <w:b w:val="0"/>
                <w:sz w:val="19"/>
              </w:rPr>
              <w:t>lib/domain/</w:t>
            </w:r>
          </w:p>
        </w:tc>
        <w:tc>
          <w:tcPr>
            <w:tcW w:type="dxa" w:w="4252"/>
            <w:vAlign w:val="center"/>
            <w:tcMar>
              <w:top w:w="85" w:type="dxa"/>
              <w:bottom w:w="85" w:type="dxa"/>
              <w:left w:w="110" w:type="dxa"/>
              <w:right w:w="110" w:type="dxa"/>
            </w:tcMar>
            <w:shd w:fill="F5F7F9"/>
          </w:tcPr>
          <w:p>
            <w:pPr>
              <w:spacing w:after="40" w:line="245" w:lineRule="auto"/>
            </w:pPr>
            <w:r>
              <w:rPr>
                <w:b w:val="0"/>
                <w:sz w:val="19"/>
              </w:rPr>
              <w:t>Expresar modelos, validaciones y reglas.</w:t>
            </w:r>
          </w:p>
        </w:tc>
      </w:tr>
      <w:tr>
        <w:trPr>
          <w:cantSplit/>
        </w:trPr>
        <w:tc>
          <w:tcPr>
            <w:tcW w:type="dxa" w:w="2438"/>
            <w:vAlign w:val="center"/>
            <w:tcMar>
              <w:top w:w="85" w:type="dxa"/>
              <w:bottom w:w="85" w:type="dxa"/>
              <w:left w:w="110" w:type="dxa"/>
              <w:right w:w="110" w:type="dxa"/>
            </w:tcMar>
            <w:shd w:fill="FFFFFF"/>
          </w:tcPr>
          <w:p>
            <w:pPr>
              <w:spacing w:after="40" w:line="245" w:lineRule="auto"/>
            </w:pPr>
            <w:r>
              <w:rPr>
                <w:b w:val="0"/>
                <w:sz w:val="19"/>
              </w:rPr>
              <w:t>Infraestructura</w:t>
            </w:r>
          </w:p>
        </w:tc>
        <w:tc>
          <w:tcPr>
            <w:tcW w:type="dxa" w:w="2948"/>
            <w:vAlign w:val="center"/>
            <w:tcMar>
              <w:top w:w="85" w:type="dxa"/>
              <w:bottom w:w="85" w:type="dxa"/>
              <w:left w:w="110" w:type="dxa"/>
              <w:right w:w="110" w:type="dxa"/>
            </w:tcMar>
            <w:shd w:fill="FFFFFF"/>
          </w:tcPr>
          <w:p>
            <w:pPr>
              <w:spacing w:after="40" w:line="245" w:lineRule="auto"/>
            </w:pPr>
            <w:r>
              <w:rPr>
                <w:b w:val="0"/>
                <w:sz w:val="19"/>
              </w:rPr>
              <w:t>lib/pocketbase/ y lib/auth/</w:t>
            </w:r>
          </w:p>
        </w:tc>
        <w:tc>
          <w:tcPr>
            <w:tcW w:type="dxa" w:w="4252"/>
            <w:vAlign w:val="center"/>
            <w:tcMar>
              <w:top w:w="85" w:type="dxa"/>
              <w:bottom w:w="85" w:type="dxa"/>
              <w:left w:w="110" w:type="dxa"/>
              <w:right w:w="110" w:type="dxa"/>
            </w:tcMar>
            <w:shd w:fill="FFFFFF"/>
          </w:tcPr>
          <w:p>
            <w:pPr>
              <w:spacing w:after="40" w:line="245" w:lineRule="auto"/>
            </w:pPr>
            <w:r>
              <w:rPr>
                <w:b w:val="0"/>
                <w:sz w:val="19"/>
              </w:rPr>
              <w:t>Conectar servicios externos y gestionar sesiones.</w:t>
            </w:r>
          </w:p>
        </w:tc>
      </w:tr>
    </w:tbl>
    <w:p>
      <w:pPr>
        <w:spacing w:after="0"/>
      </w:pPr>
    </w:p>
    <w:p>
      <w:pPr>
        <w:spacing w:after="60"/>
      </w:pPr>
      <w:r>
        <w:drawing>
          <wp:inline xmlns:a="http://schemas.openxmlformats.org/drawingml/2006/main" xmlns:pic="http://schemas.openxmlformats.org/drawingml/2006/picture">
            <wp:extent cx="6120000" cy="2562750"/>
            <wp:docPr id="2" name="Picture 2" descr="En el flujo de escritura, la presentación utiliza entradas del servidor. Estas invocan servicios, que dependen del dominio y de infraestructura."/>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6120000" cy="2562750"/>
                    </a:xfrm>
                    <a:prstGeom prst="rect"/>
                  </pic:spPr>
                </pic:pic>
              </a:graphicData>
            </a:graphic>
          </wp:inline>
        </w:drawing>
      </w:r>
    </w:p>
    <w:p>
      <w:pPr>
        <w:pStyle w:val="Caption"/>
      </w:pPr>
      <w:r>
        <w:t>Figura 2. Dependencias principales de una escritura como la inscripción.</w:t>
      </w:r>
    </w:p>
    <w:p>
      <w:r>
        <w:t>Los servicios utilizan tanto el dominio como la infraestructura. La regla de disponibilidad no consulta PocketBase. Las páginas renderizadas en el servidor pueden llamar directamente a servicios para leer datos; no todas las lecturas atraviesan una acción de formulario.</w:t>
      </w:r>
    </w:p>
    <w:p>
      <w:r>
        <w:t>La separación es real, pero parcial: los servicios conocen el SDK de PocketBase. Además, hay llamadas entre servicios funcionales. La evidencia permite describir un monolito por capas con organización funcional, sin asumir los límites estrictos de una arquitectura hexagonal o de un monolito modular completamente aislado.</w:t>
      </w:r>
    </w:p>
    <w:p>
      <w:r>
        <w:br w:type="page"/>
      </w:r>
    </w:p>
    <w:p>
      <w:pPr>
        <w:pStyle w:val="Heading1"/>
      </w:pPr>
      <w:r>
        <w:t>La trazabilidad entre necesidades y decisiones</w:t>
      </w:r>
    </w:p>
    <w:p>
      <w:r>
        <w:t>La trazabilidad conecta el motivo de una función con el requisito, la decisión y la evidencia que la materializan. Nos permite explicar por qué existe una pieza del sistema y qué deberíamos revisar cuando cambia una necesidad.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685"/>
        <w:gridCol w:w="3231"/>
      </w:tblGrid>
      <w:tr>
        <w:trPr>
          <w:tblHeader/>
          <w:cantSplit/>
        </w:trPr>
        <w:tc>
          <w:tcPr>
            <w:tcW w:type="dxa" w:w="2721"/>
            <w:vAlign w:val="center"/>
            <w:tcMar>
              <w:top w:w="85" w:type="dxa"/>
              <w:bottom w:w="85" w:type="dxa"/>
              <w:left w:w="110" w:type="dxa"/>
              <w:right w:w="110" w:type="dxa"/>
            </w:tcMar>
            <w:shd w:fill="DFEAF2"/>
          </w:tcPr>
          <w:p>
            <w:pPr>
              <w:spacing w:after="40" w:line="245" w:lineRule="auto"/>
            </w:pPr>
            <w:r>
              <w:rPr>
                <w:b/>
                <w:sz w:val="19"/>
              </w:rPr>
              <w:t>Necesidad del interesado</w:t>
            </w:r>
          </w:p>
        </w:tc>
        <w:tc>
          <w:tcPr>
            <w:tcW w:type="dxa" w:w="3685"/>
            <w:vAlign w:val="center"/>
            <w:tcMar>
              <w:top w:w="85" w:type="dxa"/>
              <w:bottom w:w="85" w:type="dxa"/>
              <w:left w:w="110" w:type="dxa"/>
              <w:right w:w="110" w:type="dxa"/>
            </w:tcMar>
            <w:shd w:fill="DFEAF2"/>
          </w:tcPr>
          <w:p>
            <w:pPr>
              <w:spacing w:after="40" w:line="245" w:lineRule="auto"/>
            </w:pPr>
            <w:r>
              <w:rPr>
                <w:b/>
                <w:sz w:val="19"/>
              </w:rPr>
              <w:t>Respuesta arquitectónica</w:t>
            </w:r>
          </w:p>
        </w:tc>
        <w:tc>
          <w:tcPr>
            <w:tcW w:type="dxa" w:w="3231"/>
            <w:vAlign w:val="center"/>
            <w:tcMar>
              <w:top w:w="85" w:type="dxa"/>
              <w:bottom w:w="85" w:type="dxa"/>
              <w:left w:w="110" w:type="dxa"/>
              <w:right w:w="110" w:type="dxa"/>
            </w:tcMar>
            <w:shd w:fill="DFEAF2"/>
          </w:tcPr>
          <w:p>
            <w:pPr>
              <w:spacing w:after="40" w:line="245" w:lineRule="auto"/>
            </w:pPr>
            <w:r>
              <w:rPr>
                <w:b/>
                <w:sz w:val="19"/>
              </w:rPr>
              <w:t>Evidencia en el proyecto</w:t>
            </w:r>
          </w:p>
        </w:tc>
      </w:tr>
      <w:tr>
        <w:trPr>
          <w:cantSplit/>
        </w:trPr>
        <w:tc>
          <w:tcPr>
            <w:tcW w:type="dxa" w:w="2721"/>
            <w:vAlign w:val="center"/>
            <w:tcMar>
              <w:top w:w="85" w:type="dxa"/>
              <w:bottom w:w="85" w:type="dxa"/>
              <w:left w:w="110" w:type="dxa"/>
              <w:right w:w="110" w:type="dxa"/>
            </w:tcMar>
            <w:shd w:fill="FFFFFF"/>
          </w:tcPr>
          <w:p>
            <w:pPr>
              <w:spacing w:after="40" w:line="245" w:lineRule="auto"/>
            </w:pPr>
            <w:r>
              <w:rPr>
                <w:b w:val="0"/>
                <w:sz w:val="19"/>
              </w:rPr>
              <w:t>Inscribirse con pocos pasos.</w:t>
            </w:r>
          </w:p>
        </w:tc>
        <w:tc>
          <w:tcPr>
            <w:tcW w:type="dxa" w:w="3685"/>
            <w:vAlign w:val="center"/>
            <w:tcMar>
              <w:top w:w="85" w:type="dxa"/>
              <w:bottom w:w="85" w:type="dxa"/>
              <w:left w:w="110" w:type="dxa"/>
              <w:right w:w="110" w:type="dxa"/>
            </w:tcMar>
            <w:shd w:fill="FFFFFF"/>
          </w:tcPr>
          <w:p>
            <w:pPr>
              <w:spacing w:after="40" w:line="245" w:lineRule="auto"/>
            </w:pPr>
            <w:r>
              <w:rPr>
                <w:b w:val="0"/>
                <w:sz w:val="19"/>
              </w:rPr>
              <w:t>Formulario público y acción del servidor sin cuenta de asistente.</w:t>
            </w:r>
          </w:p>
        </w:tc>
        <w:tc>
          <w:tcPr>
            <w:tcW w:type="dxa" w:w="3231"/>
            <w:vAlign w:val="center"/>
            <w:tcMar>
              <w:top w:w="85" w:type="dxa"/>
              <w:bottom w:w="85" w:type="dxa"/>
              <w:left w:w="110" w:type="dxa"/>
              <w:right w:w="110" w:type="dxa"/>
            </w:tcMar>
            <w:shd w:fill="FFFFFF"/>
          </w:tcPr>
          <w:p>
            <w:pPr>
              <w:spacing w:after="40" w:line="245" w:lineRule="auto"/>
            </w:pPr>
            <w:r>
              <w:rPr>
                <w:b w:val="0"/>
                <w:sz w:val="19"/>
              </w:rPr>
              <w:t>registration-form.tsx y registerAction.</w:t>
            </w:r>
          </w:p>
        </w:tc>
      </w:tr>
      <w:tr>
        <w:trPr>
          <w:cantSplit/>
        </w:trPr>
        <w:tc>
          <w:tcPr>
            <w:tcW w:type="dxa" w:w="2721"/>
            <w:vAlign w:val="center"/>
            <w:tcMar>
              <w:top w:w="85" w:type="dxa"/>
              <w:bottom w:w="85" w:type="dxa"/>
              <w:left w:w="110" w:type="dxa"/>
              <w:right w:w="110" w:type="dxa"/>
            </w:tcMar>
            <w:shd w:fill="F5F7F9"/>
          </w:tcPr>
          <w:p>
            <w:pPr>
              <w:spacing w:after="40" w:line="245" w:lineRule="auto"/>
            </w:pPr>
            <w:r>
              <w:rPr>
                <w:b w:val="0"/>
                <w:sz w:val="19"/>
              </w:rPr>
              <w:t>Evitar documentos repetidos.</w:t>
            </w:r>
          </w:p>
        </w:tc>
        <w:tc>
          <w:tcPr>
            <w:tcW w:type="dxa" w:w="3685"/>
            <w:vAlign w:val="center"/>
            <w:tcMar>
              <w:top w:w="85" w:type="dxa"/>
              <w:bottom w:w="85" w:type="dxa"/>
              <w:left w:w="110" w:type="dxa"/>
              <w:right w:w="110" w:type="dxa"/>
            </w:tcMar>
            <w:shd w:fill="F5F7F9"/>
          </w:tcPr>
          <w:p>
            <w:pPr>
              <w:spacing w:after="40" w:line="245" w:lineRule="auto"/>
            </w:pPr>
            <w:r>
              <w:rPr>
                <w:b w:val="0"/>
                <w:sz w:val="19"/>
              </w:rPr>
              <w:t>Normalización y unicidad por evento.</w:t>
            </w:r>
          </w:p>
        </w:tc>
        <w:tc>
          <w:tcPr>
            <w:tcW w:type="dxa" w:w="3231"/>
            <w:vAlign w:val="center"/>
            <w:tcMar>
              <w:top w:w="85" w:type="dxa"/>
              <w:bottom w:w="85" w:type="dxa"/>
              <w:left w:w="110" w:type="dxa"/>
              <w:right w:w="110" w:type="dxa"/>
            </w:tcMar>
            <w:shd w:fill="F5F7F9"/>
          </w:tcPr>
          <w:p>
            <w:pPr>
              <w:spacing w:after="40" w:line="245" w:lineRule="auto"/>
            </w:pPr>
            <w:r>
              <w:rPr>
                <w:b w:val="0"/>
                <w:sz w:val="19"/>
              </w:rPr>
              <w:t>lib/domain/models.ts y esquema de inscripciones.</w:t>
            </w:r>
          </w:p>
        </w:tc>
      </w:tr>
      <w:tr>
        <w:trPr>
          <w:cantSplit/>
        </w:trPr>
        <w:tc>
          <w:tcPr>
            <w:tcW w:type="dxa" w:w="2721"/>
            <w:vAlign w:val="center"/>
            <w:tcMar>
              <w:top w:w="85" w:type="dxa"/>
              <w:bottom w:w="85" w:type="dxa"/>
              <w:left w:w="110" w:type="dxa"/>
              <w:right w:w="110" w:type="dxa"/>
            </w:tcMar>
            <w:shd w:fill="FFFFFF"/>
          </w:tcPr>
          <w:p>
            <w:pPr>
              <w:spacing w:after="40" w:line="245" w:lineRule="auto"/>
            </w:pPr>
            <w:r>
              <w:rPr>
                <w:b w:val="0"/>
                <w:sz w:val="19"/>
              </w:rPr>
              <w:t>Respetar el cupo concurrente.</w:t>
            </w:r>
          </w:p>
        </w:tc>
        <w:tc>
          <w:tcPr>
            <w:tcW w:type="dxa" w:w="3685"/>
            <w:vAlign w:val="center"/>
            <w:tcMar>
              <w:top w:w="85" w:type="dxa"/>
              <w:bottom w:w="85" w:type="dxa"/>
              <w:left w:w="110" w:type="dxa"/>
              <w:right w:w="110" w:type="dxa"/>
            </w:tcMar>
            <w:shd w:fill="FFFFFF"/>
          </w:tcPr>
          <w:p>
            <w:pPr>
              <w:spacing w:after="40" w:line="245" w:lineRule="auto"/>
            </w:pPr>
            <w:r>
              <w:rPr>
                <w:b w:val="0"/>
                <w:sz w:val="19"/>
              </w:rPr>
              <w:t>Número de cupo, índice único y reintentos.</w:t>
            </w:r>
          </w:p>
        </w:tc>
        <w:tc>
          <w:tcPr>
            <w:tcW w:type="dxa" w:w="3231"/>
            <w:vAlign w:val="center"/>
            <w:tcMar>
              <w:top w:w="85" w:type="dxa"/>
              <w:bottom w:w="85" w:type="dxa"/>
              <w:left w:w="110" w:type="dxa"/>
              <w:right w:w="110" w:type="dxa"/>
            </w:tcMar>
            <w:shd w:fill="FFFFFF"/>
          </w:tcPr>
          <w:p>
            <w:pPr>
              <w:spacing w:after="40" w:line="245" w:lineRule="auto"/>
            </w:pPr>
            <w:r>
              <w:rPr>
                <w:b w:val="0"/>
                <w:sz w:val="19"/>
              </w:rPr>
              <w:t>registerPublic y lib/pocketbase/schema.ts.</w:t>
            </w:r>
          </w:p>
        </w:tc>
      </w:tr>
      <w:tr>
        <w:trPr>
          <w:cantSplit/>
        </w:trPr>
        <w:tc>
          <w:tcPr>
            <w:tcW w:type="dxa" w:w="2721"/>
            <w:vAlign w:val="center"/>
            <w:tcMar>
              <w:top w:w="85" w:type="dxa"/>
              <w:bottom w:w="85" w:type="dxa"/>
              <w:left w:w="110" w:type="dxa"/>
              <w:right w:w="110" w:type="dxa"/>
            </w:tcMar>
            <w:shd w:fill="F5F7F9"/>
          </w:tcPr>
          <w:p>
            <w:pPr>
              <w:spacing w:after="40" w:line="245" w:lineRule="auto"/>
            </w:pPr>
            <w:r>
              <w:rPr>
                <w:b w:val="0"/>
                <w:sz w:val="19"/>
              </w:rPr>
              <w:t>Corregir datos sin perder asistencia.</w:t>
            </w:r>
          </w:p>
        </w:tc>
        <w:tc>
          <w:tcPr>
            <w:tcW w:type="dxa" w:w="3685"/>
            <w:vAlign w:val="center"/>
            <w:tcMar>
              <w:top w:w="85" w:type="dxa"/>
              <w:bottom w:w="85" w:type="dxa"/>
              <w:left w:w="110" w:type="dxa"/>
              <w:right w:w="110" w:type="dxa"/>
            </w:tcMar>
            <w:shd w:fill="F5F7F9"/>
          </w:tcPr>
          <w:p>
            <w:pPr>
              <w:spacing w:after="40" w:line="245" w:lineRule="auto"/>
            </w:pPr>
            <w:r>
              <w:rPr>
                <w:b w:val="0"/>
                <w:sz w:val="19"/>
              </w:rPr>
              <w:t>Servicio de edición que conserva estados ajenos al cambio.</w:t>
            </w:r>
          </w:p>
        </w:tc>
        <w:tc>
          <w:tcPr>
            <w:tcW w:type="dxa" w:w="3231"/>
            <w:vAlign w:val="center"/>
            <w:tcMar>
              <w:top w:w="85" w:type="dxa"/>
              <w:bottom w:w="85" w:type="dxa"/>
              <w:left w:w="110" w:type="dxa"/>
              <w:right w:w="110" w:type="dxa"/>
            </w:tcMar>
            <w:shd w:fill="F5F7F9"/>
          </w:tcPr>
          <w:p>
            <w:pPr>
              <w:spacing w:after="40" w:line="245" w:lineRule="auto"/>
            </w:pPr>
            <w:r>
              <w:rPr>
                <w:b w:val="0"/>
                <w:sz w:val="19"/>
              </w:rPr>
              <w:t>updateRegistration y sus pruebas.</w:t>
            </w:r>
          </w:p>
        </w:tc>
      </w:tr>
      <w:tr>
        <w:trPr>
          <w:cantSplit/>
        </w:trPr>
        <w:tc>
          <w:tcPr>
            <w:tcW w:type="dxa" w:w="2721"/>
            <w:vAlign w:val="center"/>
            <w:tcMar>
              <w:top w:w="85" w:type="dxa"/>
              <w:bottom w:w="85" w:type="dxa"/>
              <w:left w:w="110" w:type="dxa"/>
              <w:right w:w="110" w:type="dxa"/>
            </w:tcMar>
            <w:shd w:fill="FFFFFF"/>
          </w:tcPr>
          <w:p>
            <w:pPr>
              <w:spacing w:after="40" w:line="245" w:lineRule="auto"/>
            </w:pPr>
            <w:r>
              <w:rPr>
                <w:b w:val="0"/>
                <w:sz w:val="19"/>
              </w:rPr>
              <w:t>Conocer responsables de cambios.</w:t>
            </w:r>
          </w:p>
        </w:tc>
        <w:tc>
          <w:tcPr>
            <w:tcW w:type="dxa" w:w="3685"/>
            <w:vAlign w:val="center"/>
            <w:tcMar>
              <w:top w:w="85" w:type="dxa"/>
              <w:bottom w:w="85" w:type="dxa"/>
              <w:left w:w="110" w:type="dxa"/>
              <w:right w:w="110" w:type="dxa"/>
            </w:tcMar>
            <w:shd w:fill="FFFFFF"/>
          </w:tcPr>
          <w:p>
            <w:pPr>
              <w:spacing w:after="40" w:line="245" w:lineRule="auto"/>
            </w:pPr>
            <w:r>
              <w:rPr>
                <w:b w:val="0"/>
                <w:sz w:val="19"/>
              </w:rPr>
              <w:t>Registro de auditoría asociado a operaciones sensibles.</w:t>
            </w:r>
          </w:p>
        </w:tc>
        <w:tc>
          <w:tcPr>
            <w:tcW w:type="dxa" w:w="3231"/>
            <w:vAlign w:val="center"/>
            <w:tcMar>
              <w:top w:w="85" w:type="dxa"/>
              <w:bottom w:w="85" w:type="dxa"/>
              <w:left w:w="110" w:type="dxa"/>
              <w:right w:w="110" w:type="dxa"/>
            </w:tcMar>
            <w:shd w:fill="FFFFFF"/>
          </w:tcPr>
          <w:p>
            <w:pPr>
              <w:spacing w:after="40" w:line="245" w:lineRule="auto"/>
            </w:pPr>
            <w:r>
              <w:rPr>
                <w:b w:val="0"/>
                <w:sz w:val="19"/>
              </w:rPr>
              <w:t>lib/services/audit.ts y llamadas desde servicios.</w:t>
            </w:r>
          </w:p>
        </w:tc>
      </w:tr>
      <w:tr>
        <w:trPr>
          <w:cantSplit/>
        </w:trPr>
        <w:tc>
          <w:tcPr>
            <w:tcW w:type="dxa" w:w="2721"/>
            <w:vAlign w:val="center"/>
            <w:tcMar>
              <w:top w:w="85" w:type="dxa"/>
              <w:bottom w:w="85" w:type="dxa"/>
              <w:left w:w="110" w:type="dxa"/>
              <w:right w:w="110" w:type="dxa"/>
            </w:tcMar>
            <w:shd w:fill="F5F7F9"/>
          </w:tcPr>
          <w:p>
            <w:pPr>
              <w:spacing w:after="40" w:line="245" w:lineRule="auto"/>
            </w:pPr>
            <w:r>
              <w:rPr>
                <w:b w:val="0"/>
                <w:sz w:val="19"/>
              </w:rPr>
              <w:t>Entregar materiales a acreditados.</w:t>
            </w:r>
          </w:p>
        </w:tc>
        <w:tc>
          <w:tcPr>
            <w:tcW w:type="dxa" w:w="3685"/>
            <w:vAlign w:val="center"/>
            <w:tcMar>
              <w:top w:w="85" w:type="dxa"/>
              <w:bottom w:w="85" w:type="dxa"/>
              <w:left w:w="110" w:type="dxa"/>
              <w:right w:w="110" w:type="dxa"/>
            </w:tcMar>
            <w:shd w:fill="F5F7F9"/>
          </w:tcPr>
          <w:p>
            <w:pPr>
              <w:spacing w:after="40" w:line="245" w:lineRule="auto"/>
            </w:pPr>
            <w:r>
              <w:rPr>
                <w:b w:val="0"/>
                <w:sz w:val="19"/>
              </w:rPr>
              <w:t>Autorización temporal y comprobación en cada descarga.</w:t>
            </w:r>
          </w:p>
        </w:tc>
        <w:tc>
          <w:tcPr>
            <w:tcW w:type="dxa" w:w="3231"/>
            <w:vAlign w:val="center"/>
            <w:tcMar>
              <w:top w:w="85" w:type="dxa"/>
              <w:bottom w:w="85" w:type="dxa"/>
              <w:left w:w="110" w:type="dxa"/>
              <w:right w:w="110" w:type="dxa"/>
            </w:tcMar>
            <w:shd w:fill="F5F7F9"/>
          </w:tcPr>
          <w:p>
            <w:pPr>
              <w:spacing w:after="40" w:line="245" w:lineRule="auto"/>
            </w:pPr>
            <w:r>
              <w:rPr>
                <w:b w:val="0"/>
                <w:sz w:val="19"/>
              </w:rPr>
              <w:t>participant-resources.ts y materials.ts.</w:t>
            </w:r>
          </w:p>
        </w:tc>
      </w:tr>
      <w:tr>
        <w:trPr>
          <w:cantSplit/>
        </w:trPr>
        <w:tc>
          <w:tcPr>
            <w:tcW w:type="dxa" w:w="2721"/>
            <w:vAlign w:val="center"/>
            <w:tcMar>
              <w:top w:w="85" w:type="dxa"/>
              <w:bottom w:w="85" w:type="dxa"/>
              <w:left w:w="110" w:type="dxa"/>
              <w:right w:w="110" w:type="dxa"/>
            </w:tcMar>
            <w:shd w:fill="FFFFFF"/>
          </w:tcPr>
          <w:p>
            <w:pPr>
              <w:spacing w:after="40" w:line="245" w:lineRule="auto"/>
            </w:pPr>
            <w:r>
              <w:rPr>
                <w:b w:val="0"/>
                <w:sz w:val="19"/>
              </w:rPr>
              <w:t>Administrar de forma privada.</w:t>
            </w:r>
          </w:p>
        </w:tc>
        <w:tc>
          <w:tcPr>
            <w:tcW w:type="dxa" w:w="3685"/>
            <w:vAlign w:val="center"/>
            <w:tcMar>
              <w:top w:w="85" w:type="dxa"/>
              <w:bottom w:w="85" w:type="dxa"/>
              <w:left w:w="110" w:type="dxa"/>
              <w:right w:w="110" w:type="dxa"/>
            </w:tcMar>
            <w:shd w:fill="FFFFFF"/>
          </w:tcPr>
          <w:p>
            <w:pPr>
              <w:spacing w:after="40" w:line="245" w:lineRule="auto"/>
            </w:pPr>
            <w:r>
              <w:rPr>
                <w:b w:val="0"/>
                <w:sz w:val="19"/>
              </w:rPr>
              <w:t>Sesión y autorización en operaciones protegidas.</w:t>
            </w:r>
          </w:p>
        </w:tc>
        <w:tc>
          <w:tcPr>
            <w:tcW w:type="dxa" w:w="3231"/>
            <w:vAlign w:val="center"/>
            <w:tcMar>
              <w:top w:w="85" w:type="dxa"/>
              <w:bottom w:w="85" w:type="dxa"/>
              <w:left w:w="110" w:type="dxa"/>
              <w:right w:w="110" w:type="dxa"/>
            </w:tcMar>
            <w:shd w:fill="FFFFFF"/>
          </w:tcPr>
          <w:p>
            <w:pPr>
              <w:spacing w:after="40" w:line="245" w:lineRule="auto"/>
            </w:pPr>
            <w:r>
              <w:rPr>
                <w:b w:val="0"/>
                <w:sz w:val="19"/>
              </w:rPr>
              <w:t>lib/auth/session.ts y entradas administrativas.</w:t>
            </w:r>
          </w:p>
        </w:tc>
      </w:tr>
      <w:tr>
        <w:trPr>
          <w:cantSplit/>
        </w:trPr>
        <w:tc>
          <w:tcPr>
            <w:tcW w:type="dxa" w:w="2721"/>
            <w:vAlign w:val="center"/>
            <w:tcMar>
              <w:top w:w="85" w:type="dxa"/>
              <w:bottom w:w="85" w:type="dxa"/>
              <w:left w:w="110" w:type="dxa"/>
              <w:right w:w="110" w:type="dxa"/>
            </w:tcMar>
            <w:shd w:fill="F5F7F9"/>
          </w:tcPr>
          <w:p>
            <w:pPr>
              <w:spacing w:after="40" w:line="245" w:lineRule="auto"/>
            </w:pPr>
            <w:r>
              <w:rPr>
                <w:b w:val="0"/>
                <w:sz w:val="19"/>
              </w:rPr>
              <w:t>Preparar el entorno de forma repetible.</w:t>
            </w:r>
          </w:p>
        </w:tc>
        <w:tc>
          <w:tcPr>
            <w:tcW w:type="dxa" w:w="3685"/>
            <w:vAlign w:val="center"/>
            <w:tcMar>
              <w:top w:w="85" w:type="dxa"/>
              <w:bottom w:w="85" w:type="dxa"/>
              <w:left w:w="110" w:type="dxa"/>
              <w:right w:w="110" w:type="dxa"/>
            </w:tcMar>
            <w:shd w:fill="F5F7F9"/>
          </w:tcPr>
          <w:p>
            <w:pPr>
              <w:spacing w:after="40" w:line="245" w:lineRule="auto"/>
            </w:pPr>
            <w:r>
              <w:rPr>
                <w:b w:val="0"/>
                <w:sz w:val="19"/>
              </w:rPr>
              <w:t>Esquema y scripts de aprovisionamiento.</w:t>
            </w:r>
          </w:p>
        </w:tc>
        <w:tc>
          <w:tcPr>
            <w:tcW w:type="dxa" w:w="3231"/>
            <w:vAlign w:val="center"/>
            <w:tcMar>
              <w:top w:w="85" w:type="dxa"/>
              <w:bottom w:w="85" w:type="dxa"/>
              <w:left w:w="110" w:type="dxa"/>
              <w:right w:w="110" w:type="dxa"/>
            </w:tcMar>
            <w:shd w:fill="F5F7F9"/>
          </w:tcPr>
          <w:p>
            <w:pPr>
              <w:spacing w:after="40" w:line="245" w:lineRule="auto"/>
            </w:pPr>
            <w:r>
              <w:rPr>
                <w:b w:val="0"/>
                <w:sz w:val="19"/>
              </w:rPr>
              <w:t>lib/pocketbase/schema.ts y scripts/.</w:t>
            </w:r>
          </w:p>
        </w:tc>
      </w:tr>
    </w:tbl>
    <w:p>
      <w:pPr>
        <w:spacing w:after="0"/>
      </w:pPr>
    </w:p>
    <w:p>
      <w:pPr>
        <w:pStyle w:val="Heading2"/>
      </w:pPr>
      <w:r>
        <w:t>La relación no siempre es uno a uno</w:t>
      </w:r>
    </w:p>
    <w:p>
      <w:r>
        <w:t>Una necesidad puede requerir varias decisiones. Respetar el cupo requiere una regla, consultas, una restricción de datos y una respuesta apropiada ante colisiones. A la vez, una decisión puede atender varias necesidades: centralizar operaciones en el servidor contribuye al control de acceso, a la validación y a mantener secretos fuera del navegador.</w:t>
      </w:r>
    </w:p>
    <w:p>
      <w:pPr>
        <w:pStyle w:val="Heading2"/>
      </w:pPr>
      <w:r>
        <w:t>Qué cambia cuando cambia la necesidad</w:t>
      </w:r>
    </w:p>
    <w:p>
      <w:r>
        <w:t>Si la institución pidiera que el documento solo pudiera inscribirse una vez en toda la plataforma, cambiaría una regla fundamental. No bastaría con editar el mensaje de error: habría que revisar consultas, índices, pruebas y consecuencias sobre las personas que participan en varios eventos.</w:t>
      </w:r>
    </w:p>
    <w:p>
      <w:r>
        <w:t>La trazabilidad hace visible ese impacto. También evita evaluar la arquitectura únicamente por su apariencia: una carpeta o una flecha adquiere sentido cuando podemos explicar qué necesidad atiende y qué condición protege.</w:t>
      </w:r>
    </w:p>
    <w:p>
      <w:r>
        <w:br w:type="page"/>
      </w:r>
    </w:p>
    <w:p>
      <w:pPr>
        <w:pStyle w:val="Heading1"/>
      </w:pPr>
      <w:r>
        <w:t>El recorrido de una inscripción</w:t>
      </w:r>
    </w:p>
    <w:p>
      <w:r>
        <w:t>Sigamos a una persona que completa el formulario de un evento disponible. El formulario recoge sus datos y muestra el resultado, pero la decisión de confirmar pertenece al servidor. Esta ubicación permite aplicar las reglas aunque alguien envíe una solicitud sin usar la interfaz prevista.</w:t>
      </w:r>
    </w:p>
    <w:p>
      <w:pPr>
        <w:pStyle w:val="Heading2"/>
      </w:pPr>
      <w:r>
        <w:t>De la entrada al caso de uso</w:t>
      </w:r>
    </w:p>
    <w:p>
      <w:r>
        <w:t>RegistrationForm, en components/registration-form.tsx, conecta el formulario con registerAction. La acción, en app/actions/registrations.ts, valida los datos recibidos, localiza el evento e invoca registerPublic. También convierte el resultado o el error en una respuesta adecuada para la interfaz.</w:t>
      </w:r>
    </w:p>
    <w:p>
      <w:r>
        <w:t>El servicio registerPublic, en lib/services/registrations.ts, normaliza el documento, comprueba si ya existe una inscripción y coordina la reserva del lugar. Para hacerlo consulta el estado persistido, utiliza las reglas de disponibilidad y guarda el nuevo registro cuando corresponde.</w:t>
      </w:r>
    </w:p>
    <w:p>
      <w:pPr>
        <w:pStyle w:val="Heading2"/>
      </w:pPr>
      <w:r>
        <w:t>La regla y la infraestructura</w:t>
      </w:r>
    </w:p>
    <w:p>
      <w:r>
        <w:t>getRegistrationAvailability, en lib/domain/events.ts, recibe datos del evento, cantidad de inscripciones y una fecha. Con esos valores determina si la inscripción está disponible, cerrada, completa o finalizada. nextPublicSlot calcula el siguiente número de cupo sin superar el máximo recibido.</w:t>
      </w:r>
    </w:p>
    <w:p>
      <w:r>
        <w:t>createServicePocketBase, en lib/pocketbase/client.ts, crea y autentica el cliente de datos con la cuenta técnica. El servicio usa ese cliente mediante el SDK de PocketBase. El dominio y la conexión cumplen responsabilidades diferentes, aunque participen de la misma operación.</w:t>
      </w:r>
    </w:p>
    <w:p>
      <w:pPr>
        <w:pStyle w:val="Heading2"/>
      </w:pPr>
      <w:r>
        <w:t>La coordinación resumida</w:t>
      </w:r>
    </w:p>
    <w:p>
      <w:r>
        <w:t>Este pseudocódigo resume el recorrido; las validaciones de entrada pertenecen a la acción y la reserva al servicio.</w:t>
      </w:r>
    </w:p>
    <w:p>
      <w:pPr>
        <w:pStyle w:val="Código"/>
        <w:keepNext/>
      </w:pPr>
      <w:r>
        <w:t>validar datos y localizar el evento</w:t>
      </w:r>
    </w:p>
    <w:p>
      <w:pPr>
        <w:pStyle w:val="Código"/>
        <w:keepNext/>
      </w:pPr>
      <w:r>
        <w:t>comprobar si el documento ya está inscripto</w:t>
      </w:r>
    </w:p>
    <w:p>
      <w:pPr>
        <w:pStyle w:val="Código"/>
        <w:keepNext/>
      </w:pPr>
      <w:r>
        <w:t>hasta cuatro intentos:</w:t>
      </w:r>
    </w:p>
    <w:p>
      <w:pPr>
        <w:pStyle w:val="Código"/>
        <w:keepNext/>
      </w:pPr>
      <w:r>
        <w:t xml:space="preserve">    consultar cantidad y números de cupo</w:t>
      </w:r>
    </w:p>
    <w:p>
      <w:pPr>
        <w:pStyle w:val="Código"/>
        <w:keepNext/>
      </w:pPr>
      <w:r>
        <w:t xml:space="preserve">    evaluar disponibilidad y elegir un lugar</w:t>
      </w:r>
    </w:p>
    <w:p>
      <w:pPr>
        <w:pStyle w:val="Código"/>
        <w:keepNext/>
      </w:pPr>
      <w:r>
        <w:t xml:space="preserve">    intentar persistir la inscripción</w:t>
      </w:r>
    </w:p>
    <w:p>
      <w:pPr>
        <w:pStyle w:val="Código"/>
        <w:keepNext/>
      </w:pPr>
      <w:r>
        <w:t xml:space="preserve">    ante una colisión, volver a comprobar y reintentar</w:t>
      </w:r>
    </w:p>
    <w:p>
      <w:pPr>
        <w:pStyle w:val="Código"/>
        <w:keepNext w:val="0"/>
      </w:pPr>
      <w:r>
        <w:t>devolver una confirmación o un error</w:t>
      </w:r>
    </w:p>
    <w:p>
      <w:pPr>
        <w:pStyle w:val="Heading2"/>
      </w:pPr>
      <w:r>
        <w:t>Separación de responsabilidades y pruebas</w:t>
      </w:r>
    </w:p>
    <w:p>
      <w:r>
        <w:t>Podemos probar la regla de disponibilidad sin levantar un navegador ni consultar PocketBase. Para probar el servicio necesitamos controlar sus dependencias o utilizar un entorno de integración. El repositorio contiene ejemplos de ambos tipos de comprobación.</w:t>
      </w:r>
    </w:p>
    <w:p>
      <w:r>
        <w:t>Si cambia la redacción del mensaje de confirmación, el impacto se concentra en la respuesta de la acción. Si cambia la regla de cupos, revisamos el dominio y su coordinación. Si cambia la persistencia, debemos revisar también los servicios porque conocen directamente su SDK.</w:t>
      </w:r>
    </w:p>
    <w:p>
      <w:r>
        <w:br w:type="page"/>
      </w:r>
    </w:p>
    <w:p>
      <w:pPr>
        <w:pStyle w:val="Heading1"/>
      </w:pPr>
      <w:r>
        <w:t>El último lugar y la concurrencia</w:t>
      </w:r>
    </w:p>
    <w:p>
      <w:r>
        <w:t>Supongamos que un evento tiene cupo de 100 y ya recibió 99 inscripciones públicas. Dos solicitudes pueden leer esa misma cantidad antes de que alguna guarde un nuevo registro. Por lo tanto, contar y luego insertar no alcanza para proteger el último lugar.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337"/>
        <w:gridCol w:w="4337"/>
      </w:tblGrid>
      <w:tr>
        <w:trPr>
          <w:tblHeader/>
          <w:cantSplit/>
        </w:trPr>
        <w:tc>
          <w:tcPr>
            <w:tcW w:type="dxa" w:w="964"/>
            <w:vAlign w:val="center"/>
            <w:tcMar>
              <w:top w:w="85" w:type="dxa"/>
              <w:bottom w:w="85" w:type="dxa"/>
              <w:left w:w="110" w:type="dxa"/>
              <w:right w:w="110" w:type="dxa"/>
            </w:tcMar>
            <w:shd w:fill="DFEAF2"/>
          </w:tcPr>
          <w:p>
            <w:pPr>
              <w:spacing w:after="40" w:line="245" w:lineRule="auto"/>
              <w:jc w:val="center"/>
            </w:pPr>
            <w:r>
              <w:rPr>
                <w:b/>
                <w:sz w:val="19"/>
              </w:rPr>
              <w:t>Instante</w:t>
            </w:r>
          </w:p>
        </w:tc>
        <w:tc>
          <w:tcPr>
            <w:tcW w:type="dxa" w:w="4337"/>
            <w:vAlign w:val="center"/>
            <w:tcMar>
              <w:top w:w="85" w:type="dxa"/>
              <w:bottom w:w="85" w:type="dxa"/>
              <w:left w:w="110" w:type="dxa"/>
              <w:right w:w="110" w:type="dxa"/>
            </w:tcMar>
            <w:shd w:fill="DFEAF2"/>
          </w:tcPr>
          <w:p>
            <w:pPr>
              <w:spacing w:after="40" w:line="245" w:lineRule="auto"/>
            </w:pPr>
            <w:r>
              <w:rPr>
                <w:b/>
                <w:sz w:val="19"/>
              </w:rPr>
              <w:t>Solicitud de Ana</w:t>
            </w:r>
          </w:p>
        </w:tc>
        <w:tc>
          <w:tcPr>
            <w:tcW w:type="dxa" w:w="4337"/>
            <w:vAlign w:val="center"/>
            <w:tcMar>
              <w:top w:w="85" w:type="dxa"/>
              <w:bottom w:w="85" w:type="dxa"/>
              <w:left w:w="110" w:type="dxa"/>
              <w:right w:w="110" w:type="dxa"/>
            </w:tcMar>
            <w:shd w:fill="DFEAF2"/>
          </w:tcPr>
          <w:p>
            <w:pPr>
              <w:spacing w:after="40" w:line="245" w:lineRule="auto"/>
            </w:pPr>
            <w:r>
              <w:rPr>
                <w:b/>
                <w:sz w:val="19"/>
              </w:rPr>
              <w:t>Solicitud de Bruno</w:t>
            </w:r>
          </w:p>
        </w:tc>
      </w:tr>
      <w:tr>
        <w:trPr>
          <w:cantSplit/>
        </w:trPr>
        <w:tc>
          <w:tcPr>
            <w:tcW w:type="dxa" w:w="964"/>
            <w:vAlign w:val="center"/>
            <w:tcMar>
              <w:top w:w="85" w:type="dxa"/>
              <w:bottom w:w="85" w:type="dxa"/>
              <w:left w:w="110" w:type="dxa"/>
              <w:right w:w="110" w:type="dxa"/>
            </w:tcMar>
            <w:shd w:fill="FFFFFF"/>
          </w:tcPr>
          <w:p>
            <w:pPr>
              <w:spacing w:after="40" w:line="245" w:lineRule="auto"/>
              <w:jc w:val="center"/>
            </w:pPr>
            <w:r>
              <w:rPr>
                <w:b w:val="0"/>
                <w:sz w:val="19"/>
              </w:rPr>
              <w:t>1</w:t>
            </w:r>
          </w:p>
        </w:tc>
        <w:tc>
          <w:tcPr>
            <w:tcW w:type="dxa" w:w="4337"/>
            <w:vAlign w:val="center"/>
            <w:tcMar>
              <w:top w:w="85" w:type="dxa"/>
              <w:bottom w:w="85" w:type="dxa"/>
              <w:left w:w="110" w:type="dxa"/>
              <w:right w:w="110" w:type="dxa"/>
            </w:tcMar>
            <w:shd w:fill="FFFFFF"/>
          </w:tcPr>
          <w:p>
            <w:pPr>
              <w:spacing w:after="40" w:line="245" w:lineRule="auto"/>
            </w:pPr>
            <w:r>
              <w:rPr>
                <w:b w:val="0"/>
                <w:sz w:val="19"/>
              </w:rPr>
              <w:t>Lee 99 inscripciones.</w:t>
            </w:r>
          </w:p>
        </w:tc>
        <w:tc>
          <w:tcPr>
            <w:tcW w:type="dxa" w:w="4337"/>
            <w:vAlign w:val="center"/>
            <w:tcMar>
              <w:top w:w="85" w:type="dxa"/>
              <w:bottom w:w="85" w:type="dxa"/>
              <w:left w:w="110" w:type="dxa"/>
              <w:right w:w="110" w:type="dxa"/>
            </w:tcMar>
            <w:shd w:fill="FFFFFF"/>
          </w:tcPr>
          <w:p>
            <w:pPr>
              <w:spacing w:after="40" w:line="245" w:lineRule="auto"/>
            </w:pPr>
            <w:r>
              <w:rPr>
                <w:b w:val="0"/>
                <w:sz w:val="19"/>
              </w:rPr>
              <w:t>Lee 99 inscripciones.</w:t>
            </w:r>
          </w:p>
        </w:tc>
      </w:tr>
      <w:tr>
        <w:trPr>
          <w:cantSplit/>
        </w:trPr>
        <w:tc>
          <w:tcPr>
            <w:tcW w:type="dxa" w:w="964"/>
            <w:vAlign w:val="center"/>
            <w:tcMar>
              <w:top w:w="85" w:type="dxa"/>
              <w:bottom w:w="85" w:type="dxa"/>
              <w:left w:w="110" w:type="dxa"/>
              <w:right w:w="110" w:type="dxa"/>
            </w:tcMar>
            <w:shd w:fill="F5F7F9"/>
          </w:tcPr>
          <w:p>
            <w:pPr>
              <w:spacing w:after="40" w:line="245" w:lineRule="auto"/>
              <w:jc w:val="center"/>
            </w:pPr>
            <w:r>
              <w:rPr>
                <w:b w:val="0"/>
                <w:sz w:val="19"/>
              </w:rPr>
              <w:t>2</w:t>
            </w:r>
          </w:p>
        </w:tc>
        <w:tc>
          <w:tcPr>
            <w:tcW w:type="dxa" w:w="4337"/>
            <w:vAlign w:val="center"/>
            <w:tcMar>
              <w:top w:w="85" w:type="dxa"/>
              <w:bottom w:w="85" w:type="dxa"/>
              <w:left w:w="110" w:type="dxa"/>
              <w:right w:w="110" w:type="dxa"/>
            </w:tcMar>
            <w:shd w:fill="F5F7F9"/>
          </w:tcPr>
          <w:p>
            <w:pPr>
              <w:spacing w:after="40" w:line="245" w:lineRule="auto"/>
            </w:pPr>
            <w:r>
              <w:rPr>
                <w:b w:val="0"/>
                <w:sz w:val="19"/>
              </w:rPr>
              <w:t>Calcula el cupo 100.</w:t>
            </w:r>
          </w:p>
        </w:tc>
        <w:tc>
          <w:tcPr>
            <w:tcW w:type="dxa" w:w="4337"/>
            <w:vAlign w:val="center"/>
            <w:tcMar>
              <w:top w:w="85" w:type="dxa"/>
              <w:bottom w:w="85" w:type="dxa"/>
              <w:left w:w="110" w:type="dxa"/>
              <w:right w:w="110" w:type="dxa"/>
            </w:tcMar>
            <w:shd w:fill="F5F7F9"/>
          </w:tcPr>
          <w:p>
            <w:pPr>
              <w:spacing w:after="40" w:line="245" w:lineRule="auto"/>
            </w:pPr>
            <w:r>
              <w:rPr>
                <w:b w:val="0"/>
                <w:sz w:val="19"/>
              </w:rPr>
              <w:t>Calcula el cupo 100.</w:t>
            </w:r>
          </w:p>
        </w:tc>
      </w:tr>
      <w:tr>
        <w:trPr>
          <w:cantSplit/>
        </w:trPr>
        <w:tc>
          <w:tcPr>
            <w:tcW w:type="dxa" w:w="964"/>
            <w:vAlign w:val="center"/>
            <w:tcMar>
              <w:top w:w="85" w:type="dxa"/>
              <w:bottom w:w="85" w:type="dxa"/>
              <w:left w:w="110" w:type="dxa"/>
              <w:right w:w="110" w:type="dxa"/>
            </w:tcMar>
            <w:shd w:fill="FFFFFF"/>
          </w:tcPr>
          <w:p>
            <w:pPr>
              <w:spacing w:after="40" w:line="245" w:lineRule="auto"/>
              <w:jc w:val="center"/>
            </w:pPr>
            <w:r>
              <w:rPr>
                <w:b w:val="0"/>
                <w:sz w:val="19"/>
              </w:rPr>
              <w:t>3</w:t>
            </w:r>
          </w:p>
        </w:tc>
        <w:tc>
          <w:tcPr>
            <w:tcW w:type="dxa" w:w="4337"/>
            <w:vAlign w:val="center"/>
            <w:tcMar>
              <w:top w:w="85" w:type="dxa"/>
              <w:bottom w:w="85" w:type="dxa"/>
              <w:left w:w="110" w:type="dxa"/>
              <w:right w:w="110" w:type="dxa"/>
            </w:tcMar>
            <w:shd w:fill="FFFFFF"/>
          </w:tcPr>
          <w:p>
            <w:pPr>
              <w:spacing w:after="40" w:line="245" w:lineRule="auto"/>
            </w:pPr>
            <w:r>
              <w:rPr>
                <w:b w:val="0"/>
                <w:sz w:val="19"/>
              </w:rPr>
              <w:t>Guarda el cupo 100.</w:t>
            </w:r>
          </w:p>
        </w:tc>
        <w:tc>
          <w:tcPr>
            <w:tcW w:type="dxa" w:w="4337"/>
            <w:vAlign w:val="center"/>
            <w:tcMar>
              <w:top w:w="85" w:type="dxa"/>
              <w:bottom w:w="85" w:type="dxa"/>
              <w:left w:w="110" w:type="dxa"/>
              <w:right w:w="110" w:type="dxa"/>
            </w:tcMar>
            <w:shd w:fill="FFFFFF"/>
          </w:tcPr>
          <w:p>
            <w:pPr>
              <w:spacing w:after="40" w:line="245" w:lineRule="auto"/>
            </w:pPr>
            <w:r>
              <w:rPr>
                <w:b w:val="0"/>
                <w:sz w:val="19"/>
              </w:rPr>
              <w:t>Intenta guardar el cupo 100.</w:t>
            </w:r>
          </w:p>
        </w:tc>
      </w:tr>
      <w:tr>
        <w:trPr>
          <w:cantSplit/>
        </w:trPr>
        <w:tc>
          <w:tcPr>
            <w:tcW w:type="dxa" w:w="964"/>
            <w:vAlign w:val="center"/>
            <w:tcMar>
              <w:top w:w="85" w:type="dxa"/>
              <w:bottom w:w="85" w:type="dxa"/>
              <w:left w:w="110" w:type="dxa"/>
              <w:right w:w="110" w:type="dxa"/>
            </w:tcMar>
            <w:shd w:fill="F5F7F9"/>
          </w:tcPr>
          <w:p>
            <w:pPr>
              <w:spacing w:after="40" w:line="245" w:lineRule="auto"/>
              <w:jc w:val="center"/>
            </w:pPr>
            <w:r>
              <w:rPr>
                <w:b w:val="0"/>
                <w:sz w:val="19"/>
              </w:rPr>
              <w:t>4</w:t>
            </w:r>
          </w:p>
        </w:tc>
        <w:tc>
          <w:tcPr>
            <w:tcW w:type="dxa" w:w="4337"/>
            <w:vAlign w:val="center"/>
            <w:tcMar>
              <w:top w:w="85" w:type="dxa"/>
              <w:bottom w:w="85" w:type="dxa"/>
              <w:left w:w="110" w:type="dxa"/>
              <w:right w:w="110" w:type="dxa"/>
            </w:tcMar>
            <w:shd w:fill="F5F7F9"/>
          </w:tcPr>
          <w:p>
            <w:pPr>
              <w:spacing w:after="40" w:line="245" w:lineRule="auto"/>
            </w:pPr>
            <w:r>
              <w:rPr>
                <w:b w:val="0"/>
                <w:sz w:val="19"/>
              </w:rPr>
              <w:t>Recibe confirmación.</w:t>
            </w:r>
          </w:p>
        </w:tc>
        <w:tc>
          <w:tcPr>
            <w:tcW w:type="dxa" w:w="4337"/>
            <w:vAlign w:val="center"/>
            <w:tcMar>
              <w:top w:w="85" w:type="dxa"/>
              <w:bottom w:w="85" w:type="dxa"/>
              <w:left w:w="110" w:type="dxa"/>
              <w:right w:w="110" w:type="dxa"/>
            </w:tcMar>
            <w:shd w:fill="F5F7F9"/>
          </w:tcPr>
          <w:p>
            <w:pPr>
              <w:spacing w:after="40" w:line="245" w:lineRule="auto"/>
            </w:pPr>
            <w:r>
              <w:rPr>
                <w:b w:val="0"/>
                <w:sz w:val="19"/>
              </w:rPr>
              <w:t>La restricción única rechaza la colisión.</w:t>
            </w:r>
          </w:p>
        </w:tc>
      </w:tr>
      <w:tr>
        <w:trPr>
          <w:cantSplit/>
        </w:trPr>
        <w:tc>
          <w:tcPr>
            <w:tcW w:type="dxa" w:w="964"/>
            <w:vAlign w:val="center"/>
            <w:tcMar>
              <w:top w:w="85" w:type="dxa"/>
              <w:bottom w:w="85" w:type="dxa"/>
              <w:left w:w="110" w:type="dxa"/>
              <w:right w:w="110" w:type="dxa"/>
            </w:tcMar>
            <w:shd w:fill="FFFFFF"/>
          </w:tcPr>
          <w:p>
            <w:pPr>
              <w:spacing w:after="40" w:line="245" w:lineRule="auto"/>
              <w:jc w:val="center"/>
            </w:pPr>
            <w:r>
              <w:rPr>
                <w:b w:val="0"/>
                <w:sz w:val="19"/>
              </w:rPr>
              <w:t>5</w:t>
            </w:r>
          </w:p>
        </w:tc>
        <w:tc>
          <w:tcPr>
            <w:tcW w:type="dxa" w:w="4337"/>
            <w:vAlign w:val="center"/>
            <w:tcMar>
              <w:top w:w="85" w:type="dxa"/>
              <w:bottom w:w="85" w:type="dxa"/>
              <w:left w:w="110" w:type="dxa"/>
              <w:right w:w="110" w:type="dxa"/>
            </w:tcMar>
            <w:shd w:fill="FFFFFF"/>
          </w:tcPr>
          <w:p>
            <w:pPr>
              <w:spacing w:after="40" w:line="245" w:lineRule="auto"/>
            </w:pPr>
            <w:r>
              <w:rPr>
                <w:b w:val="0"/>
                <w:sz w:val="19"/>
              </w:rPr>
              <w:t>Finaliza.</w:t>
            </w:r>
          </w:p>
        </w:tc>
        <w:tc>
          <w:tcPr>
            <w:tcW w:type="dxa" w:w="4337"/>
            <w:vAlign w:val="center"/>
            <w:tcMar>
              <w:top w:w="85" w:type="dxa"/>
              <w:bottom w:w="85" w:type="dxa"/>
              <w:left w:w="110" w:type="dxa"/>
              <w:right w:w="110" w:type="dxa"/>
            </w:tcMar>
            <w:shd w:fill="FFFFFF"/>
          </w:tcPr>
          <w:p>
            <w:pPr>
              <w:spacing w:after="40" w:line="245" w:lineRule="auto"/>
            </w:pPr>
            <w:r>
              <w:rPr>
                <w:b w:val="0"/>
                <w:sz w:val="19"/>
              </w:rPr>
              <w:t>Vuelve a consultar y detecta el evento completo.</w:t>
            </w:r>
          </w:p>
        </w:tc>
      </w:tr>
    </w:tbl>
    <w:p>
      <w:pPr>
        <w:spacing w:after="0"/>
      </w:pPr>
    </w:p>
    <w:p>
      <w:r>
        <w:t>Este es un orden posible cuando ambas solicitudes llegan a intentar la escritura. También puede ocurrir que una observe el evento completo antes de guardar. La arquitectura debe contemplar ambos recorridos.</w:t>
      </w:r>
    </w:p>
    <w:p>
      <w:pPr>
        <w:pStyle w:val="Heading2"/>
      </w:pPr>
      <w:r>
        <w:t>La garantía se construye entre varias partes</w:t>
      </w:r>
    </w:p>
    <w:p>
      <w:r>
        <w:t>El esquema declara un índice único para el evento y el número de cupo público cuando ese número es mayor que cero. Dos registros no pueden conservar el mismo número dentro del mismo evento. La regla de aplicación, por su parte, limita el siguiente número al máximo del evento.</w:t>
      </w:r>
    </w:p>
    <w:p>
      <w:r>
        <w:t>El servicio combina esas condiciones con reintentos limitados. Si una escritura colisiona, vuelve a comprobar el estado. Con mucha contención puede agotarse el número de intentos, por lo que también debemos analizar la experiencia de error. Tener una restricción correcta no elimina la necesidad de informar y recuperar adecuadamente una operación fallida.</w:t>
      </w:r>
    </w:p>
    <w:p>
      <w:pPr>
        <w:pStyle w:val="Heading2"/>
      </w:pPr>
      <w:r>
        <w:t>La excepción presencial</w:t>
      </w:r>
    </w:p>
    <w:p>
      <w:r>
        <w:t>Las altas presenciales usan cero como número de cupo público y quedan fuera de ese índice parcial. Para superar el cupo público requieren confirmación administrativa. La regla de unicidad del documento dentro del evento sigue vigente. Así se representa una excepción autorizada sin convertirla en una vía general para duplicar personas.</w:t>
      </w:r>
    </w:p>
    <w:p>
      <w:pPr>
        <w:pStyle w:val="Heading2"/>
      </w:pPr>
      <w:r>
        <w:t>Cómo comprobar esta decisión</w:t>
      </w:r>
    </w:p>
    <w:p>
      <w:r>
        <w:t>Una prueba relevante prepara un único lugar restante, envía solicitudes simultáneas con documentos distintos y comprueba que se confirma como máximo una inscripción para ese lugar. También verifica los registros conservados y las respuestas del resto de las solicitudes.</w:t>
      </w:r>
    </w:p>
    <w:p>
      <w:r>
        <w:t>Un bloqueo en una variable de Next.js no coordinaría dos procesos distintos, porque cada uno mantiene su propia memoria. La restricción compartida en la persistencia aporta una garantía que debe acompañar a la lógica de aplicación y al esquema efectivamente instalado.</w:t>
      </w:r>
    </w:p>
    <w:p>
      <w:r>
        <w:br w:type="page"/>
      </w:r>
    </w:p>
    <w:p>
      <w:pPr>
        <w:pStyle w:val="Heading1"/>
      </w:pPr>
      <w:r>
        <w:t>Confianza y acceso a los recursos</w:t>
      </w:r>
    </w:p>
    <w:p>
      <w:r>
        <w:t>Las necesidades de administración privada y consulta pública generan fronteras de confianza. El navegador envía datos que deben validarse. Las operaciones administrativas necesitan autorización. La infraestructura de datos y archivos mantiene credenciales que no deben llegar al cliente.</w:t>
      </w:r>
    </w:p>
    <w:p>
      <w:pPr>
        <w:pStyle w:val="Heading2"/>
      </w:pPr>
      <w:r>
        <w:t>Autenticación y autorización</w:t>
      </w:r>
    </w:p>
    <w:p>
      <w:r>
        <w:t>La autenticación comprueba una identidad; la autorización determina qué puede hacer esa identidad en una operación concreta. El panel utiliza una sesión administrativa y comprueba el registro y el rol del administrador en el servidor. Las entradas protegidas invocan esos controles antes de ejecutar operaciones sensibles.</w:t>
      </w:r>
    </w:p>
    <w:p>
      <w:r>
        <w:t>Las operaciones normales de datos usan una cuenta técnica limitada por las reglas de PocketBase. La aplicación sigue siendo responsable de comprobar los permisos de quien solicita la operación. Disponer de una cuenta técnica no sustituye la autorización del usuario.</w:t>
      </w:r>
    </w:p>
    <w:p>
      <w:pPr>
        <w:pStyle w:val="Heading2"/>
      </w:pPr>
      <w:r>
        <w:t>Inscripción y acreditación como estados distintos</w:t>
      </w:r>
    </w:p>
    <w:p>
      <w:r>
        <w:t>La inscripción expresa que una persona está registrada en un evento. La acreditación expresa que se registró su asistencia. El certificado es un archivo generado para una inscripción que reúne las condiciones correspondientes. Los materiales pertenecen al evento y se ofrecen a personas acreditadas aunque no exista un certificado.</w:t>
      </w:r>
    </w:p>
    <w:p>
      <w:r>
        <w:t>Estas diferencias evitan que una decisión secundaria determine incorrectamente un derecho de acceso. Si los materiales dependieran de la existencia del PDF, una persona acreditada podría quedar excluida solo porque la generación de certificados está pendiente.</w:t>
      </w:r>
    </w:p>
    <w:p>
      <w:pPr>
        <w:pStyle w:val="Heading2"/>
      </w:pPr>
      <w:r>
        <w:t>Consulta y descarga</w:t>
      </w:r>
    </w:p>
    <w:p>
      <w:r>
        <w:t>La consulta actual recibe un documento normalizado y busca inscripciones acreditadas. Cuando encuentra recursos elegibles, emite una autorización firmada y temporal. La descarga comprueba su alcance y vuelve a verificar la acreditación y la pertenencia al evento. Next.js obtiene el archivo sin entregar al navegador las credenciales del almacenamiento.</w:t>
      </w:r>
    </w:p>
    <w:p>
      <w:r>
        <w:t>La facilidad de consultar por DNI introduce un compromiso: conocer un documento no equivale a demostrar la identidad de su titular. Los límites de intentos y las autorizaciones breves reducen ciertos abusos, pero no transforman un dato conocido en una prueba fuerte de identidad. Si cambia la sensibilidad de los recursos, debe revisarse ese mecanismo con los interesados.</w:t>
      </w:r>
    </w:p>
    <w:p>
      <w:pPr>
        <w:pStyle w:val="Heading2"/>
      </w:pPr>
      <w:r>
        <w:t>La documentación debe acompañar la decisión</w:t>
      </w:r>
    </w:p>
    <w:p>
      <w:r>
        <w:t>El diseño original describía una consulta con documento y email; el código actual consulta por documento. Esta diferencia muestra por qué debemos distinguir la intención histórica del comportamiento vigente. Un cambio en el acceso requiere revisar sus consecuencias y mantener alineados los requisitos, la documentación y la implementación.</w:t>
      </w:r>
    </w:p>
    <w:p>
      <w:r>
        <w:br w:type="page"/>
      </w:r>
    </w:p>
    <w:p>
      <w:pPr>
        <w:pStyle w:val="Heading1"/>
      </w:pPr>
      <w:r>
        <w:t>La evolución a partir de nuevas necesidades</w:t>
      </w:r>
    </w:p>
    <w:p>
      <w:pPr>
        <w:pStyle w:val="Heading2"/>
      </w:pPr>
      <w:r>
        <w:t>Cambios que ya aparecen en el proyecto</w:t>
      </w:r>
    </w:p>
    <w:p>
      <w:r>
        <w:t>La corrección de datos durante la acreditación respondió a una necesidad operativa concreta. El servicio actualiza nombres, apellidos, documento y email, conserva la asistencia, el origen y el cupo, y registra los campos modificados en auditoría. Las pruebas comprueban la conservación de esos estados y el rechazo de duplicados.</w:t>
      </w:r>
    </w:p>
    <w:p>
      <w:r>
        <w:t>Los materiales para asistentes ampliaron el concepto de recurso disponible. Su autorización se apoya en la inscripción acreditada y no exige un certificado emitido. Esto permitió atender eventos que comparten contenidos aunque no entreguen certificados.</w:t>
      </w:r>
    </w:p>
    <w:p>
      <w:pPr>
        <w:pStyle w:val="Heading2"/>
      </w:pPr>
      <w:r>
        <w:t>Un escenario de crecimiento</w:t>
      </w:r>
    </w:p>
    <w:p>
      <w:r>
        <w:t>Imaginemos ahora un requisito nuevo: generar 20.000 certificados por evento sin que el administrador deba esperar a que termine todo el lote. Es un escenario hipotético para analizar la evolución, no una capacidad medida de la instalación actual.</w:t>
      </w:r>
    </w:p>
    <w:p>
      <w:r>
        <w:t>La implementación actual recorre las inscripciones acreditadas y genera los archivos durante la operación administrativa. Antes de cambiarla necesitamos medir la duración, el consumo de recursos y el efecto sobre otras solicitudes. La necesidad puede justificar separar la ejecución prolongada de la respuesta inicial al usuario.</w:t>
      </w:r>
    </w:p>
    <w:p>
      <w:pPr>
        <w:pStyle w:val="Heading2"/>
      </w:pPr>
      <w:r>
        <w:t>Una posible respuesta arquitectónica</w:t>
      </w:r>
    </w:p>
    <w:p>
      <w:r>
        <w:t>Next.js podría registrar un trabajo persistente y devolver su identificador. Un proceso trabajador tomaría el lote, generaría los certificados y guardaría su progreso. La interfaz consultaría el estado para mostrar resultados y errores. Este diseño agrega responsabilidades que hoy no tienen la misma forma.</w:t>
      </w:r>
    </w:p>
    <w:p>
      <w:r>
        <w:t>El trabajador debe poder recuperarse si se detiene. Si el administrador repite la solicitud, el sistema debe reconocer el mismo trabajo lógico. Si el archivo se guarda pero falla la confirmación del avance, el reintento debe reconocer el resultado anterior. La idempotencia permite repetir una operación sin multiplicar su efecto lógico.</w:t>
      </w:r>
    </w:p>
    <w:p>
      <w:r>
        <w:t>Una cola especializada es una alternativa, pero no reemplaza la definición de estados, exclusión, reintentos y recuperación. Separar este procesamiento tampoco obliga a dividir todas las funcionalidades en microservicios. La decisión puede limitarse a la responsabilidad que necesita otra forma de ejecución.</w:t>
      </w:r>
    </w:p>
    <w:p>
      <w:pPr>
        <w:pStyle w:val="Heading2"/>
      </w:pPr>
      <w:r>
        <w:t>Volver a los interesados</w:t>
      </w:r>
    </w:p>
    <w:p>
      <w:r>
        <w:t>La organización gana continuidad operativa y visibilidad del avance. El equipo técnico asume un proceso adicional que debe supervisar. Los asistentes necesitan resultados correctos y sin duplicados. La alternativa se evalúa por esos efectos, incluyendo sus costos, y no solo por la tecnología incorporada.</w:t>
      </w:r>
    </w:p>
    <w:p>
      <w:r>
        <w:br w:type="page"/>
      </w:r>
    </w:p>
    <w:p>
      <w:pPr>
        <w:pStyle w:val="Heading1"/>
      </w:pPr>
      <w:r>
        <w:t>Cómo fundamentar una arquitectura</w:t>
      </w:r>
    </w:p>
    <w:p>
      <w:r>
        <w:t>En este caso, el razonamiento comienza con personas que necesitan organizar, participar, acreditar, informar y mantener una actividad institucional. Esas necesidades se convierten en requisitos, escenarios de calidad y reglas de negocio. Las restricciones de plataforma y operación delimitan la solución posible.</w:t>
      </w:r>
    </w:p>
    <w:p>
      <w:r>
        <w:t>La aplicación concentra la coordinación en Next.js, conserva los datos y archivos en PocketBase y separa responsabilidades en capas. Su estructura permite localizar reglas y operaciones, aunque los servicios mantienen una dependencia directa de la tecnología de persistencia. Comprender ambos aspectos permite describirla con precisión y evaluar cambios sin atribuirle propiedades que no están demostradas.</w:t>
      </w:r>
    </w:p>
    <w:p>
      <w:r>
        <w:t>La reserva de cupo muestra cómo una necesidad se traduce en decisiones repartidas entre dominio, servicio y esquema. La consulta de recursos muestra cómo usabilidad y control de acceso deben analizarse juntos. La evolución de certificados muestra cómo un cambio de volumen puede requerir nuevas responsabilidades operativas.</w:t>
      </w:r>
    </w:p>
    <w:p>
      <w:pPr>
        <w:pStyle w:val="Heading2"/>
      </w:pPr>
      <w:r>
        <w:t>Preguntas para continuar el análisis</w:t>
      </w:r>
    </w:p>
    <w:p>
      <w:pPr>
        <w:pStyle w:val="ListBullet"/>
      </w:pPr>
      <w:r>
        <w:t>¿Qué necesidad concreta dejaría de atenderse si quitáramos la auditoría?</w:t>
      </w:r>
    </w:p>
    <w:p>
      <w:pPr>
        <w:pStyle w:val="ListBullet"/>
      </w:pPr>
      <w:r>
        <w:t>¿Qué diferencia existe entre una capa lógica y una unidad de despliegue?</w:t>
      </w:r>
    </w:p>
    <w:p>
      <w:pPr>
        <w:pStyle w:val="ListBullet"/>
      </w:pPr>
      <w:r>
        <w:t>¿Qué partes cambiarían si la acreditación dejara de ser condición para acceder a materiales?</w:t>
      </w:r>
    </w:p>
    <w:p>
      <w:pPr>
        <w:pStyle w:val="ListBullet"/>
      </w:pPr>
      <w:r>
        <w:t>¿Qué evidencia necesitaríamos para sustituir PocketBase o separar un proceso trabajador?</w:t>
      </w:r>
    </w:p>
    <w:p>
      <w:pPr>
        <w:pStyle w:val="ListBullet"/>
      </w:pPr>
      <w:r>
        <w:t>¿Cómo verificaríamos que una mejora técnica conserva las reglas del negocio?</w:t>
      </w:r>
    </w:p>
    <w:p>
      <w:pPr>
        <w:pStyle w:val="Heading2"/>
      </w:pPr>
      <w:r>
        <w:t>Referencias del caso</w:t>
      </w:r>
    </w:p>
    <w:p>
      <w:r>
        <w:t>Las referencias corresponden a rutas relativas a la raíz del repositorio Eventos UNCA. Permiten contrastar las necesidades documentadas, las decisiones y su implementación.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556"/>
        <w:gridCol w:w="4082"/>
      </w:tblGrid>
      <w:tr>
        <w:trPr>
          <w:tblHeader/>
          <w:cantSplit/>
        </w:trPr>
        <w:tc>
          <w:tcPr>
            <w:tcW w:type="dxa" w:w="5556"/>
            <w:vAlign w:val="center"/>
            <w:tcMar>
              <w:top w:w="85" w:type="dxa"/>
              <w:bottom w:w="85" w:type="dxa"/>
              <w:left w:w="110" w:type="dxa"/>
              <w:right w:w="110" w:type="dxa"/>
            </w:tcMar>
            <w:shd w:fill="DFEAF2"/>
          </w:tcPr>
          <w:p>
            <w:pPr>
              <w:spacing w:after="40" w:line="245" w:lineRule="auto"/>
            </w:pPr>
            <w:r>
              <w:rPr>
                <w:b/>
                <w:sz w:val="19"/>
              </w:rPr>
              <w:t>Fuente</w:t>
            </w:r>
          </w:p>
        </w:tc>
        <w:tc>
          <w:tcPr>
            <w:tcW w:type="dxa" w:w="4082"/>
            <w:vAlign w:val="center"/>
            <w:tcMar>
              <w:top w:w="85" w:type="dxa"/>
              <w:bottom w:w="85" w:type="dxa"/>
              <w:left w:w="110" w:type="dxa"/>
              <w:right w:w="110" w:type="dxa"/>
            </w:tcMar>
            <w:shd w:fill="DFEAF2"/>
          </w:tcPr>
          <w:p>
            <w:pPr>
              <w:spacing w:after="40" w:line="245" w:lineRule="auto"/>
            </w:pPr>
            <w:r>
              <w:rPr>
                <w:b/>
                <w:sz w:val="19"/>
              </w:rPr>
              <w:t>Contenido</w:t>
            </w:r>
          </w:p>
        </w:tc>
      </w:tr>
      <w:tr>
        <w:trPr>
          <w:cantSplit/>
        </w:trPr>
        <w:tc>
          <w:tcPr>
            <w:tcW w:type="dxa" w:w="5556"/>
            <w:vAlign w:val="center"/>
            <w:tcMar>
              <w:top w:w="85" w:type="dxa"/>
              <w:bottom w:w="85" w:type="dxa"/>
              <w:left w:w="110" w:type="dxa"/>
              <w:right w:w="110" w:type="dxa"/>
            </w:tcMar>
            <w:shd w:fill="FFFFFF"/>
          </w:tcPr>
          <w:p>
            <w:pPr>
              <w:spacing w:after="40" w:line="245" w:lineRule="auto"/>
            </w:pPr>
            <w:r>
              <w:rPr>
                <w:b w:val="0"/>
                <w:sz w:val="19"/>
              </w:rPr>
              <w:t>openspec/changes/gestion-integral-de-eventos/</w:t>
              <w:br/>
              <w:t>proposal.md y design.md</w:t>
            </w:r>
          </w:p>
        </w:tc>
        <w:tc>
          <w:tcPr>
            <w:tcW w:type="dxa" w:w="4082"/>
            <w:vAlign w:val="center"/>
            <w:tcMar>
              <w:top w:w="85" w:type="dxa"/>
              <w:bottom w:w="85" w:type="dxa"/>
              <w:left w:w="110" w:type="dxa"/>
              <w:right w:w="110" w:type="dxa"/>
            </w:tcMar>
            <w:shd w:fill="FFFFFF"/>
          </w:tcPr>
          <w:p>
            <w:pPr>
              <w:spacing w:after="40" w:line="245" w:lineRule="auto"/>
            </w:pPr>
            <w:r>
              <w:rPr>
                <w:b w:val="0"/>
                <w:sz w:val="19"/>
              </w:rPr>
              <w:t>Problema inicial, alcance, restricciones y decisiones.</w:t>
            </w:r>
          </w:p>
        </w:tc>
      </w:tr>
      <w:tr>
        <w:trPr>
          <w:cantSplit/>
        </w:trPr>
        <w:tc>
          <w:tcPr>
            <w:tcW w:type="dxa" w:w="5556"/>
            <w:vAlign w:val="center"/>
            <w:tcMar>
              <w:top w:w="85" w:type="dxa"/>
              <w:bottom w:w="85" w:type="dxa"/>
              <w:left w:w="110" w:type="dxa"/>
              <w:right w:w="110" w:type="dxa"/>
            </w:tcMar>
            <w:shd w:fill="F5F7F9"/>
          </w:tcPr>
          <w:p>
            <w:pPr>
              <w:spacing w:after="40" w:line="245" w:lineRule="auto"/>
            </w:pPr>
            <w:r>
              <w:rPr>
                <w:b w:val="0"/>
                <w:sz w:val="19"/>
              </w:rPr>
              <w:t>openspec/changes/gestion-integral-de-eventos/specs/</w:t>
            </w:r>
          </w:p>
        </w:tc>
        <w:tc>
          <w:tcPr>
            <w:tcW w:type="dxa" w:w="4082"/>
            <w:vAlign w:val="center"/>
            <w:tcMar>
              <w:top w:w="85" w:type="dxa"/>
              <w:bottom w:w="85" w:type="dxa"/>
              <w:left w:w="110" w:type="dxa"/>
              <w:right w:w="110" w:type="dxa"/>
            </w:tcMar>
            <w:shd w:fill="F5F7F9"/>
          </w:tcPr>
          <w:p>
            <w:pPr>
              <w:spacing w:after="40" w:line="245" w:lineRule="auto"/>
            </w:pPr>
            <w:r>
              <w:rPr>
                <w:b w:val="0"/>
                <w:sz w:val="19"/>
              </w:rPr>
              <w:t>Requisitos de eventos, inscripción, acreditación, certificados y reportes.</w:t>
            </w:r>
          </w:p>
        </w:tc>
      </w:tr>
      <w:tr>
        <w:trPr>
          <w:cantSplit/>
        </w:trPr>
        <w:tc>
          <w:tcPr>
            <w:tcW w:type="dxa" w:w="5556"/>
            <w:vAlign w:val="center"/>
            <w:tcMar>
              <w:top w:w="85" w:type="dxa"/>
              <w:bottom w:w="85" w:type="dxa"/>
              <w:left w:w="110" w:type="dxa"/>
              <w:right w:w="110" w:type="dxa"/>
            </w:tcMar>
            <w:shd w:fill="FFFFFF"/>
          </w:tcPr>
          <w:p>
            <w:pPr>
              <w:spacing w:after="40" w:line="245" w:lineRule="auto"/>
            </w:pPr>
            <w:r>
              <w:rPr>
                <w:b w:val="0"/>
                <w:sz w:val="19"/>
              </w:rPr>
              <w:t>openspec/specs/materiales-para-asistentes/</w:t>
              <w:br/>
              <w:t>openspec/specs/edicion-datos-acreditacion/</w:t>
            </w:r>
          </w:p>
        </w:tc>
        <w:tc>
          <w:tcPr>
            <w:tcW w:type="dxa" w:w="4082"/>
            <w:vAlign w:val="center"/>
            <w:tcMar>
              <w:top w:w="85" w:type="dxa"/>
              <w:bottom w:w="85" w:type="dxa"/>
              <w:left w:w="110" w:type="dxa"/>
              <w:right w:w="110" w:type="dxa"/>
            </w:tcMar>
            <w:shd w:fill="FFFFFF"/>
          </w:tcPr>
          <w:p>
            <w:pPr>
              <w:spacing w:after="40" w:line="245" w:lineRule="auto"/>
            </w:pPr>
            <w:r>
              <w:rPr>
                <w:b w:val="0"/>
                <w:sz w:val="19"/>
              </w:rPr>
              <w:t>Requisitos incorporados posteriormente.</w:t>
            </w:r>
          </w:p>
        </w:tc>
      </w:tr>
      <w:tr>
        <w:trPr>
          <w:cantSplit/>
        </w:trPr>
        <w:tc>
          <w:tcPr>
            <w:tcW w:type="dxa" w:w="5556"/>
            <w:vAlign w:val="center"/>
            <w:tcMar>
              <w:top w:w="85" w:type="dxa"/>
              <w:bottom w:w="85" w:type="dxa"/>
              <w:left w:w="110" w:type="dxa"/>
              <w:right w:w="110" w:type="dxa"/>
            </w:tcMar>
            <w:shd w:fill="F5F7F9"/>
          </w:tcPr>
          <w:p>
            <w:pPr>
              <w:spacing w:after="40" w:line="245" w:lineRule="auto"/>
            </w:pPr>
            <w:r>
              <w:rPr>
                <w:b w:val="0"/>
                <w:sz w:val="19"/>
              </w:rPr>
              <w:t>README.md y docs/arquitectura/README.md</w:t>
            </w:r>
          </w:p>
        </w:tc>
        <w:tc>
          <w:tcPr>
            <w:tcW w:type="dxa" w:w="4082"/>
            <w:vAlign w:val="center"/>
            <w:tcMar>
              <w:top w:w="85" w:type="dxa"/>
              <w:bottom w:w="85" w:type="dxa"/>
              <w:left w:w="110" w:type="dxa"/>
              <w:right w:w="110" w:type="dxa"/>
            </w:tcMar>
            <w:shd w:fill="F5F7F9"/>
          </w:tcPr>
          <w:p>
            <w:pPr>
              <w:spacing w:after="40" w:line="245" w:lineRule="auto"/>
            </w:pPr>
            <w:r>
              <w:rPr>
                <w:b w:val="0"/>
                <w:sz w:val="19"/>
              </w:rPr>
              <w:t>Funcionamiento actual y descripción arquitectónica.</w:t>
            </w:r>
          </w:p>
        </w:tc>
      </w:tr>
      <w:tr>
        <w:trPr>
          <w:cantSplit/>
        </w:trPr>
        <w:tc>
          <w:tcPr>
            <w:tcW w:type="dxa" w:w="5556"/>
            <w:vAlign w:val="center"/>
            <w:tcMar>
              <w:top w:w="85" w:type="dxa"/>
              <w:bottom w:w="85" w:type="dxa"/>
              <w:left w:w="110" w:type="dxa"/>
              <w:right w:w="110" w:type="dxa"/>
            </w:tcMar>
            <w:shd w:fill="FFFFFF"/>
          </w:tcPr>
          <w:p>
            <w:pPr>
              <w:spacing w:after="40" w:line="245" w:lineRule="auto"/>
            </w:pPr>
            <w:r>
              <w:rPr>
                <w:b w:val="0"/>
                <w:sz w:val="19"/>
              </w:rPr>
              <w:t>app/, components/ y lib/</w:t>
            </w:r>
          </w:p>
        </w:tc>
        <w:tc>
          <w:tcPr>
            <w:tcW w:type="dxa" w:w="4082"/>
            <w:vAlign w:val="center"/>
            <w:tcMar>
              <w:top w:w="85" w:type="dxa"/>
              <w:bottom w:w="85" w:type="dxa"/>
              <w:left w:w="110" w:type="dxa"/>
              <w:right w:w="110" w:type="dxa"/>
            </w:tcMar>
            <w:shd w:fill="FFFFFF"/>
          </w:tcPr>
          <w:p>
            <w:pPr>
              <w:spacing w:after="40" w:line="245" w:lineRule="auto"/>
            </w:pPr>
            <w:r>
              <w:rPr>
                <w:b w:val="0"/>
                <w:sz w:val="19"/>
              </w:rPr>
              <w:t>Presentación, entradas del servidor, reglas, servicios e infraestructura.</w:t>
            </w:r>
          </w:p>
        </w:tc>
      </w:tr>
      <w:tr>
        <w:trPr>
          <w:cantSplit/>
        </w:trPr>
        <w:tc>
          <w:tcPr>
            <w:tcW w:type="dxa" w:w="5556"/>
            <w:vAlign w:val="center"/>
            <w:tcMar>
              <w:top w:w="85" w:type="dxa"/>
              <w:bottom w:w="85" w:type="dxa"/>
              <w:left w:w="110" w:type="dxa"/>
              <w:right w:w="110" w:type="dxa"/>
            </w:tcMar>
            <w:shd w:fill="F5F7F9"/>
          </w:tcPr>
          <w:p>
            <w:pPr>
              <w:spacing w:after="40" w:line="245" w:lineRule="auto"/>
            </w:pPr>
            <w:r>
              <w:rPr>
                <w:b w:val="0"/>
                <w:sz w:val="19"/>
              </w:rPr>
              <w:t>lib/pocketbase/schema.ts y scripts/</w:t>
            </w:r>
          </w:p>
        </w:tc>
        <w:tc>
          <w:tcPr>
            <w:tcW w:type="dxa" w:w="4082"/>
            <w:vAlign w:val="center"/>
            <w:tcMar>
              <w:top w:w="85" w:type="dxa"/>
              <w:bottom w:w="85" w:type="dxa"/>
              <w:left w:w="110" w:type="dxa"/>
              <w:right w:w="110" w:type="dxa"/>
            </w:tcMar>
            <w:shd w:fill="F5F7F9"/>
          </w:tcPr>
          <w:p>
            <w:pPr>
              <w:spacing w:after="40" w:line="245" w:lineRule="auto"/>
            </w:pPr>
            <w:r>
              <w:rPr>
                <w:b w:val="0"/>
                <w:sz w:val="19"/>
              </w:rPr>
              <w:t>Colecciones, restricciones y preparación del entorno.</w:t>
            </w:r>
          </w:p>
        </w:tc>
      </w:tr>
    </w:tbl>
    <w:p>
      <w:pPr>
        <w:spacing w:after="0"/>
      </w:pPr>
    </w:p>
    <w:p>
      <w:r>
        <w:t>Una decisión arquitectónica queda mejor fundamentada cuando podemos explicar a quién beneficia, qué requisito atiende, qué alternativa se consideró, qué costo introduce y cómo comprobaremos su resultado.</w:t>
      </w:r>
    </w:p>
    <w:sectPr w:rsidR="00FC693F" w:rsidRPr="0006063C" w:rsidSect="00034616">
      <w:footerReference w:type="default" r:id="rId9"/>
      <w:pgSz w:w="11906" w:h="16838"/>
      <w:pgMar w:top="1049"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Eventos UNCA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2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after="40" w:line="240" w:lineRule="auto"/>
    </w:pPr>
    <w:rPr>
      <w:rFonts w:ascii="Consolas" w:hAnsi="Consolas"/>
      <w:sz w:val="18"/>
    </w:rPr>
  </w:style>
  <w:style w:type="paragraph" w:customStyle="1" w:styleId="Referencia">
    <w:name w:val="Referencia"/>
    <w:basedOn w:val="Normal"/>
    <w:pPr>
      <w:spacing w:after="8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Software en Eventos UNCA</dc:title>
  <dc:subject>Necesidades de los interesados y decisiones arquitectónicas de Eventos UNCA</dc:subject>
  <dc:creator/>
  <cp:keywords>arquitectura de software, monolito, capas, Next.js, PocketBase, docencia</cp:keywords>
  <dc:description>generated by python-docx</dc:description>
  <cp:lastModifiedBy/>
  <cp:revision>1</cp:revision>
  <dcterms:created xsi:type="dcterms:W3CDTF">2013-12-23T23:15:00Z</dcterms:created>
  <dcterms:modified xsi:type="dcterms:W3CDTF">2013-12-23T23:15:00Z</dcterms:modified>
  <cp:category/>
</cp:coreProperties>
</file>