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color w:val="001f5f"/>
          <w:rtl w:val="0"/>
        </w:rPr>
        <w:t xml:space="preserve">STUDY ABSTRACT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1516"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TITRE</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VIRTUOSE – Efficiency of sildenafil on the absolute claudication distance of peripheral arterial disease patients with intermittent claudication.  A  phase  III,  National,  Multicenter,  Prospective,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Randomized, Double-blind, Placebo-controlled trial.</w:t>
            </w:r>
          </w:p>
        </w:tc>
      </w:tr>
      <w:tr>
        <w:trPr>
          <w:cantSplit w:val="0"/>
          <w:trHeight w:val="39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EUDRACT</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2020-000231-42</w:t>
            </w:r>
          </w:p>
        </w:tc>
      </w:tr>
      <w:tr>
        <w:trPr>
          <w:cantSplit w:val="0"/>
          <w:trHeight w:val="381"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EU CT</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2024-516429-30-00</w:t>
            </w:r>
          </w:p>
        </w:tc>
      </w:tr>
      <w:tr>
        <w:trPr>
          <w:cantSplit w:val="0"/>
          <w:trHeight w:val="378"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Sponsor</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 de Rennes (Rennes University Hospital Centre)</w:t>
            </w:r>
          </w:p>
        </w:tc>
      </w:tr>
      <w:tr>
        <w:trPr>
          <w:cantSplit w:val="0"/>
          <w:trHeight w:val="1519"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439" w:lineRule="auto"/>
              <w:ind w:left="71" w:right="94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COORDINATING INVESTIGATOR</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Dr. Loukman Omarjee, Ding, MD, MSc, PhD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Vascular Physician and Clinical Immunologist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NuMeCan Institute – EXPRES Team – UMR Inserm U1241 &amp; CIC-1414</w:t>
            </w:r>
          </w:p>
        </w:tc>
      </w:tr>
      <w:tr>
        <w:trPr>
          <w:cantSplit w:val="0"/>
          <w:trHeight w:val="378"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VERSION OF PROTOCOL</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10.0 of 26/06/2025</w:t>
            </w:r>
          </w:p>
        </w:tc>
      </w:tr>
      <w:tr>
        <w:trPr>
          <w:cantSplit w:val="0"/>
          <w:trHeight w:val="8350"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6" w:lineRule="auto"/>
              <w:ind w:left="71" w:right="9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Background and rationale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Peripheral Arterial Disease (PAD) is a highly debilitating disease that affects 202 million people around the world and about 7 million people in France. Morbi-mortality from cardiovascular events is increased in this population. Intermittent claudication is defined as a discomfort and/or pain in the legs during walking. It is the most common clinical feature of PAD.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6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claudication, primary therapeutic approach is medical treatment and advice to walk. Revascularization is only proposed when medical treatment and advice to walk for at least 3 to 6 months have failed to improve symptoms and walking ability.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Optimal medical treatment includes Antiplatelet, Lipid Lowering Drugs, AT2 antagonists / ACE Inhibitors and advice to walk. PAD patients with claudication could be included if they are under optimal treatment for one month including direct oral anticoagulant (Rivaroxaban, Apixaban, Dabigatran) as monotherapy instead of an antiplatelet agent if the treatment is justified for another cause than MI (non-valvular Atrial Fibrillation, Venous Thromboembolism).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date, no other drug has provided consistent evidence for functional improvement in claudication, except for Cilostazol, a type-3 phospho-diesterase inhibitor (PDEi). This compound has been scarcely used in France due to cost and frequent side effect (Headache, Flush, Diarrhea,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etc.) and was withdrawn as a therapy in 2010.</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7" w:type="default"/>
          <w:footerReference r:id="rId8" w:type="default"/>
          <w:pgSz w:h="16840" w:w="11910" w:orient="portrait"/>
          <w:pgMar w:bottom="1200" w:top="1400" w:left="1275" w:right="1133" w:header="718" w:footer="1003"/>
          <w:pgNumType w:start="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2277"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6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Sildenafil, a type 5 PDEi, is well tolerated, largely used in impotence and has interesting clinical delay and duration of action in the concept of a potential use in claudication. Preliminary data from the literature and unpublished case reports, suggest that this drug could efficiently improve symptoms and walking capacity in patients with stage 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claudication.</w:t>
            </w:r>
          </w:p>
        </w:tc>
      </w:tr>
      <w:tr>
        <w:trPr>
          <w:cantSplit w:val="0"/>
          <w:trHeight w:val="76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Primary objective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determine whether sildenafil, compared with placebo, improve the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walking capacity at week 24 of patients with intermittent claudication</w:t>
            </w:r>
          </w:p>
        </w:tc>
      </w:tr>
      <w:tr>
        <w:trPr>
          <w:cantSplit w:val="0"/>
          <w:trHeight w:val="276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6" w:lineRule="auto"/>
              <w:ind w:left="71" w:right="90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Primary outcome measure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6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Absolute change of the absolute claudication distance (ACD) from baseline to week 24. ACD is measured in meters at baseline and week 24 by walking on a treadmill until the point when the subject is unable to walk anymore due to pain in the leg.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treadmill tests, walking will be conducted up to the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9" w:right="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walking ability (not only the appearance of a pain) or to a maximum of 15 minutes.</w:t>
            </w:r>
          </w:p>
        </w:tc>
      </w:tr>
      <w:tr>
        <w:trPr>
          <w:cantSplit w:val="0"/>
          <w:trHeight w:val="8150"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Secondary objectives</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determine whether sildenafil, compared with placebo, from baseline:</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124" w:line="352" w:lineRule="auto"/>
              <w:ind w:left="789" w:right="6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prevents surgical revascularization procedure at weeks 24 and 48;</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7" w:line="240" w:lineRule="auto"/>
              <w:ind w:left="78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the walking capacity at week 48;</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125" w:line="240" w:lineRule="auto"/>
              <w:ind w:left="78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the time to first event;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69" w:right="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"EVENT" is defined as either (1) major adverse cardiovascular events (MACE; including vascular deaths, non-fatal myocardial infarction and non-fatal stroke), (2) leg amputations, (3) Non Cardiovascular death.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Event-free survival is defined as the time from inclusion to the first documented event. If no event is observed, event-free survival is defined as the delay of follow-up.</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0" w:line="267" w:lineRule="auto"/>
              <w:ind w:left="78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the quality of life at weeks 12, 24 and 48;</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127" w:line="240" w:lineRule="auto"/>
              <w:ind w:left="78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the exercise oximetry results at weeks 12, 24 and 48;</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124" w:line="240" w:lineRule="auto"/>
              <w:ind w:left="789"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endothelial function at weeks 12, 24 and 48;</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127" w:line="352" w:lineRule="auto"/>
              <w:ind w:left="789" w:right="63"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pulmonary function and diffusion capacity of the lungs for carbon monoxide (DLCO) at week 24;</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8" w:line="338" w:lineRule="auto"/>
              <w:ind w:left="789" w:right="65"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arterial stiffness (Pulse Wave Velocity) and Central Blood Pressure with pOpmetre® at weeks 12, 24 and 48;</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89"/>
              </w:tabs>
              <w:spacing w:after="0" w:before="23" w:line="338" w:lineRule="auto"/>
              <w:ind w:left="789" w:right="63" w:hanging="36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improves arterial compliance and vascular resistance with Finometer® at weeks 12, 24 and 48;</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69"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2325"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9"/>
              </w:tabs>
              <w:spacing w:after="0" w:before="2" w:line="352" w:lineRule="auto"/>
              <w:ind w:left="789" w:right="61"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metabolomic signature and biological parameters between baseline and week 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evaluate:</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9"/>
              </w:tabs>
              <w:spacing w:after="0" w:before="127" w:line="240" w:lineRule="auto"/>
              <w:ind w:left="78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 with the treatment;</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9"/>
              </w:tabs>
              <w:spacing w:after="0" w:before="125" w:line="240" w:lineRule="auto"/>
              <w:ind w:left="78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tolerance and perceived symptoms.</w:t>
            </w:r>
          </w:p>
        </w:tc>
      </w:tr>
      <w:tr>
        <w:trPr>
          <w:cantSplit w:val="0"/>
          <w:trHeight w:val="10887"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6" w:lineRule="auto"/>
              <w:ind w:left="71" w:right="5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Secondary outcomes measures</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0" w:line="352" w:lineRule="auto"/>
              <w:ind w:left="789" w:right="62"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Rate of patients with surgical revascularization at weeks 24 and 48;</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8"/>
              </w:tabs>
              <w:spacing w:after="0" w:before="6"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Absolute change of the ACD from baseline to week 48;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69" w:right="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treadmill tests, walking will be conducted up to the maximum walking ability (not only the appearance of a pain) or to a maximum of 15 minutes.</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free survival (EFS) from baseline until week 48;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69" w:right="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"EVENT" is defined as either (1) major adverse cardiovascular events (MACE; including vascular deaths, non-fatal myocardial infarction and non-fatal stroke), (2) leg amputations, (3) Non Cardiovascular death.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Event-free survival is defined as the time from inclusion to the first documented event. If no event is observed, event-free survival is defined as the delay of follow-up.</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SF36 questionnaire at baseline, weeks 12, 24 and 48;</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124" w:line="352" w:lineRule="auto"/>
              <w:ind w:left="789" w:right="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Peripheral Artery Questionnaire at baseline, weeks 12, 24 and 48;</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7" w:line="352" w:lineRule="auto"/>
              <w:ind w:left="789" w:right="62"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in exercise oximetry results between baseline and weeks 12, 24 and 48;</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7" w:line="352" w:lineRule="auto"/>
              <w:ind w:left="789" w:right="5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in endothelial function between baseline and weeks 12, 24 and 48;</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7" w:line="352" w:lineRule="auto"/>
              <w:ind w:left="789" w:right="6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in pulmonary function and diffusion capacity of the lungs for carbon monoxide (DLCO) at week 24 from baseline;</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9"/>
              </w:tabs>
              <w:spacing w:after="0" w:before="5" w:line="357" w:lineRule="auto"/>
              <w:ind w:left="789" w:right="5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in arterial stiffness (Pulse Wave Velocity) and Central Blood Pressure with pOpmetre® between baseline and weeks 12, 24 and 48;</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8"/>
              </w:tabs>
              <w:spacing w:after="0" w:before="0" w:line="268"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in arterial compliance and vascular resistance with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8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Finometer® between baseline and weeks 12, 24 and 48;</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1567"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9"/>
              </w:tabs>
              <w:spacing w:after="0" w:before="2" w:line="352" w:lineRule="auto"/>
              <w:ind w:left="789" w:right="64"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in metabolomics signature between baseline and week 24;</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9"/>
              </w:tabs>
              <w:spacing w:after="0" w:before="5" w:line="240" w:lineRule="auto"/>
              <w:ind w:left="78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 with the treatment;</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9"/>
              </w:tabs>
              <w:spacing w:after="0" w:before="126" w:line="240" w:lineRule="auto"/>
              <w:ind w:left="78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Tolerance and perceived symptoms.</w:t>
            </w:r>
          </w:p>
        </w:tc>
      </w:tr>
      <w:tr>
        <w:trPr>
          <w:cantSplit w:val="0"/>
          <w:trHeight w:val="12145"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BENEFITS</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Individual benefit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Firstly, no therapy has proven effective on claudication and improvement of walking distance in patients with claudication. The use of sildenafil for this indication is expected to represent an undeniable benefit for the patient. We expect that a significant number of patients treated with sildenafil will be sufficiently improved compared to the control group to not require surgery anymore. Further, improving quality of life of patients suffering a chronic debilitating disease is a major issue in vascular medicine. It is expected that the treatment may help patient change from a vicious circle (pain &gt; inactivity &gt; disease progression &gt; pain &gt; increased morbi-mortality) to a virtuous circle (no pain &gt; improved ability for activity &gt; collateral vessel development &gt; slowing of disease progression &gt; decreased morbi-mortality).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Secondly, as for rehabilitation, we expect that functional result of patients who will nevertheless be revascularized will be higher in sildenafil treated patients than in the placebo group.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Collective benefit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69" w:right="6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cost of treatment of symptomatic PAD is high regardless of the technique used (reconstructive surgery, thrombolysis or amputation).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increase in morbidity and mortality have high direct costs: diagnosis requires very sophisticated techniques that only trained multidisciplinary teams can use, and the use of restorative vascular surgery proves at least as onerous as that of conventional surgery. Indirect costs are likely higher, though little is still known. Thus, the cost of social and professional impact has not been assessed although the treatment can lead to unemployment that may exceed 100 days over 24 weeks of follow 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Moreover revascularization treatments are not without complications such as surgical site infection (SSI), which is one of the most common postoperative complications after vascular reconstruction, resulting 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significant morbidity and hospital readmission.</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3922"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expected that the results from VIRTUOSE trial will produce:</w:t>
            </w:r>
          </w:p>
          <w:p w:rsidR="00000000" w:rsidDel="00000000" w:rsidP="00000000" w:rsidRDefault="00000000" w:rsidRPr="00000000" w14:paraId="000000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5"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direct and indirect costs for society</w:t>
            </w:r>
          </w:p>
          <w:p w:rsidR="00000000" w:rsidDel="00000000" w:rsidP="00000000" w:rsidRDefault="00000000" w:rsidRPr="00000000" w14:paraId="000000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4"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social and professional costs</w:t>
            </w:r>
          </w:p>
          <w:p w:rsidR="00000000" w:rsidDel="00000000" w:rsidP="00000000" w:rsidRDefault="00000000" w:rsidRPr="00000000" w14:paraId="0000005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7" w:line="352" w:lineRule="auto"/>
              <w:ind w:left="1137" w:right="62" w:hanging="361.00000000000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hospital readmission following complication after surgery</w:t>
            </w:r>
          </w:p>
          <w:p w:rsidR="00000000" w:rsidDel="00000000" w:rsidP="00000000" w:rsidRDefault="00000000" w:rsidRPr="00000000" w14:paraId="0000005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7"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morbi-mortality</w:t>
            </w:r>
          </w:p>
          <w:p w:rsidR="00000000" w:rsidDel="00000000" w:rsidP="00000000" w:rsidRDefault="00000000" w:rsidRPr="00000000" w14:paraId="0000006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6"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cardiovascular complications</w:t>
            </w:r>
          </w:p>
          <w:p w:rsidR="00000000" w:rsidDel="00000000" w:rsidP="00000000" w:rsidRDefault="00000000" w:rsidRPr="00000000" w14:paraId="0000006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4"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new paradigm in the medical treatment of IC and PAD</w:t>
            </w:r>
          </w:p>
          <w:p w:rsidR="00000000" w:rsidDel="00000000" w:rsidP="00000000" w:rsidRDefault="00000000" w:rsidRPr="00000000" w14:paraId="0000006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7"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Improvement in quality of life.</w:t>
            </w:r>
          </w:p>
          <w:p w:rsidR="00000000" w:rsidDel="00000000" w:rsidP="00000000" w:rsidRDefault="00000000" w:rsidRPr="00000000" w14:paraId="0000006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7"/>
              </w:tabs>
              <w:spacing w:after="0" w:before="126" w:line="240" w:lineRule="auto"/>
              <w:ind w:left="113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Transient help to attain a virtuous circle</w:t>
            </w:r>
          </w:p>
        </w:tc>
      </w:tr>
      <w:tr>
        <w:trPr>
          <w:cantSplit w:val="0"/>
          <w:trHeight w:val="9535"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RISKS</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risks associated with the study are mainly related to potential secondary and related adverse effect of sildenafil and marginally those of the diagnostic methods (TcpO2 &amp; walking treadmill test, respiratory function tests, Arterial stiffness and compliance, central blood pressure, vascular resistance) used in the follow-up period.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Risks related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sildenafil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have been studied extensively in the treatment of erectile dysfunction and for the treatment of pulmonary arterial hypertension. Apart from absolute restrictions and relatively well-tolerated side effects, risks related to the use of this treatment are low. Many side effects are reported according to the "product characteristics notice" (see appendix), but among frequent or severe effects are:</w:t>
            </w:r>
          </w:p>
          <w:p w:rsidR="00000000" w:rsidDel="00000000" w:rsidP="00000000" w:rsidRDefault="00000000" w:rsidRPr="00000000" w14:paraId="0000006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89"/>
              </w:tabs>
              <w:spacing w:after="0" w:before="0" w:line="357" w:lineRule="auto"/>
              <w:ind w:left="789" w:right="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Hypotension, dizziness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Hypotension is of particular risk during the night (orthostatic hypotension) with an increased risk of fallings. The use of a single morning intake as proposed in the VIRTUOSE study should significantly reduce this risk, due to the short half-life of the molecule.</w:t>
            </w:r>
          </w:p>
          <w:p w:rsidR="00000000" w:rsidDel="00000000" w:rsidP="00000000" w:rsidRDefault="00000000" w:rsidRPr="00000000" w14:paraId="000000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89"/>
              </w:tabs>
              <w:spacing w:after="0" w:before="2" w:line="357" w:lineRule="auto"/>
              <w:ind w:left="789" w:right="5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Headache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redness of the face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(skin redness),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dyspepsia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(heartburn),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limb pain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frequent but according to regular prescribers are rarely responsible for discontinuation of treatments.</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89"/>
              </w:tabs>
              <w:spacing w:after="0" w:before="2" w:line="357" w:lineRule="auto"/>
              <w:ind w:left="789" w:right="58"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Stroke or infarction or cardiac arrhythmia or death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events are frequent in PAD patients regardless of the treatment. We expect to find a lower rate in sildenafil treated patients than in the placebo group through the shift from vicious to virtuous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8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mechanisms allowed by the improved walking ability.</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1385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89"/>
              </w:tabs>
              <w:spacing w:after="0" w:before="2" w:line="357" w:lineRule="auto"/>
              <w:ind w:left="789" w:right="61"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visual problems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non-severe (color vision problems) although very rare but unpredictable complication have been observed (Non-arteritic anterior ischemic optic neuropathy (NAION)).</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89"/>
              </w:tabs>
              <w:spacing w:after="0" w:before="1" w:line="360" w:lineRule="auto"/>
              <w:ind w:left="789" w:right="58"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Cases of prolonged erection and priapism have been reported since marketing in patients receiving sildenafil. Sildenafil should be used with caution in patients with an anatomical malformation of the penis (such as angulation, corpus cavernosum sclerosis or Peyronie's disease) or in patients with conditions that may predispose them to priapism (such as sickle cell disease, multiple myeloma or leukemia).</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8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risk may be increased by daily use of sildenafil. However, it should be noted that the majority of patients with AOMI are also at risk for erectile dysfunction. The urology departments of the associated investigative centers will be informed of the VIRTUOSE study in the event that a patient presents to the emergency department with priapism.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89" w:right="6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will be invited to contact the emergency department for prompt treatment.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8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an erection lasts longer than 4 hours, the patient should immediately seek medical assistance.</w:t>
            </w:r>
          </w:p>
          <w:p w:rsidR="00000000" w:rsidDel="00000000" w:rsidP="00000000" w:rsidRDefault="00000000" w:rsidRPr="00000000" w14:paraId="000000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89"/>
              </w:tabs>
              <w:spacing w:after="0" w:before="0" w:line="357" w:lineRule="auto"/>
              <w:ind w:left="789" w:right="61" w:hanging="36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Other side effects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rare or minor (headache, nasal congestion, myalgia, nausea, skin rash, palpitations, epistaxis, abdominal pain) and according to regular prescribers are rarely responsible for stopping treatment.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general, particular care will be taken to respect the contraindications and precautions for use of the product: leukemia, sickle cell disease, multiple myeloma, severe liver damage, severe hypotension, stroke or myocardial infarction less than 3 months old and patients under treatment of nitrates, imidazole derivatives, or ritonavir.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Women of childbearing potential and contraception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to a lack of data in pregnant women, sildenafil is not recommended in women of childbearing potential unless appropriate contraceptive measures are used. Effective contraception (estrogen-progestin or progestin-only pill, implant, IUD, etc.) will be necessary for the duration</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1328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the study. Each patient of childbearing potential who agrees to participate in the study will be required to commit to effective contraception during the study.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Pregnancy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69" w:right="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are no data from the use of sildenafil in pregnant women. Animal studies do not show direct or indirect harmful effects on pregnancy and embryo-fetal development. Studies in animals have shown postnatal developmental toxicity.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to a lack of data, sildenafil should not be used in pregnant women unless clearly necessary. Pregnant women cannot be included in VIRTUOSE.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Breast-feeding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are no specific studies in breastfeeding women. Data from a lactating woman showed excretion of sildenafil and its active metabolite, n-desmethylsildenafil, at very low concentrations in human milk. No clinical data are available on adverse reactions in breast-fed infants. Nevertheless, the amounts ingested would not a priori be likely to cause undesirable effects in the breast-fed newborn. Prescribers should consider the clinical benefit of sildenafil for the mother and the potential risk of side effects in the nursing child.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Fertility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Conventional preclinical fertility studies have not revealed any particular risk for humans.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Contraindication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Hypersensitivity to the active substance or to any of the excipients. Given the knowledge of its mode of action at the level of the nitrogen monoxide / cyclic guanosine monophosphate (cGMP) pathway, a potentiation of the hypotensive effects of nitrates by sildenafil has been demonstrated; its concomitant administration with nitrogen monoxide donors (such as amyl nitrite) or with nitrates, in any form whatsoever, is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therefore contraindicated.</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13664"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Co-administration of PDE5 inhibitors, such as sildenafil, with guanylate cyclase stimulators, such as riociguat, is contraindicated due to the risk of symptomatic hypotension.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used in the treatment of erectile dysfunction, including sildenafil, should not be used in men for whom sexual activity is not recommended (e.g. patients with severe cardiovascular problems such as unstable angina or severe heart failure).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Sildenafil is contraindicated in patients with loss of vision in one eye due to anterior non-arteritic ischemic optic neuropathy (NAION), whether or not this event was associated with previous exposure to a PDE5 inhibitor.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safety of sildenafil has not been studied in the following subgroups of patients: severe hepatic impairment, hypotension (blood pressure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&lt;90/50 mm Hg), recent history of stroke or myocardial infarction and cases of known hereditary degenerative disorders of the retina such as retinitis pigmentosa (a minority of these patients have genetic disorders of retinal phosphodiesterases).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Overdose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studies in volunteers receiving single doses up to 800 mg, side effects were the same as at lower doses, but their incidence and severity were increased. Doses of 200 mg do not provide greater efficacy, but the incidence of side effects (headache, flushing of the face, dizziness, dyspepsia, nasal congestion, visual disturbances) was increased.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event of an overdose, the usual symptomatic treatment measures should be implemented as needed. Kidney dialysis is not expected to accelerate the clearance of sildenafil, as it is highly bound to plasma proteins and not excreted in the urine.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the treadmill test and TcpO2 measurements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marginal. According to our experience, the risk of fall during a walking treadmill test is lower than 1 out of 5,000 tests. Chest pain or arrhythmias are criteria to stop the walking test. The prevalence of coronary lesions is high in PAD patients with possible appearance during the test of a severe discomfort or chest pain that suggests the presence of coronary artery disease. If occurring, such events will be handled by the physician in</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8417"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charge, and the review will be communicated immediately to the patient's physician and surgeon for usual treatment.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Concerning the measurement of TcpO2, to our knowledge no skin burns have been reported when 44.5°C temperature is applied to the skin for short periods. There is no causticity of the electrolyte should the membrane rupture. Allergy to adhesives is rare and has never led to complication in over 10,000 subjects’ on-going rest or exercise measurements.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the patients who will be included at Rennes University Hospital in a sub-study:</w:t>
            </w:r>
          </w:p>
          <w:p w:rsidR="00000000" w:rsidDel="00000000" w:rsidP="00000000" w:rsidRDefault="00000000" w:rsidRPr="00000000" w14:paraId="000000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s>
              <w:spacing w:after="0" w:before="0" w:line="360" w:lineRule="auto"/>
              <w:ind w:left="789" w:right="5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the Laser Speckle Contrast Imaging (LSCI)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marginal</w:t>
            </w:r>
          </w:p>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s>
              <w:spacing w:after="0" w:before="14" w:line="240" w:lineRule="auto"/>
              <w:ind w:left="78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pOpmetre</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measurements is marginal</w:t>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8"/>
              </w:tabs>
              <w:spacing w:after="0" w:before="155"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Finometer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measurements is marginal</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s>
              <w:spacing w:after="0" w:before="141" w:line="360" w:lineRule="auto"/>
              <w:ind w:left="789" w:right="63"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pulmonary function testing and diffusion capacity of the lungs for carbon monoxide (DLCO) assessment is marginal. This examination is routinely performed in our centre without any side effects reported.</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s>
              <w:spacing w:after="0" w:before="1" w:line="240" w:lineRule="auto"/>
              <w:ind w:left="789"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related to taking blood samples is innocuous and in any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6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temporary </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(bruising, venitis at the point of puncture, vagal discomfort, pain).</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6"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Methodology / Study description</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Experimental design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phase III, National, Multicenter, Prospective, Randomized, Double Blind, placebo-controlled clinical trial with two parallel groups.</w:t>
            </w:r>
          </w:p>
        </w:tc>
      </w:tr>
      <w:tr>
        <w:trPr>
          <w:cantSplit w:val="0"/>
          <w:trHeight w:val="4173"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Inclusion criteria</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123347430"/>
                <w:tag w:val="goog_rdk_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Patient ≥ 18 years old;</w:t>
                </w:r>
              </w:sdtContent>
            </w:sdt>
          </w:p>
          <w:p w:rsidR="00000000" w:rsidDel="00000000" w:rsidP="00000000" w:rsidRDefault="00000000" w:rsidRPr="00000000" w14:paraId="000000A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9"/>
              </w:tabs>
              <w:spacing w:after="0" w:before="126" w:line="360" w:lineRule="auto"/>
              <w:ind w:left="789" w:right="5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732790718"/>
                <w:tag w:val="goog_rdk_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with peripheral artery disease (ABI ≤ 0.90 or TBI ≤ 0.70 or post-exercise ABI decrease of 18.5% from rest or ABI Exercise TcPO2 with DROPmin ≤ -15 mm Hg) reporting stable limiting claudication despite optimal medical treatment (Antiplatelet/ Direct Oral Anticoagulant + Lipid Lowering Drugs + AT2 antagonists / ACE Inhibitors; unless contra-indication) and advice to walk for at least 4 weeks;</w:t>
                </w:r>
              </w:sdtContent>
            </w:sdt>
          </w:p>
          <w:p w:rsidR="00000000" w:rsidDel="00000000" w:rsidP="00000000" w:rsidRDefault="00000000" w:rsidRPr="00000000" w14:paraId="000000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9"/>
              </w:tabs>
              <w:spacing w:after="0" w:before="1" w:line="360" w:lineRule="auto"/>
              <w:ind w:left="789" w:right="62"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a walking capacity lower or equal to 500 meters on treadmill;</w:t>
            </w:r>
          </w:p>
          <w:p w:rsidR="00000000" w:rsidDel="00000000" w:rsidP="00000000" w:rsidRDefault="00000000" w:rsidRPr="00000000" w14:paraId="000000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8"/>
              </w:tabs>
              <w:spacing w:after="0" w:before="0" w:line="252.00000000000003"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affiliation to a social security agency</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76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Patient who has understood the protocol and signed the consent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 to participate.</w:t>
            </w:r>
          </w:p>
        </w:tc>
      </w:tr>
      <w:tr>
        <w:trPr>
          <w:cantSplit w:val="0"/>
          <w:trHeight w:val="10625"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Non-Inclusion criteria</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Revascularization already decided and scheduled;</w:t>
            </w:r>
          </w:p>
          <w:p w:rsidR="00000000" w:rsidDel="00000000" w:rsidP="00000000" w:rsidRDefault="00000000" w:rsidRPr="00000000" w14:paraId="000000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26" w:line="240" w:lineRule="auto"/>
              <w:ind w:left="788"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Critical limb ischemia;</w:t>
            </w:r>
          </w:p>
          <w:p w:rsidR="00000000" w:rsidDel="00000000" w:rsidP="00000000" w:rsidRDefault="00000000" w:rsidRPr="00000000" w14:paraId="000000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26" w:line="240" w:lineRule="auto"/>
              <w:ind w:left="788"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Life threatening disease;</w:t>
            </w:r>
          </w:p>
          <w:p w:rsidR="00000000" w:rsidDel="00000000" w:rsidP="00000000" w:rsidRDefault="00000000" w:rsidRPr="00000000" w14:paraId="000000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26" w:line="240" w:lineRule="auto"/>
              <w:ind w:left="788" w:right="0" w:hanging="35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Contraindication related to sildenafil:</w:t>
            </w:r>
          </w:p>
          <w:p w:rsidR="00000000" w:rsidDel="00000000" w:rsidP="00000000" w:rsidRDefault="00000000" w:rsidRPr="00000000" w14:paraId="000000B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126" w:line="362" w:lineRule="auto"/>
              <w:ind w:left="1274" w:right="63"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treated with nitrates or drugs interfering with the action of sildenafil</w:t>
            </w:r>
          </w:p>
          <w:p w:rsidR="00000000" w:rsidDel="00000000" w:rsidP="00000000" w:rsidRDefault="00000000" w:rsidRPr="00000000" w14:paraId="000000B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250" w:lineRule="auto"/>
              <w:ind w:left="1274"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Ongoing treatment by Ritonavir or alpha-blockers</w:t>
            </w:r>
          </w:p>
          <w:p w:rsidR="00000000" w:rsidDel="00000000" w:rsidP="00000000" w:rsidRDefault="00000000" w:rsidRPr="00000000" w14:paraId="000000B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127" w:line="360" w:lineRule="auto"/>
              <w:ind w:left="1274" w:right="62"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Hypersensitivity to sildenafil or any of the excipients (lactose monohydrate)</w:t>
            </w:r>
          </w:p>
          <w:p w:rsidR="00000000" w:rsidDel="00000000" w:rsidP="00000000" w:rsidRDefault="00000000" w:rsidRPr="00000000" w14:paraId="000000B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360" w:lineRule="auto"/>
              <w:ind w:left="1274" w:right="57"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Recent history of myocardial infarction or stroke &lt; 3 months</w:t>
            </w:r>
          </w:p>
          <w:p w:rsidR="00000000" w:rsidDel="00000000" w:rsidP="00000000" w:rsidRDefault="00000000" w:rsidRPr="00000000" w14:paraId="000000B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360" w:lineRule="auto"/>
              <w:ind w:left="1274" w:right="62"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Severe cardiovascular disorders such as unstable angina, severe cardiac failure and cardiomyopathy</w:t>
            </w:r>
          </w:p>
          <w:p w:rsidR="00000000" w:rsidDel="00000000" w:rsidP="00000000" w:rsidRDefault="00000000" w:rsidRPr="00000000" w14:paraId="000000B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252.00000000000003" w:lineRule="auto"/>
              <w:ind w:left="1274"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Hypotension (Blood pressure &lt; 90/50 mmHg)</w:t>
            </w:r>
          </w:p>
          <w:p w:rsidR="00000000" w:rsidDel="00000000" w:rsidP="00000000" w:rsidRDefault="00000000" w:rsidRPr="00000000" w14:paraId="000000B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128" w:line="240" w:lineRule="auto"/>
              <w:ind w:left="1274"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Severe renal or hepatic failure</w:t>
            </w:r>
          </w:p>
          <w:p w:rsidR="00000000" w:rsidDel="00000000" w:rsidP="00000000" w:rsidRDefault="00000000" w:rsidRPr="00000000" w14:paraId="000000B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126" w:line="240" w:lineRule="auto"/>
              <w:ind w:left="1274"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Amblyopia</w:t>
            </w:r>
          </w:p>
          <w:p w:rsidR="00000000" w:rsidDel="00000000" w:rsidP="00000000" w:rsidRDefault="00000000" w:rsidRPr="00000000" w14:paraId="000000B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126" w:line="360" w:lineRule="auto"/>
              <w:ind w:left="1274" w:right="59"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Loss of vision in one eye because of Non-arterial ischemic Ophtalmic Neuropathy (NAION)</w:t>
            </w:r>
          </w:p>
          <w:p w:rsidR="00000000" w:rsidDel="00000000" w:rsidP="00000000" w:rsidRDefault="00000000" w:rsidRPr="00000000" w14:paraId="000000C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360" w:lineRule="auto"/>
              <w:ind w:left="1274" w:right="62" w:hanging="36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Known hereditary degenerative retinal disorders such as retinitis pigmentosa</w:t>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74"/>
              </w:tabs>
              <w:spacing w:after="0" w:before="0" w:line="252.00000000000003" w:lineRule="auto"/>
              <w:ind w:left="1274"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Leukemia, Drepanocytosis, Multiple Myeloma</w:t>
            </w:r>
          </w:p>
          <w:p w:rsidR="00000000" w:rsidDel="00000000" w:rsidP="00000000" w:rsidRDefault="00000000" w:rsidRPr="00000000" w14:paraId="000000C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26"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Pregnancy or breastfeeding;</w:t>
            </w:r>
          </w:p>
          <w:p w:rsidR="00000000" w:rsidDel="00000000" w:rsidP="00000000" w:rsidRDefault="00000000" w:rsidRPr="00000000" w14:paraId="000000C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9"/>
              </w:tabs>
              <w:spacing w:after="0" w:before="127" w:line="360" w:lineRule="auto"/>
              <w:ind w:left="789" w:right="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Subjects under reinforced protection, deprived of liberty by judicial or administrative decision, hospitalized without consent or admitted to a health or social care establishment for purposes other than research;</w:t>
            </w:r>
          </w:p>
          <w:p w:rsidR="00000000" w:rsidDel="00000000" w:rsidP="00000000" w:rsidRDefault="00000000" w:rsidRPr="00000000" w14:paraId="000000C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8"/>
              </w:tabs>
              <w:spacing w:after="0" w:before="1" w:line="240" w:lineRule="auto"/>
              <w:ind w:left="788" w:right="0" w:hanging="35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Being in an exclusion period for another clinical study or in an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ongoing interventional clinical study.</w:t>
            </w:r>
          </w:p>
        </w:tc>
      </w:tr>
      <w:tr>
        <w:trPr>
          <w:cantSplit w:val="0"/>
          <w:trHeight w:val="2308"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Treatments / Strategies / Procedures</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Eligible patients will be randomized in two groups:</w:t>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89"/>
              </w:tabs>
              <w:spacing w:after="0" w:before="124" w:line="240" w:lineRule="auto"/>
              <w:ind w:left="789"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Experimental group</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Sildenafil citrate 140 mg/day (single morning oral dose of 140 mg) for a total duration of 24 weeks.</w:t>
            </w:r>
          </w:p>
          <w:p w:rsidR="00000000" w:rsidDel="00000000" w:rsidP="00000000" w:rsidRDefault="00000000" w:rsidRPr="00000000" w14:paraId="000000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89"/>
              </w:tabs>
              <w:spacing w:after="0" w:before="0" w:line="268" w:lineRule="auto"/>
              <w:ind w:left="789"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Control group</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Placebo (single morning oral dose) for a total duration of 24 weeks.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835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Treatment will be proposed in addition to optimal treatment (Antiplatelet/ Direct Oral Anticoagulant + Lipid Lowering Drugs + AT2 antagonists / ACE Inhibitors; unless contra-indicated) + advice to walk. The experimental drug will be delivered for a 4 weeks treatment period. Phone contact will be carried out at 7 and 14 days focusing on tolerance, compliance and eventual side effects.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follow up visit at week 4 will focus on tolerance, compliance and side effects. If no major side effect is found, the study drug will be delivered for an additional 8 weeks.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contact will be carried out at 8 weeks focusing on tolerance, compliance and eventual side effects.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will be evaluated at week 12 (second follow-up visit) for persistent or non-persistent indication for revascularization and considered for revascularization if needed. In parallel, attention will be given to tolerance, compliance and eventual side effects. If no major side effect is found, the study drug will be delivered for an additional 12 weeks period.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9" w:right="6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Phone contact will be carried out at weeks 16 and 20 focusing on tolerance, compliance and eventual side effects.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 and fourth follow-up visits are scheduled at week 24 (end of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treatment) and week 48 (24 weeks after the end of experimental drugs).</w:t>
            </w:r>
          </w:p>
        </w:tc>
      </w:tr>
      <w:tr>
        <w:trPr>
          <w:cantSplit w:val="0"/>
          <w:trHeight w:val="758"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Number of patients</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Total number of patients to be randomized:</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220: 110 (sildenafil) + 110 (Placebo of sildenafil)</w:t>
            </w:r>
          </w:p>
        </w:tc>
      </w:tr>
      <w:tr>
        <w:trPr>
          <w:cantSplit w:val="0"/>
          <w:trHeight w:val="3292"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439" w:lineRule="auto"/>
              <w:ind w:left="71" w:right="79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SAFETY MONITORING COMMITTEE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69" w:right="6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independent Data and Safety Monitoring Board (DSMB) is not needed for this study because:</w:t>
            </w:r>
          </w:p>
          <w:p w:rsidR="00000000" w:rsidDel="00000000" w:rsidP="00000000" w:rsidRDefault="00000000" w:rsidRPr="00000000" w14:paraId="000000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9"/>
              </w:tabs>
              <w:spacing w:after="0" w:before="0" w:line="360" w:lineRule="auto"/>
              <w:ind w:left="789" w:right="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investigational medicinal product (sildenafil) has already been authorised on the European market since 1999 (Viagra®), already indicated in elderly men, and its side effects are well known.</w:t>
            </w:r>
          </w:p>
          <w:p w:rsidR="00000000" w:rsidDel="00000000" w:rsidP="00000000" w:rsidRDefault="00000000" w:rsidRPr="00000000" w14:paraId="000000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9"/>
              </w:tabs>
              <w:spacing w:after="0" w:before="0" w:line="360" w:lineRule="auto"/>
              <w:ind w:left="789" w:right="6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patient selection criteria take into account contraindications.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78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interim analysis is planned for this study.</w:t>
            </w:r>
          </w:p>
        </w:tc>
      </w:tr>
      <w:tr>
        <w:trPr>
          <w:cantSplit w:val="0"/>
          <w:trHeight w:val="1516"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Trial calendar</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9" w:right="10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Anticipated Duration of Recruitment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36 months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Duration of participation of each patient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 months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Duration of analysis of data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 months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Estimated total duration of study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 months</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1200" w:top="1400" w:left="1275" w:right="1133" w:header="718" w:footer="1003"/>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25.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6455"/>
        <w:tblGridChange w:id="0">
          <w:tblGrid>
            <w:gridCol w:w="2770"/>
            <w:gridCol w:w="6455"/>
          </w:tblGrid>
        </w:tblGridChange>
      </w:tblGrid>
      <w:tr>
        <w:trPr>
          <w:cantSplit w:val="0"/>
          <w:trHeight w:val="381"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 OF CENTERS</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appendix « List of investigators »</w:t>
            </w:r>
          </w:p>
        </w:tc>
      </w:tr>
      <w:tr>
        <w:trPr>
          <w:cantSplit w:val="0"/>
          <w:trHeight w:val="4601"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96" w:lineRule="auto"/>
              <w:ind w:left="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Expected results and perspectives</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s>
              <w:spacing w:after="0" w:before="0" w:line="357" w:lineRule="auto"/>
              <w:ind w:left="789" w:right="6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Improving quality of life of patients suffering a chronic debilitating disease is a major issue not only in vascular medicine.</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s>
              <w:spacing w:after="0" w:before="0" w:line="352" w:lineRule="auto"/>
              <w:ind w:left="789" w:right="6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expected that the treatment may help patients change from a vicious circle (Pain &gt; inactivity &gt; disease progression &gt; pain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789" w:right="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increased morbi-mortality) to a virtuous circle (no Pain &gt; improved ability for activity &gt; collateral vessel development &gt; slowing of disease progression &gt; decreased morbi-mortality )</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s>
              <w:spacing w:after="0" w:before="0" w:line="357" w:lineRule="auto"/>
              <w:ind w:left="789" w:right="63"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expect that half of the patients that fulfil inclusion criteria will be sufficiently improved not to require surgery anymore even 24 weeks after the end of the drug as a result of this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virtuous circle.</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1200" w:top="1400" w:left="1275" w:right="1133" w:header="718" w:footer="10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72376</wp:posOffset>
              </wp:positionH>
              <wp:positionV relativeFrom="paragraph">
                <wp:posOffset>9911150</wp:posOffset>
              </wp:positionV>
              <wp:extent cx="758190" cy="175260"/>
              <wp:effectExtent b="0" l="0" r="0" t="0"/>
              <wp:wrapNone/>
              <wp:docPr id="1" name=""/>
              <a:graphic>
                <a:graphicData uri="http://schemas.microsoft.com/office/word/2010/wordprocessingShape">
                  <wps:wsp>
                    <wps:cNvSpPr/>
                    <wps:cNvPr id="2" name="Shape 2"/>
                    <wps:spPr>
                      <a:xfrm>
                        <a:off x="4971668" y="3697133"/>
                        <a:ext cx="748665" cy="16573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Study abstract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72376</wp:posOffset>
              </wp:positionH>
              <wp:positionV relativeFrom="paragraph">
                <wp:posOffset>9911150</wp:posOffset>
              </wp:positionV>
              <wp:extent cx="758190" cy="175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8190"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2252027</wp:posOffset>
              </wp:positionH>
              <wp:positionV relativeFrom="paragraph">
                <wp:posOffset>9911150</wp:posOffset>
              </wp:positionV>
              <wp:extent cx="1439545" cy="175260"/>
              <wp:effectExtent b="0" l="0" r="0" t="0"/>
              <wp:wrapNone/>
              <wp:docPr id="3" name=""/>
              <a:graphic>
                <a:graphicData uri="http://schemas.microsoft.com/office/word/2010/wordprocessingShape">
                  <wps:wsp>
                    <wps:cNvSpPr/>
                    <wps:cNvPr id="4" name="Shape 4"/>
                    <wps:spPr>
                      <a:xfrm>
                        <a:off x="4630990" y="3697133"/>
                        <a:ext cx="1430020" cy="16573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Version 10.0 of 26/06/2025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2252027</wp:posOffset>
              </wp:positionH>
              <wp:positionV relativeFrom="paragraph">
                <wp:posOffset>9911150</wp:posOffset>
              </wp:positionV>
              <wp:extent cx="1439545" cy="17526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39545" cy="1752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5131498</wp:posOffset>
              </wp:positionH>
              <wp:positionV relativeFrom="paragraph">
                <wp:posOffset>9911150</wp:posOffset>
              </wp:positionV>
              <wp:extent cx="738505" cy="175260"/>
              <wp:effectExtent b="0" l="0" r="0" t="0"/>
              <wp:wrapNone/>
              <wp:docPr id="2" name=""/>
              <a:graphic>
                <a:graphicData uri="http://schemas.microsoft.com/office/word/2010/wordprocessingShape">
                  <wps:wsp>
                    <wps:cNvSpPr/>
                    <wps:cNvPr id="3" name="Shape 3"/>
                    <wps:spPr>
                      <a:xfrm>
                        <a:off x="4981510" y="3697133"/>
                        <a:ext cx="728980" cy="16573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Page  PAGE 10 of  NUMPAGES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5131498</wp:posOffset>
              </wp:positionH>
              <wp:positionV relativeFrom="paragraph">
                <wp:posOffset>9911150</wp:posOffset>
              </wp:positionV>
              <wp:extent cx="738505"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3850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5211128</wp:posOffset>
              </wp:positionH>
              <wp:positionV relativeFrom="page">
                <wp:posOffset>438271</wp:posOffset>
              </wp:positionV>
              <wp:extent cx="1466215" cy="175260"/>
              <wp:effectExtent b="0" l="0" r="0" t="0"/>
              <wp:wrapNone/>
              <wp:docPr id="4" name=""/>
              <a:graphic>
                <a:graphicData uri="http://schemas.microsoft.com/office/word/2010/wordprocessingShape">
                  <wps:wsp>
                    <wps:cNvSpPr/>
                    <wps:cNvPr id="5" name="Shape 5"/>
                    <wps:spPr>
                      <a:xfrm>
                        <a:off x="4617655" y="3697133"/>
                        <a:ext cx="1456690" cy="16573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35RC17_8844_VIRTUOSE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5211128</wp:posOffset>
              </wp:positionH>
              <wp:positionV relativeFrom="page">
                <wp:posOffset>438271</wp:posOffset>
              </wp:positionV>
              <wp:extent cx="1466215" cy="17526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66215"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2">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3">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4">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5">
    <w:lvl w:ilvl="0">
      <w:start w:val="0"/>
      <w:numFmt w:val="bullet"/>
      <w:lvlText w:val="●"/>
      <w:lvlJc w:val="left"/>
      <w:pPr>
        <w:ind w:left="789" w:hanging="359.99999999999994"/>
      </w:pPr>
      <w:rPr>
        <w:rFonts w:ascii="Noto Sans Symbols" w:cs="Noto Sans Symbols" w:eastAsia="Noto Sans Symbols" w:hAnsi="Noto Sans Symbols"/>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6">
    <w:lvl w:ilvl="0">
      <w:start w:val="0"/>
      <w:numFmt w:val="bullet"/>
      <w:lvlText w:val="-"/>
      <w:lvlJc w:val="left"/>
      <w:pPr>
        <w:ind w:left="789" w:hanging="359.99999999999994"/>
      </w:pPr>
      <w:rPr>
        <w:rFonts w:ascii="Arial" w:cs="Arial" w:eastAsia="Arial" w:hAnsi="Arial"/>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7">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8">
    <w:lvl w:ilvl="0">
      <w:start w:val="1"/>
      <w:numFmt w:val="decimal"/>
      <w:lvlText w:val="%1."/>
      <w:lvlJc w:val="left"/>
      <w:pPr>
        <w:ind w:left="789" w:hanging="359.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1274" w:hanging="360.9999999999999"/>
      </w:pPr>
      <w:rPr>
        <w:rFonts w:ascii="Times New Roman" w:cs="Times New Roman" w:eastAsia="Times New Roman" w:hAnsi="Times New Roman"/>
        <w:b w:val="0"/>
        <w:bCs w:val="0"/>
        <w:i w:val="0"/>
        <w:iCs w:val="0"/>
        <w:sz w:val="22"/>
        <w:szCs w:val="22"/>
      </w:rPr>
    </w:lvl>
    <w:lvl w:ilvl="2">
      <w:start w:val="0"/>
      <w:numFmt w:val="bullet"/>
      <w:lvlText w:val="•"/>
      <w:lvlJc w:val="left"/>
      <w:pPr>
        <w:ind w:left="1853" w:hanging="360.9999999999998"/>
      </w:pPr>
      <w:rPr/>
    </w:lvl>
    <w:lvl w:ilvl="3">
      <w:start w:val="0"/>
      <w:numFmt w:val="bullet"/>
      <w:lvlText w:val="•"/>
      <w:lvlJc w:val="left"/>
      <w:pPr>
        <w:ind w:left="2427" w:hanging="361"/>
      </w:pPr>
      <w:rPr/>
    </w:lvl>
    <w:lvl w:ilvl="4">
      <w:start w:val="0"/>
      <w:numFmt w:val="bullet"/>
      <w:lvlText w:val="•"/>
      <w:lvlJc w:val="left"/>
      <w:pPr>
        <w:ind w:left="3001" w:hanging="361"/>
      </w:pPr>
      <w:rPr/>
    </w:lvl>
    <w:lvl w:ilvl="5">
      <w:start w:val="0"/>
      <w:numFmt w:val="bullet"/>
      <w:lvlText w:val="•"/>
      <w:lvlJc w:val="left"/>
      <w:pPr>
        <w:ind w:left="3575" w:hanging="361"/>
      </w:pPr>
      <w:rPr/>
    </w:lvl>
    <w:lvl w:ilvl="6">
      <w:start w:val="0"/>
      <w:numFmt w:val="bullet"/>
      <w:lvlText w:val="•"/>
      <w:lvlJc w:val="left"/>
      <w:pPr>
        <w:ind w:left="4149" w:hanging="361.00000000000045"/>
      </w:pPr>
      <w:rPr/>
    </w:lvl>
    <w:lvl w:ilvl="7">
      <w:start w:val="0"/>
      <w:numFmt w:val="bullet"/>
      <w:lvlText w:val="•"/>
      <w:lvlJc w:val="left"/>
      <w:pPr>
        <w:ind w:left="4723" w:hanging="361"/>
      </w:pPr>
      <w:rPr/>
    </w:lvl>
    <w:lvl w:ilvl="8">
      <w:start w:val="0"/>
      <w:numFmt w:val="bullet"/>
      <w:lvlText w:val="•"/>
      <w:lvlJc w:val="left"/>
      <w:pPr>
        <w:ind w:left="5297" w:hanging="361"/>
      </w:pPr>
      <w:rPr/>
    </w:lvl>
  </w:abstractNum>
  <w:abstractNum w:abstractNumId="9">
    <w:lvl w:ilvl="0">
      <w:start w:val="1"/>
      <w:numFmt w:val="decimal"/>
      <w:lvlText w:val="%1."/>
      <w:lvlJc w:val="left"/>
      <w:pPr>
        <w:ind w:left="789" w:hanging="359.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10">
    <w:lvl w:ilvl="0">
      <w:start w:val="0"/>
      <w:numFmt w:val="bullet"/>
      <w:lvlText w:val="-"/>
      <w:lvlJc w:val="left"/>
      <w:pPr>
        <w:ind w:left="789" w:hanging="359.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11">
    <w:lvl w:ilvl="0">
      <w:start w:val="0"/>
      <w:numFmt w:val="bullet"/>
      <w:lvlText w:val="●"/>
      <w:lvlJc w:val="left"/>
      <w:pPr>
        <w:ind w:left="789" w:hanging="359.99999999999994"/>
      </w:pPr>
      <w:rPr>
        <w:rFonts w:ascii="Noto Sans Symbols" w:cs="Noto Sans Symbols" w:eastAsia="Noto Sans Symbols" w:hAnsi="Noto Sans Symbols"/>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12">
    <w:lvl w:ilvl="0">
      <w:start w:val="0"/>
      <w:numFmt w:val="bullet"/>
      <w:lvlText w:val="●"/>
      <w:lvlJc w:val="left"/>
      <w:pPr>
        <w:ind w:left="78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46" w:hanging="360"/>
      </w:pPr>
      <w:rPr/>
    </w:lvl>
    <w:lvl w:ilvl="2">
      <w:start w:val="0"/>
      <w:numFmt w:val="bullet"/>
      <w:lvlText w:val="•"/>
      <w:lvlJc w:val="left"/>
      <w:pPr>
        <w:ind w:left="1913" w:hanging="360"/>
      </w:pPr>
      <w:rPr/>
    </w:lvl>
    <w:lvl w:ilvl="3">
      <w:start w:val="0"/>
      <w:numFmt w:val="bullet"/>
      <w:lvlText w:val="•"/>
      <w:lvlJc w:val="left"/>
      <w:pPr>
        <w:ind w:left="2479" w:hanging="360"/>
      </w:pPr>
      <w:rPr/>
    </w:lvl>
    <w:lvl w:ilvl="4">
      <w:start w:val="0"/>
      <w:numFmt w:val="bullet"/>
      <w:lvlText w:val="•"/>
      <w:lvlJc w:val="left"/>
      <w:pPr>
        <w:ind w:left="3046" w:hanging="360"/>
      </w:pPr>
      <w:rPr/>
    </w:lvl>
    <w:lvl w:ilvl="5">
      <w:start w:val="0"/>
      <w:numFmt w:val="bullet"/>
      <w:lvlText w:val="•"/>
      <w:lvlJc w:val="left"/>
      <w:pPr>
        <w:ind w:left="3612" w:hanging="360"/>
      </w:pPr>
      <w:rPr/>
    </w:lvl>
    <w:lvl w:ilvl="6">
      <w:start w:val="0"/>
      <w:numFmt w:val="bullet"/>
      <w:lvlText w:val="•"/>
      <w:lvlJc w:val="left"/>
      <w:pPr>
        <w:ind w:left="4179" w:hanging="360"/>
      </w:pPr>
      <w:rPr/>
    </w:lvl>
    <w:lvl w:ilvl="7">
      <w:start w:val="0"/>
      <w:numFmt w:val="bullet"/>
      <w:lvlText w:val="•"/>
      <w:lvlJc w:val="left"/>
      <w:pPr>
        <w:ind w:left="4745" w:hanging="360"/>
      </w:pPr>
      <w:rPr/>
    </w:lvl>
    <w:lvl w:ilvl="8">
      <w:start w:val="0"/>
      <w:numFmt w:val="bullet"/>
      <w:lvlText w:val="•"/>
      <w:lvlJc w:val="left"/>
      <w:pPr>
        <w:ind w:left="5312" w:hanging="360"/>
      </w:pPr>
      <w:rPr/>
    </w:lvl>
  </w:abstractNum>
  <w:abstractNum w:abstractNumId="13">
    <w:lvl w:ilvl="0">
      <w:start w:val="0"/>
      <w:numFmt w:val="bullet"/>
      <w:lvlText w:val="●"/>
      <w:lvlJc w:val="left"/>
      <w:pPr>
        <w:ind w:left="1137"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670" w:hanging="361"/>
      </w:pPr>
      <w:rPr/>
    </w:lvl>
    <w:lvl w:ilvl="2">
      <w:start w:val="0"/>
      <w:numFmt w:val="bullet"/>
      <w:lvlText w:val="•"/>
      <w:lvlJc w:val="left"/>
      <w:pPr>
        <w:ind w:left="2201" w:hanging="361"/>
      </w:pPr>
      <w:rPr/>
    </w:lvl>
    <w:lvl w:ilvl="3">
      <w:start w:val="0"/>
      <w:numFmt w:val="bullet"/>
      <w:lvlText w:val="•"/>
      <w:lvlJc w:val="left"/>
      <w:pPr>
        <w:ind w:left="2731" w:hanging="360.99999999999955"/>
      </w:pPr>
      <w:rPr/>
    </w:lvl>
    <w:lvl w:ilvl="4">
      <w:start w:val="0"/>
      <w:numFmt w:val="bullet"/>
      <w:lvlText w:val="•"/>
      <w:lvlJc w:val="left"/>
      <w:pPr>
        <w:ind w:left="3262" w:hanging="361.00000000000045"/>
      </w:pPr>
      <w:rPr/>
    </w:lvl>
    <w:lvl w:ilvl="5">
      <w:start w:val="0"/>
      <w:numFmt w:val="bullet"/>
      <w:lvlText w:val="•"/>
      <w:lvlJc w:val="left"/>
      <w:pPr>
        <w:ind w:left="3792" w:hanging="361.00000000000045"/>
      </w:pPr>
      <w:rPr/>
    </w:lvl>
    <w:lvl w:ilvl="6">
      <w:start w:val="0"/>
      <w:numFmt w:val="bullet"/>
      <w:lvlText w:val="•"/>
      <w:lvlJc w:val="left"/>
      <w:pPr>
        <w:ind w:left="4323" w:hanging="361"/>
      </w:pPr>
      <w:rPr/>
    </w:lvl>
    <w:lvl w:ilvl="7">
      <w:start w:val="0"/>
      <w:numFmt w:val="bullet"/>
      <w:lvlText w:val="•"/>
      <w:lvlJc w:val="left"/>
      <w:pPr>
        <w:ind w:left="4853" w:hanging="361"/>
      </w:pPr>
      <w:rPr/>
    </w:lvl>
    <w:lvl w:ilvl="8">
      <w:start w:val="0"/>
      <w:numFmt w:val="bullet"/>
      <w:lvlText w:val="•"/>
      <w:lvlJc w:val="left"/>
      <w:pPr>
        <w:ind w:left="5384"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51" w:lineRule="auto"/>
      <w:ind w:right="142"/>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UiADVrw3RtUK3pnN6phIpIDPZg==">CgMxLjAaJQoBMBIgCh4IB0IaCg9UaW1lcyBOZXcgUm9tYW4SB0d1bmdzdWgaJQoBMRIgCh4IB0IaCg9UaW1lcyBOZXcgUm9tYW4SB0d1bmdzdWg4AHIhMU94ZXkzNDdaTUl6WnFQRFpUUHotUUxaUUR2T0ZtMWps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2025-07-01T00:00:00Z</vt:lpwstr>
  </property>
  <property fmtid="{D5CDD505-2E9C-101B-9397-08002B2CF9AE}" pid="3" name="Creator">
    <vt:lpwstr>Microsoft® Word LTSC</vt:lpwstr>
  </property>
  <property fmtid="{D5CDD505-2E9C-101B-9397-08002B2CF9AE}" pid="4" name="LastSaved">
    <vt:lpwstr>2026-04-15T00:00:00Z</vt:lpwstr>
  </property>
  <property fmtid="{D5CDD505-2E9C-101B-9397-08002B2CF9AE}" pid="5" name="Producer">
    <vt:lpwstr>Microsoft® Word LTSC</vt:lpwstr>
  </property>
</Properties>
</file>