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72"/>
          <w:szCs w:val="72"/>
        </w:rPr>
        <w:t xml:space="preserve">ORTIZNOR</w:t>
      </w:r>
    </w:p>
    <w:p>
      <w:pPr>
        <w:spacing w:after="100"/>
        <w:jc w:val="center"/>
      </w:pPr>
      <w:r>
        <w:rPr>
          <w:color w:val="444444"/>
          <w:sz w:val="32"/>
          <w:szCs w:val="32"/>
        </w:rPr>
        <w:t xml:space="preserve">Documento Maestro — Especificación Técnica</w:t>
      </w:r>
    </w:p>
    <w:p>
      <w:pPr>
        <w:spacing w:after="100"/>
        <w:jc w:val="center"/>
      </w:pPr>
      <w:r>
        <w:rPr>
          <w:i/>
          <w:iCs/>
          <w:color w:val="666666"/>
          <w:sz w:val="24"/>
          <w:szCs w:val="24"/>
        </w:rPr>
        <w:t xml:space="preserve">Sistema Experto para Generación Automática de Informes de Ecocardiografía Transtorácica</w:t>
      </w:r>
    </w:p>
    <w:p>
      <w:pPr>
        <w:spacing w:after="400"/>
        <w:jc w:val="center"/>
      </w:pPr>
      <w:r>
        <w:rPr>
          <w:color w:val="666666"/>
          <w:sz w:val="22"/>
          <w:szCs w:val="22"/>
        </w:rPr>
        <w:t xml:space="preserve">Versión 1.0 — Consolidado con sesión de refinamiento de códigos</w:t>
      </w:r>
    </w:p>
    <w:p>
      <w:pPr>
        <w:jc w:val="center"/>
      </w:pPr>
      <w:r>
        <w:rPr>
          <w:color w:val="888888"/>
          <w:sz w:val="20"/>
          <w:szCs w:val="20"/>
        </w:rPr>
        <w:t xml:space="preserve">Documento integrado a partir de los cinco hilos de trabajo del proyecto (eco_1 a eco_5).</w:t>
      </w:r>
    </w:p>
    <w:p>
      <w:r>
        <w:br w:type="page"/>
      </w:r>
    </w:p>
    <w:p>
      <w:pPr>
        <w:pStyle w:val="Heading1"/>
        <w:spacing w:after="200" w:before="400"/>
      </w:pPr>
      <w:r>
        <w:t xml:space="preserve">Módulo 0 — Filosofía del Sistema</w:t>
      </w:r>
    </w:p>
    <w:p>
      <w:pPr>
        <w:spacing w:after="120"/>
      </w:pPr>
      <w:r>
        <w:t xml:space="preserve">ORTIZNOR es un lenguaje estructurado de ecocardiografía y, sobre esa base, un motor experto de interpretación clínica. Transforma una entrada mínima de datos (medidas y códigos abreviados) en un informe ecocardiográfico completo, reproducible y basado en reglas — no en una IA que redacta libremente cada vez.</w:t>
      </w:r>
    </w:p>
    <w:p>
      <w:pPr>
        <w:pStyle w:val="Heading2"/>
        <w:spacing w:after="150" w:before="300"/>
      </w:pPr>
      <w:r>
        <w:t xml:space="preserve">Principio rector</w:t>
      </w:r>
    </w:p>
    <w:p>
      <w:pPr>
        <w:spacing w:after="120"/>
      </w:pPr>
      <w:r>
        <w:t xml:space="preserve">ORTIZNOR no debe diseñarse como una aplicación que interpreta ecocardiogramas, sino como un motor experto de conocimiento ecocardiográfico independiente de la plataforma. La aplicación (web, móvil o de escritorio) es únicamente la interfaz de entrada y salida; el verdadero valor reside en el Motor ORTIZNOR: un archivo maestro de reglas clínicas, criterios cuantitativos, algoritmos de decisión y referencias científicas.</w:t>
      </w:r>
    </w:p>
    <w:p>
      <w:pPr>
        <w:pStyle w:val="Heading2"/>
        <w:spacing w:after="150" w:before="300"/>
      </w:pPr>
      <w:r>
        <w:t xml:space="preserve">Objetivos del sistema</w:t>
      </w:r>
    </w:p>
    <w:p>
      <w:pPr>
        <w:pStyle w:val="ListParagraph"/>
        <w:numPr>
          <w:ilvl w:val="0"/>
          <w:numId w:val="1"/>
        </w:numPr>
        <w:spacing w:after="60"/>
      </w:pPr>
      <w:r>
        <w:t xml:space="preserve">Estandarizar los informes ecocardiográficos y reducir la variabilidad entre estudios.</w:t>
      </w:r>
    </w:p>
    <w:p>
      <w:pPr>
        <w:pStyle w:val="ListParagraph"/>
        <w:numPr>
          <w:ilvl w:val="0"/>
          <w:numId w:val="1"/>
        </w:numPr>
        <w:spacing w:after="60"/>
      </w:pPr>
      <w:r>
        <w:t xml:space="preserve">Disminuir el tiempo de elaboración del informe.</w:t>
      </w:r>
    </w:p>
    <w:p>
      <w:pPr>
        <w:pStyle w:val="ListParagraph"/>
        <w:numPr>
          <w:ilvl w:val="0"/>
          <w:numId w:val="1"/>
        </w:numPr>
        <w:spacing w:after="60"/>
      </w:pPr>
      <w:r>
        <w:t xml:space="preserve">Servir como base para automatización futura mediante OCR e inteligencia artificial.</w:t>
      </w:r>
    </w:p>
    <w:p>
      <w:pPr>
        <w:pStyle w:val="ListParagraph"/>
        <w:numPr>
          <w:ilvl w:val="0"/>
          <w:numId w:val="1"/>
        </w:numPr>
        <w:spacing w:after="60"/>
      </w:pPr>
      <w:r>
        <w:t xml:space="preserve">Interpretar automáticamente datos cuantitativos, códigos abreviados y relaciones fisiopatológicas.</w:t>
      </w:r>
    </w:p>
    <w:p>
      <w:pPr>
        <w:pStyle w:val="ListParagraph"/>
        <w:numPr>
          <w:ilvl w:val="0"/>
          <w:numId w:val="1"/>
        </w:numPr>
        <w:spacing w:after="60"/>
      </w:pPr>
      <w:r>
        <w:t xml:space="preserve">Aplicar recomendaciones ASE/EACVI vigentes.</w:t>
      </w:r>
    </w:p>
    <w:p>
      <w:pPr>
        <w:pStyle w:val="ListParagraph"/>
        <w:numPr>
          <w:ilvl w:val="0"/>
          <w:numId w:val="1"/>
        </w:numPr>
        <w:spacing w:after="60"/>
      </w:pPr>
      <w:r>
        <w:t xml:space="preserve">Generar descripción anatómica y conclusiones diagnósticas jerarquizadas, integradas y no redundantes.</w:t>
      </w:r>
    </w:p>
    <w:p>
      <w:pPr>
        <w:pStyle w:val="Heading2"/>
        <w:spacing w:after="150" w:before="300"/>
      </w:pPr>
      <w:r>
        <w:t xml:space="preserve">Reglas generales de comportamiento</w:t>
      </w:r>
    </w:p>
    <w:p>
      <w:pPr>
        <w:pStyle w:val="ListParagraph"/>
        <w:numPr>
          <w:ilvl w:val="0"/>
          <w:numId w:val="1"/>
        </w:numPr>
        <w:spacing w:after="60"/>
      </w:pPr>
      <w:r>
        <w:t xml:space="preserve">La descripción siempre es anatómica y descriptiva; las conclusiones siempre son diagnósticas.</w:t>
      </w:r>
    </w:p>
    <w:p>
      <w:pPr>
        <w:pStyle w:val="ListParagraph"/>
        <w:numPr>
          <w:ilvl w:val="0"/>
          <w:numId w:val="1"/>
        </w:numPr>
        <w:spacing w:after="60"/>
      </w:pPr>
      <w:r>
        <w:t xml:space="preserve">El sistema integra automáticamente hallazgos relacionados en una sola conclusión (nunca frases repetidas o redundantes).</w:t>
      </w:r>
    </w:p>
    <w:p>
      <w:pPr>
        <w:pStyle w:val="ListParagraph"/>
        <w:numPr>
          <w:ilvl w:val="0"/>
          <w:numId w:val="1"/>
        </w:numPr>
        <w:spacing w:after="60"/>
      </w:pPr>
      <w:r>
        <w:t xml:space="preserve">Nunca sobreinterpreta: solo concluye un diagnóstico cuando dispone de información suficiente.</w:t>
      </w:r>
    </w:p>
    <w:p>
      <w:pPr>
        <w:pStyle w:val="ListParagraph"/>
        <w:numPr>
          <w:ilvl w:val="0"/>
          <w:numId w:val="1"/>
        </w:numPr>
        <w:spacing w:after="60"/>
      </w:pPr>
      <w:r>
        <w:t xml:space="preserve">El conocimiento clínico está separado de la interfaz: primero se construyen las reglas, después la aplicación.</w:t>
      </w:r>
    </w:p>
    <w:p>
      <w:pPr>
        <w:pStyle w:val="ListParagraph"/>
        <w:numPr>
          <w:ilvl w:val="0"/>
          <w:numId w:val="1"/>
        </w:numPr>
        <w:spacing w:after="60"/>
      </w:pPr>
      <w:r>
        <w:t xml:space="preserve">El sistema no depende de Internet para el funcionamiento diario (estabilidad, velocidad, privacidad, uso hospitalario). Internet solo se usa para actualizar guías y trazabilidad de fuentes.</w:t>
      </w:r>
    </w:p>
    <w:p>
      <w:pPr>
        <w:pStyle w:val="ListParagraph"/>
        <w:numPr>
          <w:ilvl w:val="0"/>
          <w:numId w:val="1"/>
        </w:numPr>
        <w:spacing w:after="60"/>
      </w:pPr>
      <w:r>
        <w:t xml:space="preserve">El orden de entrada de los códigos no importa.</w:t>
      </w:r>
    </w:p>
    <w:p>
      <w:pPr>
        <w:pStyle w:val="Heading1"/>
        <w:spacing w:after="200" w:before="400"/>
      </w:pPr>
      <w:r>
        <w:t xml:space="preserve">Módulo 1 — Flujo General del Sistema</w:t>
      </w:r>
    </w:p>
    <w:p>
      <w:pPr>
        <w:pStyle w:val="Heading2"/>
        <w:spacing w:after="150" w:before="300"/>
      </w:pPr>
      <w:r>
        <w:t xml:space="preserve">Arquitectura conceptual</w:t>
      </w:r>
    </w:p>
    <w:p>
      <w:pPr>
        <w:shd w:fill="F2F2F2" w:val="clear"/>
        <w:spacing w:after="100"/>
        <w:ind w:left="360"/>
      </w:pPr>
      <w:r>
        <w:rPr>
          <w:rFonts w:ascii="Consolas" w:cs="Consolas" w:eastAsia="Consolas" w:hAnsi="Consolas"/>
          <w:b/>
          <w:bCs/>
          <w:color w:val="1F4E79"/>
        </w:rPr>
        <w:t xml:space="preserve">Paciente</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Imagen de la hoja manuscrita (o ingreso manual)</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OCR / lectura de datos</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Motor ORTIZNOR</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Interpretación de códigos y cálculos automáticos</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Verificación de coherencia (validaciones)</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Clasificación de severidades y relación entre hallazgos</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Construcción automática de descripción y conclusiones</w:t>
      </w:r>
    </w:p>
    <w:p>
      <w:pPr>
        <w:shd w:fill="F2F2F2" w:val="clear"/>
        <w:spacing w:after="100"/>
        <w:ind w:left="360"/>
      </w:pPr>
      <w:r>
        <w:rPr>
          <w:rFonts w:ascii="Consolas" w:cs="Consolas" w:eastAsia="Consolas" w:hAnsi="Consolas"/>
          <w:b/>
          <w:bCs/>
          <w:color w:val="1F4E79"/>
        </w:rPr>
        <w:t xml:space="preserve">↓</w:t>
      </w:r>
    </w:p>
    <w:p>
      <w:pPr>
        <w:shd w:fill="F2F2F2" w:val="clear"/>
        <w:spacing w:after="100"/>
        <w:ind w:left="360"/>
      </w:pPr>
      <w:r>
        <w:rPr>
          <w:rFonts w:ascii="Consolas" w:cs="Consolas" w:eastAsia="Consolas" w:hAnsi="Consolas"/>
          <w:b/>
          <w:bCs/>
          <w:color w:val="1F4E79"/>
        </w:rPr>
        <w:t xml:space="preserve">Exportación (Word / PDF / historia clínica)</w:t>
      </w:r>
    </w:p>
    <w:p>
      <w:pPr>
        <w:pStyle w:val="Heading2"/>
        <w:spacing w:after="150" w:before="300"/>
      </w:pPr>
      <w:r>
        <w:t xml:space="preserve">1.1 Entrada de datos</w:t>
      </w:r>
    </w:p>
    <w:p>
      <w:pPr>
        <w:spacing w:after="120"/>
      </w:pPr>
      <w:r>
        <w:t xml:space="preserve">Formato fuente: fotografía de una hoja manuscrita con formato fijo, o ingreso manual directo. El usuario puede ingresar la información en cualquier orden.</w:t>
      </w:r>
    </w:p>
    <w:p>
      <w:pPr>
        <w:spacing w:after="120"/>
      </w:pPr>
      <w:r>
        <w:rPr>
          <w:b/>
          <w:bCs/>
        </w:rPr>
        <w:t xml:space="preserve">Encabezado</w:t>
      </w:r>
    </w:p>
    <w:p>
      <w:pPr>
        <w:pStyle w:val="ListParagraph"/>
        <w:numPr>
          <w:ilvl w:val="0"/>
          <w:numId w:val="1"/>
        </w:numPr>
        <w:spacing w:after="60"/>
      </w:pPr>
      <w:r>
        <w:t xml:space="preserve">Cama</w:t>
      </w:r>
    </w:p>
    <w:p>
      <w:pPr>
        <w:pStyle w:val="ListParagraph"/>
        <w:numPr>
          <w:ilvl w:val="0"/>
          <w:numId w:val="1"/>
        </w:numPr>
        <w:spacing w:after="60"/>
      </w:pPr>
      <w:r>
        <w:t xml:space="preserve">Nombre</w:t>
      </w:r>
    </w:p>
    <w:p>
      <w:pPr>
        <w:pStyle w:val="ListParagraph"/>
        <w:numPr>
          <w:ilvl w:val="0"/>
          <w:numId w:val="1"/>
        </w:numPr>
        <w:spacing w:after="60"/>
      </w:pPr>
      <w:r>
        <w:t xml:space="preserve">Frecuencia cardíaca (FC)</w:t>
      </w:r>
    </w:p>
    <w:p>
      <w:pPr>
        <w:pStyle w:val="ListParagraph"/>
        <w:numPr>
          <w:ilvl w:val="0"/>
          <w:numId w:val="1"/>
        </w:numPr>
        <w:spacing w:after="60"/>
      </w:pPr>
      <w:r>
        <w:t xml:space="preserve">Condición del paciente (dorsal, semisentado, intubado, CPAP, etc.)</w:t>
      </w:r>
    </w:p>
    <w:p>
      <w:pPr>
        <w:pStyle w:val="ListParagraph"/>
        <w:numPr>
          <w:ilvl w:val="0"/>
          <w:numId w:val="1"/>
        </w:numPr>
        <w:spacing w:after="60"/>
      </w:pPr>
      <w:r>
        <w:t xml:space="preserve">Peso</w:t>
      </w:r>
    </w:p>
    <w:p>
      <w:pPr>
        <w:pStyle w:val="ListParagraph"/>
        <w:numPr>
          <w:ilvl w:val="0"/>
          <w:numId w:val="1"/>
        </w:numPr>
        <w:spacing w:after="60"/>
      </w:pPr>
      <w:r>
        <w:t xml:space="preserve">Talla</w:t>
      </w:r>
    </w:p>
    <w:p>
      <w:pPr>
        <w:spacing w:after="120"/>
      </w:pPr>
      <w:r>
        <w:t xml:space="preserve">Peso y talla permiten calcular automáticamente superficie corporal (SC), volúmenes indexados y masa ventricular indexada.</w:t>
      </w:r>
    </w:p>
    <w:p>
      <w:pPr>
        <w:pStyle w:val="Heading3"/>
      </w:pPr>
      <w:r>
        <w:t>Orden estándar de captura por paciente (columna única)</w:t>
      </w:r>
    </w:p>
    <w:p>
      <w:r>
        <w:t>Para estandarizar la lectura (manual u OCR), cada paciente se registra en una sola columna, siempre en este orden: Ubicación (Cama o AMB) → Nombre → Condiciones del paciente (IOT, decúbito, semisentado, CPAP, etc., si aplica) → Peso y Talla → las 7 medidas cuantitativas fijas + FEVI → resto de códigos (uno por línea, orden libre).</w:t>
      </w:r>
    </w:p>
    <w:p>
      <w:r>
        <w:t>Tolerancia de formato: si el médico escribe cama y nombre juntos en la primera línea (ej. "317 Sergio Hernández"), el sistema los separa automáticamente (primer token = cama, resto = nombre), sin exigir líneas separadas.</w:t>
      </w:r>
    </w:p>
    <w:p>
      <w:r>
        <w:t>Formato combinado diástole/sístole del VI: en la posición de VI diástole (6ª de las 7 medidas fijas), puede escribirse "50/25" (diastólico/sistólico juntos, en mm); el sistema separa automáticamente ambos valores.</w:t>
      </w:r>
    </w:p>
    <w:p>
      <w:pPr>
        <w:spacing w:after="120"/>
      </w:pPr>
      <w:r>
        <w:rPr>
          <w:b/>
          <w:bCs/>
        </w:rPr>
        <w:t xml:space="preserve">Datos cuantitativos</w:t>
      </w:r>
    </w:p>
    <w:p>
      <w:pPr>
        <w:spacing w:after="120"/>
      </w:pPr>
      <w:r>
        <w:t xml:space="preserve">Valores aislados en el orden habitual del estudio (ej. VI 4.8/3.0, PP 1.0, SIV 1.1, AI 22/68, FE 61).</w:t>
      </w:r>
    </w:p>
    <w:p>
      <w:pPr>
        <w:spacing w:after="120"/>
      </w:pPr>
      <w:r>
        <w:rPr>
          <w:b/>
          <w:bCs/>
        </w:rPr>
        <w:t xml:space="preserve">Códigos</w:t>
      </w:r>
    </w:p>
    <w:p>
      <w:pPr>
        <w:spacing w:after="120"/>
      </w:pPr>
      <w:r>
        <w:t xml:space="preserve">Uno por línea; cada renglón representa un hallazgo puntual. Ejemplo de entrada mínima:</w:t>
      </w:r>
    </w:p>
    <w:p>
      <w:pPr>
        <w:shd w:fill="F2F2F2" w:val="clear"/>
        <w:spacing w:after="100"/>
        <w:ind w:left="360"/>
      </w:pPr>
      <w:r>
        <w:rPr>
          <w:rFonts w:ascii="Consolas" w:cs="Consolas" w:eastAsia="Consolas" w:hAnsi="Consolas"/>
          <w:b/>
          <w:bCs/>
          <w:color w:val="1F4E79"/>
        </w:rPr>
        <w:t xml:space="preserve">IM3</w:t>
      </w:r>
    </w:p>
    <w:p>
      <w:pPr>
        <w:shd w:fill="F2F2F2" w:val="clear"/>
        <w:spacing w:after="100"/>
        <w:ind w:left="360"/>
      </w:pPr>
      <w:r>
        <w:rPr>
          <w:rFonts w:ascii="Consolas" w:cs="Consolas" w:eastAsia="Consolas" w:hAnsi="Consolas"/>
          <w:b/>
          <w:bCs/>
          <w:color w:val="1F4E79"/>
        </w:rPr>
        <w:t xml:space="preserve">AI</w:t>
      </w:r>
    </w:p>
    <w:p>
      <w:pPr>
        <w:shd w:fill="F2F2F2" w:val="clear"/>
        <w:spacing w:after="100"/>
        <w:ind w:left="360"/>
      </w:pPr>
      <w:r>
        <w:rPr>
          <w:rFonts w:ascii="Consolas" w:cs="Consolas" w:eastAsia="Consolas" w:hAnsi="Consolas"/>
          <w:b/>
          <w:bCs/>
          <w:color w:val="1F4E79"/>
        </w:rPr>
        <w:t xml:space="preserve">VI dil</w:t>
      </w:r>
    </w:p>
    <w:p>
      <w:pPr>
        <w:shd w:fill="F2F2F2" w:val="clear"/>
        <w:spacing w:after="100"/>
        <w:ind w:left="360"/>
      </w:pPr>
      <w:r>
        <w:rPr>
          <w:rFonts w:ascii="Consolas" w:cs="Consolas" w:eastAsia="Consolas" w:hAnsi="Consolas"/>
          <w:b/>
          <w:bCs/>
          <w:color w:val="1F4E79"/>
        </w:rPr>
        <w:t xml:space="preserve">FE40</w:t>
      </w:r>
    </w:p>
    <w:p>
      <w:pPr>
        <w:shd w:fill="F2F2F2" w:val="clear"/>
        <w:spacing w:after="100"/>
        <w:ind w:left="360"/>
      </w:pPr>
      <w:r>
        <w:rPr>
          <w:rFonts w:ascii="Consolas" w:cs="Consolas" w:eastAsia="Consolas" w:hAnsi="Consolas"/>
          <w:b/>
          <w:bCs/>
          <w:color w:val="1F4E79"/>
        </w:rPr>
        <w:t xml:space="preserve">HPK AS MB</w:t>
      </w:r>
    </w:p>
    <w:p>
      <w:pPr>
        <w:pStyle w:val="Heading2"/>
        <w:spacing w:after="150" w:before="300"/>
      </w:pPr>
      <w:r>
        <w:t xml:space="preserve">1.2 Procesamiento</w:t>
      </w:r>
    </w:p>
    <w:p>
      <w:pPr>
        <w:spacing w:after="120"/>
      </w:pPr>
      <w:r>
        <w:t xml:space="preserve">El motor realiza automáticamente:</w:t>
      </w:r>
    </w:p>
    <w:p>
      <w:pPr>
        <w:pStyle w:val="ListParagraph"/>
        <w:numPr>
          <w:ilvl w:val="0"/>
          <w:numId w:val="1"/>
        </w:numPr>
        <w:spacing w:after="60"/>
      </w:pPr>
      <w:r>
        <w:t xml:space="preserve">Interpretación de códigos</w:t>
      </w:r>
    </w:p>
    <w:p>
      <w:pPr>
        <w:pStyle w:val="ListParagraph"/>
        <w:numPr>
          <w:ilvl w:val="0"/>
          <w:numId w:val="1"/>
        </w:numPr>
        <w:spacing w:after="60"/>
      </w:pPr>
      <w:r>
        <w:t xml:space="preserve">Cálculos (SC, masa ventricular, indexaciones, PSAP, gradientes, FEVI, probabilidad de HP, clasificación de severidad)</w:t>
      </w:r>
    </w:p>
    <w:p>
      <w:pPr>
        <w:pStyle w:val="ListParagraph"/>
        <w:numPr>
          <w:ilvl w:val="0"/>
          <w:numId w:val="1"/>
        </w:numPr>
        <w:spacing w:after="60"/>
      </w:pPr>
      <w:r>
        <w:t xml:space="preserve">Verificación de coherencia (validaciones)</w:t>
      </w:r>
    </w:p>
    <w:p>
      <w:pPr>
        <w:pStyle w:val="ListParagraph"/>
        <w:numPr>
          <w:ilvl w:val="0"/>
          <w:numId w:val="1"/>
        </w:numPr>
        <w:spacing w:after="60"/>
      </w:pPr>
      <w:r>
        <w:t xml:space="preserve">Clasificación de severidades</w:t>
      </w:r>
    </w:p>
    <w:p>
      <w:pPr>
        <w:pStyle w:val="ListParagraph"/>
        <w:numPr>
          <w:ilvl w:val="0"/>
          <w:numId w:val="1"/>
        </w:numPr>
        <w:spacing w:after="60"/>
      </w:pPr>
      <w:r>
        <w:t xml:space="preserve">Relación fisiopatológica entre hallazgos</w:t>
      </w:r>
    </w:p>
    <w:p>
      <w:pPr>
        <w:pStyle w:val="ListParagraph"/>
        <w:numPr>
          <w:ilvl w:val="0"/>
          <w:numId w:val="1"/>
        </w:numPr>
        <w:spacing w:after="60"/>
      </w:pPr>
      <w:r>
        <w:t xml:space="preserve">Generación del texto (descripción + conclusiones)</w:t>
      </w:r>
    </w:p>
    <w:p>
      <w:pPr>
        <w:pStyle w:val="Heading2"/>
        <w:spacing w:after="150" w:before="300"/>
      </w:pPr>
      <w:r>
        <w:t xml:space="preserve">1.3 Salida del informe</w:t>
      </w:r>
    </w:p>
    <w:p>
      <w:pPr>
        <w:spacing w:after="120"/>
      </w:pPr>
      <w:r>
        <w:t xml:space="preserve">Formato fijo, siempre en el mismo orden:</w:t>
      </w:r>
    </w:p>
    <w:p>
      <w:pPr>
        <w:pStyle w:val="ListParagraph"/>
        <w:numPr>
          <w:ilvl w:val="0"/>
          <w:numId w:val="1"/>
        </w:numPr>
        <w:spacing w:after="60"/>
      </w:pPr>
      <w:r>
        <w:t xml:space="preserve">Datos cuantitativos</w:t>
      </w:r>
    </w:p>
    <w:p>
      <w:pPr>
        <w:pStyle w:val="ListParagraph"/>
        <w:numPr>
          <w:ilvl w:val="0"/>
          <w:numId w:val="1"/>
        </w:numPr>
        <w:spacing w:after="60"/>
      </w:pPr>
      <w:r>
        <w:t xml:space="preserve">Descripción (cavidades, tabiques, pericardio, contractilidad, válvulas, Doppler)</w:t>
      </w:r>
    </w:p>
    <w:p>
      <w:pPr>
        <w:pStyle w:val="ListParagraph"/>
        <w:numPr>
          <w:ilvl w:val="0"/>
          <w:numId w:val="1"/>
        </w:numPr>
        <w:spacing w:after="60"/>
      </w:pPr>
      <w:r>
        <w:t xml:space="preserve">Conclusiones (numeradas, sin subtítulos, ordenadas por importancia clínica)</w:t>
      </w:r>
    </w:p>
    <w:p>
      <w:pPr>
        <w:spacing w:after="120"/>
      </w:pPr>
      <w:r>
        <w:t xml:space="preserve">Ejemplo de razonamiento integrado — entrada:</w:t>
      </w:r>
    </w:p>
    <w:p>
      <w:pPr>
        <w:shd w:fill="F2F2F2" w:val="clear"/>
        <w:spacing w:after="100"/>
        <w:ind w:left="360"/>
      </w:pPr>
      <w:r>
        <w:rPr>
          <w:rFonts w:ascii="Consolas" w:cs="Consolas" w:eastAsia="Consolas" w:hAnsi="Consolas"/>
          <w:b/>
          <w:bCs/>
          <w:color w:val="1F4E79"/>
        </w:rPr>
        <w:t xml:space="preserve">AI 42</w:t>
      </w:r>
    </w:p>
    <w:p>
      <w:pPr>
        <w:shd w:fill="F2F2F2" w:val="clear"/>
        <w:spacing w:after="100"/>
        <w:ind w:left="360"/>
      </w:pPr>
      <w:r>
        <w:rPr>
          <w:rFonts w:ascii="Consolas" w:cs="Consolas" w:eastAsia="Consolas" w:hAnsi="Consolas"/>
          <w:b/>
          <w:bCs/>
          <w:color w:val="1F4E79"/>
        </w:rPr>
        <w:t xml:space="preserve">IM3</w:t>
      </w:r>
    </w:p>
    <w:p>
      <w:pPr>
        <w:shd w:fill="F2F2F2" w:val="clear"/>
        <w:spacing w:after="100"/>
        <w:ind w:left="360"/>
      </w:pPr>
      <w:r>
        <w:rPr>
          <w:rFonts w:ascii="Consolas" w:cs="Consolas" w:eastAsia="Consolas" w:hAnsi="Consolas"/>
          <w:b/>
          <w:bCs/>
          <w:color w:val="1F4E79"/>
        </w:rPr>
        <w:t xml:space="preserve">E/E' 18</w:t>
      </w:r>
    </w:p>
    <w:p>
      <w:pPr>
        <w:shd w:fill="F2F2F2" w:val="clear"/>
        <w:spacing w:after="100"/>
        <w:ind w:left="360"/>
      </w:pPr>
      <w:r>
        <w:rPr>
          <w:rFonts w:ascii="Consolas" w:cs="Consolas" w:eastAsia="Consolas" w:hAnsi="Consolas"/>
          <w:b/>
          <w:bCs/>
          <w:color w:val="1F4E79"/>
        </w:rPr>
        <w:t xml:space="preserve">VI dil</w:t>
      </w:r>
    </w:p>
    <w:p>
      <w:pPr>
        <w:shd w:fill="F2F2F2" w:val="clear"/>
        <w:spacing w:after="100"/>
        <w:ind w:left="360"/>
      </w:pPr>
      <w:r>
        <w:rPr>
          <w:rFonts w:ascii="Consolas" w:cs="Consolas" w:eastAsia="Consolas" w:hAnsi="Consolas"/>
          <w:b/>
          <w:bCs/>
          <w:color w:val="1F4E79"/>
        </w:rPr>
        <w:t xml:space="preserve">FE 38</w:t>
      </w:r>
    </w:p>
    <w:p>
      <w:pPr>
        <w:spacing w:after="120"/>
      </w:pPr>
      <w:r>
        <w:t xml:space="preserve">El sistema no debe redactar cinco frases sueltas; debe reconocer que existe insuficiencia mitral importante, repercusión sobre cavidades izquierdas, disfunción sistólica y elevación de presiones de llenado, y generar un informe clínicamente coherente e integrado.</w:t>
      </w:r>
    </w:p>
    <w:p>
      <w:pPr>
        <w:pStyle w:val="Heading1"/>
        <w:spacing w:after="200" w:before="400"/>
      </w:pPr>
      <w:r>
        <w:t xml:space="preserve">Módulo 2 — Diccionario Maestro de Códigos</w:t>
      </w:r>
    </w:p>
    <w:p>
      <w:pPr>
        <w:spacing w:after="120"/>
      </w:pPr>
      <w:r>
        <w:t xml:space="preserve">Cada código del diccionario debe tener asociado: sintaxis aceptada, significado, descripción automática, severidad, interacciones con otros códigos y regla para las conclusiones.</w:t>
      </w:r>
    </w:p>
    <w:p>
      <w:pPr>
        <w:pStyle w:val="Heading2"/>
        <w:spacing w:after="150" w:before="300"/>
      </w:pPr>
      <w:r>
        <w:t xml:space="preserve">2.0 Reglas generales de redacción y apertura</w:t>
      </w:r>
    </w:p>
    <w:p>
      <w:pPr>
        <w:spacing w:after="120"/>
      </w:pPr>
      <w:r>
        <w:t xml:space="preserve">Estas reglas aplican transversalmente a todo el diccionario:</w:t>
      </w:r>
    </w:p>
    <w:p>
      <w:pPr>
        <w:pStyle w:val="ListParagraph"/>
        <w:numPr>
          <w:ilvl w:val="0"/>
          <w:numId w:val="1"/>
        </w:numPr>
        <w:spacing w:after="60"/>
      </w:pPr>
      <w:r>
        <w:t xml:space="preserve">Unidades: todo se mide en mm; toda descripción se expresa en cm.</w:t>
      </w:r>
    </w:p>
    <w:p>
      <w:pPr>
        <w:pStyle w:val="ListParagraph"/>
        <w:numPr>
          <w:ilvl w:val="0"/>
          <w:numId w:val="1"/>
        </w:numPr>
        <w:spacing w:after="60"/>
      </w:pPr>
      <w:r>
        <w:t xml:space="preserve">Un porcentaje aislado (ej. "40%") se interpreta directamente como FEVI, sin necesidad del prefijo "FE".</w:t>
      </w:r>
    </w:p>
    <w:p>
      <w:pPr>
        <w:pStyle w:val="ListParagraph"/>
        <w:numPr>
          <w:ilvl w:val="0"/>
          <w:numId w:val="1"/>
        </w:numPr>
        <w:spacing w:after="60"/>
      </w:pPr>
      <w:r>
        <w:t xml:space="preserve">Los códigos de segmento/nivel de contractilidad aceptan mayúscula o minúscula indistintamente (ej. "as mb" = "AS MB").</w:t>
      </w:r>
    </w:p>
    <w:p>
      <w:pPr>
        <w:pStyle w:val="ListParagraph"/>
        <w:numPr>
          <w:ilvl w:val="0"/>
          <w:numId w:val="1"/>
        </w:numPr>
        <w:spacing w:after="60"/>
      </w:pPr>
      <w:r>
        <w:t xml:space="preserve">Descripción estructural completa: TODAS las estructuras (cavidades, tabiques, interfase pericárdica, contractilidad y las 4 válvulas) se describen SIEMPRE, con una frase por defecto de normalidad cuando no hay código (ej. "Tabiques íntegros"; "Tricúspide con anatomía normal y excursión adecuada. Pulmonar normal."). No se omite ninguna estructura de la descripción; solo se omiten de las CONCLUSIONES cuando son normales.</w:t>
      </w:r>
    </w:p>
    <w:p>
      <w:pPr>
        <w:pStyle w:val="ListParagraph"/>
        <w:numPr>
          <w:ilvl w:val="0"/>
          <w:numId w:val="1"/>
        </w:numPr>
        <w:spacing w:after="60"/>
      </w:pPr>
      <w:r>
        <w:t xml:space="preserve">Convención de tachado: una sola línea horizontal sobre un código/valor lo anula por completo (se mantiene legible, sin garabatear ni usar corrector). Si hay un valor de reemplazo escrito al lado o encima, se usa ese; si no, el dato se ignora como si nunca se hubiera escrito.</w:t>
      </w:r>
    </w:p>
    <w:p>
      <w:pPr>
        <w:pStyle w:val="ListParagraph"/>
        <w:numPr>
          <w:ilvl w:val="0"/>
          <w:numId w:val="1"/>
        </w:numPr>
        <w:spacing w:after="60"/>
      </w:pPr>
      <w:r>
        <w:t xml:space="preserve">Códigos no reconocidos: si el sistema encuentra una palabra o código que no está en el diccionario, NO lo interpreta ni lo incluye en la descripción/conclusión — se reseña aparte, al final del informe de ese paciente, para revisión y ajuste manual del médico.</w:t>
      </w:r>
    </w:p>
    <w:p>
      <w:pPr>
        <w:pStyle w:val="ListParagraph"/>
        <w:numPr>
          <w:ilvl w:val="0"/>
          <w:numId w:val="1"/>
        </w:numPr>
        <w:spacing w:after="60"/>
      </w:pPr>
      <w:r>
        <w:t xml:space="preserve">En conclusiones, las insuficiencias valvulares se nombran "Insuficiencia valvular [mitral/aórtica/tricuspídea/pulmonar]" (nunca "Insuficiencia [válvula]" a secas), para evitar ambigüedad con órganos — en especial "pulmonar".</w:t>
      </w:r>
    </w:p>
    <w:p>
      <w:pPr>
        <w:pStyle w:val="ListParagraph"/>
        <w:numPr>
          <w:ilvl w:val="0"/>
          <w:numId w:val="1"/>
        </w:numPr>
        <w:spacing w:after="60"/>
      </w:pPr>
      <w:r>
        <w:t xml:space="preserve">La morfología valvular (esclerosis/engrosamiento/calcificación) SIEMPRE pasa a conclusiones, con o sin insuficiencia asociada, integrada en una sola frase con el grado de insuficiencia si coexiste.</w:t>
      </w:r>
    </w:p>
    <w:p>
      <w:pPr>
        <w:pStyle w:val="ListParagraph"/>
        <w:numPr>
          <w:ilvl w:val="0"/>
          <w:numId w:val="1"/>
        </w:numPr>
        <w:spacing w:after="60"/>
      </w:pPr>
      <w:r>
        <w:t xml:space="preserve">Los jets excéntricos detallan la dirección en la descripción; en conclusiones solo se agrega el calificativo "excéntrica", sin repetir la dirección.</w:t>
      </w:r>
    </w:p>
    <w:p>
      <w:pPr>
        <w:pStyle w:val="ListParagraph"/>
        <w:numPr>
          <w:ilvl w:val="0"/>
          <w:numId w:val="1"/>
        </w:numPr>
        <w:spacing w:after="60"/>
      </w:pPr>
      <w:r>
        <w:t xml:space="preserve">El símbolo "?" junto a un código marca un hallazgo dudoso/no concluyente → la conclusión usa lenguaje de sugerencia ("Sugestivo de...").</w:t>
      </w:r>
    </w:p>
    <w:p>
      <w:pPr>
        <w:pStyle w:val="ListParagraph"/>
        <w:numPr>
          <w:ilvl w:val="0"/>
          <w:numId w:val="1"/>
        </w:numPr>
        <w:spacing w:after="60"/>
      </w:pPr>
      <w:r>
        <w:t xml:space="preserve">El sistema NUNCA recomienda estudios complementarios en ninguna conclusión (transesofágico, angioTAC, etc.); esa decisión es exclusiva del médico tratante.</w:t>
      </w:r>
    </w:p>
    <w:p>
      <w:pPr>
        <w:pStyle w:val="ListParagraph"/>
        <w:numPr>
          <w:ilvl w:val="0"/>
          <w:numId w:val="1"/>
        </w:numPr>
        <w:spacing w:after="60"/>
      </w:pPr>
      <w:r>
        <w:t xml:space="preserve">El sistema nunca sobreinterpreta: solo concluye un diagnóstico cuando dispone de información suficiente.</w:t>
      </w:r>
    </w:p>
    <w:p>
      <w:pPr>
        <w:pStyle w:val="Heading3"/>
        <w:spacing w:after="100" w:before="200"/>
      </w:pPr>
      <w:r>
        <w:t xml:space="preserve">Plantilla fija de apertura de conclusiones</w:t>
      </w:r>
    </w:p>
    <w:p>
      <w:pPr>
        <w:spacing w:after="120"/>
      </w:pPr>
      <w:r>
        <w:t xml:space="preserve">La primera línea de las conclusiones (sin numerar, antes de los hallazgos) sigue siempre esta estructura:</w:t>
      </w:r>
    </w:p>
    <w:p>
      <w:pPr>
        <w:shd w:fill="F2F2F2" w:val="clear"/>
        <w:spacing w:after="100"/>
        <w:ind w:left="360"/>
      </w:pPr>
      <w:r>
        <w:rPr>
          <w:rFonts w:ascii="Consolas" w:cs="Consolas" w:eastAsia="Consolas" w:hAnsi="Consolas"/>
          <w:b/>
          <w:bCs/>
          <w:color w:val="1F4E79"/>
        </w:rPr>
        <w:t xml:space="preserve">Estudio ecocardiográfico realizado en [ritmo] con frecuencia de [FC]/min. [Condición del paciente]. [Calidad de ventana].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Mar>
              <w:top w:type="dxa" w:w="60"/>
              <w:left w:type="dxa" w:w="100"/>
              <w:bottom w:type="dxa" w:w="60"/>
              <w:right w:type="dxa" w:w="100"/>
            </w:tcMar>
          </w:tcPr>
          <w:p>
            <w:r>
              <w:rPr>
                <w:b/>
                <w:bCs/>
                <w:color w:val="FFFFFF"/>
                <w:sz w:val="20"/>
                <w:szCs w:val="20"/>
              </w:rPr>
              <w:t xml:space="preserve">Componente</w:t>
            </w:r>
          </w:p>
        </w:tc>
        <w:tc>
          <w:tcPr>
            <w:tcW w:type="dxa" w:w="6400"/>
            <w:shd w:fill="1F4E79" w:val="clear"/>
            <w:tcMar>
              <w:top w:type="dxa" w:w="60"/>
              <w:left w:type="dxa" w:w="100"/>
              <w:bottom w:type="dxa" w:w="60"/>
              <w:right w:type="dxa" w:w="100"/>
            </w:tcMar>
          </w:tcPr>
          <w:p>
            <w:r>
              <w:rPr>
                <w:b/>
                <w:bCs/>
                <w:color w:val="FFFFFF"/>
                <w:sz w:val="20"/>
                <w:szCs w:val="20"/>
              </w:rPr>
              <w:t xml:space="preserve">Regla</w:t>
            </w:r>
          </w:p>
        </w:tc>
      </w:tr>
      <w:tr>
        <w:tc>
          <w:tcPr>
            <w:tcW w:type="dxa" w:w="2600"/>
            <w:tcMar>
              <w:top w:type="dxa" w:w="60"/>
              <w:left w:type="dxa" w:w="100"/>
              <w:bottom w:type="dxa" w:w="60"/>
              <w:right w:type="dxa" w:w="100"/>
            </w:tcMar>
          </w:tcPr>
          <w:p>
            <w:r>
              <w:rPr>
                <w:b w:val="false"/>
                <w:bCs w:val="false"/>
                <w:color w:val="000000"/>
                <w:sz w:val="20"/>
                <w:szCs w:val="20"/>
              </w:rPr>
              <w:t xml:space="preserve">Ritmo</w:t>
            </w:r>
          </w:p>
        </w:tc>
        <w:tc>
          <w:tcPr>
            <w:tcW w:type="dxa" w:w="6400"/>
            <w:tcMar>
              <w:top w:type="dxa" w:w="60"/>
              <w:left w:type="dxa" w:w="100"/>
              <w:bottom w:type="dxa" w:w="60"/>
              <w:right w:type="dxa" w:w="100"/>
            </w:tcMar>
          </w:tcPr>
          <w:p>
            <w:r>
              <w:rPr>
                <w:b w:val="false"/>
                <w:bCs w:val="false"/>
                <w:color w:val="000000"/>
                <w:sz w:val="20"/>
                <w:szCs w:val="20"/>
              </w:rPr>
              <w:t xml:space="preserve">Sinusal por defecto; se reemplaza si se dicta FA, Flutter o MCPS/MP</w:t>
            </w:r>
          </w:p>
        </w:tc>
      </w:tr>
      <w:tr>
        <w:tc>
          <w:tcPr>
            <w:tcW w:type="dxa" w:w="2600"/>
            <w:tcMar>
              <w:top w:type="dxa" w:w="60"/>
              <w:left w:type="dxa" w:w="100"/>
              <w:bottom w:type="dxa" w:w="60"/>
              <w:right w:type="dxa" w:w="100"/>
            </w:tcMar>
          </w:tcPr>
          <w:p>
            <w:r>
              <w:rPr>
                <w:b w:val="false"/>
                <w:bCs w:val="false"/>
                <w:color w:val="000000"/>
                <w:sz w:val="20"/>
                <w:szCs w:val="20"/>
              </w:rPr>
              <w:t xml:space="preserve">FC</w:t>
            </w:r>
          </w:p>
        </w:tc>
        <w:tc>
          <w:tcPr>
            <w:tcW w:type="dxa" w:w="6400"/>
            <w:tcMar>
              <w:top w:type="dxa" w:w="60"/>
              <w:left w:type="dxa" w:w="100"/>
              <w:bottom w:type="dxa" w:w="60"/>
              <w:right w:type="dxa" w:w="100"/>
            </w:tcMar>
          </w:tcPr>
          <w:p>
            <w:r>
              <w:rPr>
                <w:b w:val="false"/>
                <w:bCs w:val="false"/>
                <w:color w:val="000000"/>
                <w:sz w:val="20"/>
                <w:szCs w:val="20"/>
              </w:rPr>
              <w:t xml:space="preserve">Siempre se incluye (dato obligatorio del encabezado)</w:t>
            </w:r>
          </w:p>
        </w:tc>
      </w:tr>
      <w:tr>
        <w:tc>
          <w:tcPr>
            <w:tcW w:type="dxa" w:w="2600"/>
            <w:tcMar>
              <w:top w:type="dxa" w:w="60"/>
              <w:left w:type="dxa" w:w="100"/>
              <w:bottom w:type="dxa" w:w="60"/>
              <w:right w:type="dxa" w:w="100"/>
            </w:tcMar>
          </w:tcPr>
          <w:p>
            <w:r>
              <w:rPr>
                <w:b w:val="false"/>
                <w:bCs w:val="false"/>
                <w:color w:val="000000"/>
                <w:sz w:val="20"/>
                <w:szCs w:val="20"/>
              </w:rPr>
              <w:t xml:space="preserve">Condición del paciente</w:t>
            </w:r>
          </w:p>
        </w:tc>
        <w:tc>
          <w:tcPr>
            <w:tcW w:type="dxa" w:w="6400"/>
            <w:tcMar>
              <w:top w:type="dxa" w:w="60"/>
              <w:left w:type="dxa" w:w="100"/>
              <w:bottom w:type="dxa" w:w="60"/>
              <w:right w:type="dxa" w:w="100"/>
            </w:tcMar>
          </w:tcPr>
          <w:p>
            <w:r>
              <w:rPr>
                <w:b w:val="false"/>
                <w:bCs w:val="false"/>
                <w:color w:val="000000"/>
                <w:sz w:val="20"/>
                <w:szCs w:val="20"/>
              </w:rPr>
              <w:t xml:space="preserve">Solo se menciona si fue dictada (IOT, INMOVIL/DECUBITO, CPAP, semisentado, etc.)</w:t>
            </w:r>
          </w:p>
        </w:tc>
      </w:tr>
      <w:tr>
        <w:tc>
          <w:tcPr>
            <w:tcW w:type="dxa" w:w="2600"/>
            <w:tcMar>
              <w:top w:type="dxa" w:w="60"/>
              <w:left w:type="dxa" w:w="100"/>
              <w:bottom w:type="dxa" w:w="60"/>
              <w:right w:type="dxa" w:w="100"/>
            </w:tcMar>
          </w:tcPr>
          <w:p>
            <w:r>
              <w:rPr>
                <w:b w:val="false"/>
                <w:bCs w:val="false"/>
                <w:color w:val="000000"/>
                <w:sz w:val="20"/>
                <w:szCs w:val="20"/>
              </w:rPr>
              <w:t xml:space="preserve">Calidad de ventana</w:t>
            </w:r>
          </w:p>
        </w:tc>
        <w:tc>
          <w:tcPr>
            <w:tcW w:type="dxa" w:w="6400"/>
            <w:tcMar>
              <w:top w:type="dxa" w:w="60"/>
              <w:left w:type="dxa" w:w="100"/>
              <w:bottom w:type="dxa" w:w="60"/>
              <w:right w:type="dxa" w:w="100"/>
            </w:tcMar>
          </w:tcPr>
          <w:p>
            <w:r>
              <w:rPr>
                <w:b w:val="false"/>
                <w:bCs w:val="false"/>
                <w:color w:val="000000"/>
                <w:sz w:val="20"/>
                <w:szCs w:val="20"/>
              </w:rPr>
              <w:t xml:space="preserve">"?" = regular ventana ecoacústica; "??" = muy mala ventana ecoacústica, con limitación significativa de la valoración. Silencio = ventana adecuada, no se menciona. Nunca se recomienda estudio complementario, ni siquiera con "??"</w:t>
            </w:r>
          </w:p>
        </w:tc>
      </w:tr>
    </w:tbl>
    <w:p>
      <w:pPr>
        <w:spacing w:after="120"/>
      </w:pPr>
      <w:r>
        <w:t xml:space="preserve">Ejemplo: "Estudio ecocardiográfico realizado en ritmo sinusal con frecuencia de 88/min. Paciente intubado en ventilación mecánica y decúbito dorsal. Regular ventana ecoacústica."</w:t>
      </w:r>
    </w:p>
    <w:p>
      <w:pPr>
        <w:pStyle w:val="Heading2"/>
        <w:spacing w:after="150" w:before="300"/>
      </w:pPr>
      <w:r>
        <w:t xml:space="preserve">2.1 Datos generales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Pr>
                <w:b w:val="false"/>
                <w:bCs w:val="false"/>
                <w:color w:val="000000"/>
                <w:sz w:val="20"/>
                <w:szCs w:val="20"/>
              </w:rPr>
              <w:t xml:space="preserve">FC</w:t>
            </w:r>
          </w:p>
        </w:tc>
        <w:tc>
          <w:tcPr>
            <w:tcW w:type="dxa" w:w="4500"/>
            <w:tcMar>
              <w:top w:type="dxa" w:w="60"/>
              <w:left w:type="dxa" w:w="100"/>
              <w:bottom w:type="dxa" w:w="60"/>
              <w:right w:type="dxa" w:w="100"/>
            </w:tcMar>
          </w:tcPr>
          <w:p>
            <w:r>
              <w:rPr>
                <w:b w:val="false"/>
                <w:bCs w:val="false"/>
                <w:color w:val="000000"/>
                <w:sz w:val="20"/>
                <w:szCs w:val="20"/>
              </w:rPr>
              <w:t xml:space="preserve">Frecuencia cardiaca (lpm). FC nunca debe confundirse con FEVI.</w:t>
            </w:r>
          </w:p>
        </w:tc>
      </w:tr>
      <w:tr>
        <w:tc>
          <w:tcPr>
            <w:tcW w:type="dxa" w:w="4500"/>
            <w:tcMar>
              <w:top w:type="dxa" w:w="60"/>
              <w:left w:type="dxa" w:w="100"/>
              <w:bottom w:type="dxa" w:w="60"/>
              <w:right w:type="dxa" w:w="100"/>
            </w:tcMar>
          </w:tcPr>
          <w:p>
            <w:r>
              <w:rPr>
                <w:b w:val="false"/>
                <w:bCs w:val="false"/>
                <w:color w:val="000000"/>
                <w:sz w:val="20"/>
                <w:szCs w:val="20"/>
              </w:rPr>
              <w:t xml:space="preserve">Peso / Talla</w:t>
            </w:r>
          </w:p>
        </w:tc>
        <w:tc>
          <w:tcPr>
            <w:tcW w:type="dxa" w:w="4500"/>
            <w:tcMar>
              <w:top w:type="dxa" w:w="60"/>
              <w:left w:type="dxa" w:w="100"/>
              <w:bottom w:type="dxa" w:w="60"/>
              <w:right w:type="dxa" w:w="100"/>
            </w:tcMar>
          </w:tcPr>
          <w:p>
            <w:r>
              <w:rPr>
                <w:b w:val="false"/>
                <w:bCs w:val="false"/>
                <w:color w:val="000000"/>
                <w:sz w:val="20"/>
                <w:szCs w:val="20"/>
              </w:rPr>
              <w:t xml:space="preserve">Usados para calcular superficie corporal (SC).</w:t>
            </w:r>
          </w:p>
        </w:tc>
      </w:tr>
      <w:tr>
        <w:tc>
          <w:tcPr>
            <w:tcW w:type="dxa" w:w="4500"/>
            <w:tcMar>
              <w:top w:type="dxa" w:w="60"/>
              <w:left w:type="dxa" w:w="100"/>
              <w:bottom w:type="dxa" w:w="60"/>
              <w:right w:type="dxa" w:w="100"/>
            </w:tcMar>
          </w:tcPr>
          <w:p>
            <w:r>
              <w:rPr>
                <w:b w:val="false"/>
                <w:bCs w:val="false"/>
                <w:color w:val="000000"/>
                <w:sz w:val="20"/>
                <w:szCs w:val="20"/>
              </w:rPr>
              <w:t xml:space="preserve">SC</w:t>
            </w:r>
          </w:p>
        </w:tc>
        <w:tc>
          <w:tcPr>
            <w:tcW w:type="dxa" w:w="4500"/>
            <w:tcMar>
              <w:top w:type="dxa" w:w="60"/>
              <w:left w:type="dxa" w:w="100"/>
              <w:bottom w:type="dxa" w:w="60"/>
              <w:right w:type="dxa" w:w="100"/>
            </w:tcMar>
          </w:tcPr>
          <w:p>
            <w:r>
              <w:rPr>
                <w:b w:val="false"/>
                <w:bCs w:val="false"/>
                <w:color w:val="000000"/>
                <w:sz w:val="20"/>
                <w:szCs w:val="20"/>
              </w:rPr>
              <w:t xml:space="preserve">Superficie corporal (calculada).</w:t>
            </w:r>
          </w:p>
        </w:tc>
      </w:tr>
    </w:tbl>
    <w:p>
      <w:pPr>
        <w:spacing w:after="120"/>
      </w:pPr>
      <w:r>
        <w:t xml:space="preserve">Regla clave: todo valor acompañado de "FC" o "F.C." corresponde a frecuencia cardiaca; la FEVI solo se expresa como porcentaje aislado o asociado explícitamente a "FE".</w:t>
      </w:r>
    </w:p>
    <w:p>
      <w:pPr>
        <w:pStyle w:val="Heading2"/>
        <w:spacing w:after="150" w:before="300"/>
      </w:pPr>
      <w:r>
        <w:t xml:space="preserve">2.2 Cavidades izquierdas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1F4E79" w:val="clear"/>
            <w:tcMar>
              <w:top w:type="dxa" w:w="60"/>
              <w:left w:type="dxa" w:w="100"/>
              <w:bottom w:type="dxa" w:w="60"/>
              <w:right w:type="dxa" w:w="100"/>
            </w:tcMar>
          </w:tcPr>
          <w:p>
            <w:r>
              <w:rPr>
                <w:b/>
                <w:bCs/>
                <w:color w:val="FFFFFF"/>
                <w:sz w:val="20"/>
                <w:szCs w:val="20"/>
              </w:rPr>
              <w:t xml:space="preserve">Código</w:t>
            </w:r>
          </w:p>
        </w:tc>
        <w:tc>
          <w:tcPr>
            <w:tcW w:type="dxa" w:w="3200"/>
            <w:shd w:fill="1F4E79" w:val="clear"/>
            <w:tcMar>
              <w:top w:type="dxa" w:w="60"/>
              <w:left w:type="dxa" w:w="100"/>
              <w:bottom w:type="dxa" w:w="60"/>
              <w:right w:type="dxa" w:w="100"/>
            </w:tcMar>
          </w:tcPr>
          <w:p>
            <w:r>
              <w:rPr>
                <w:b/>
                <w:bCs/>
                <w:color w:val="FFFFFF"/>
                <w:sz w:val="20"/>
                <w:szCs w:val="20"/>
              </w:rPr>
              <w:t xml:space="preserve">Significado</w:t>
            </w:r>
          </w:p>
        </w:tc>
        <w:tc>
          <w:tcPr>
            <w:tcW w:type="dxa" w:w="4000"/>
            <w:shd w:fill="1F4E79" w:val="clear"/>
            <w:tcMar>
              <w:top w:type="dxa" w:w="60"/>
              <w:left w:type="dxa" w:w="100"/>
              <w:bottom w:type="dxa" w:w="60"/>
              <w:right w:type="dxa" w:w="100"/>
            </w:tcMar>
          </w:tcPr>
          <w:p>
            <w:r>
              <w:rPr>
                <w:b/>
                <w:bCs/>
                <w:color w:val="FFFFFF"/>
                <w:sz w:val="20"/>
                <w:szCs w:val="20"/>
              </w:rPr>
              <w:t xml:space="preserve">Descripción automática</w:t>
            </w:r>
          </w:p>
        </w:tc>
      </w:tr>
      <w:tr>
        <w:tc>
          <w:tcPr>
            <w:tcW w:type="dxa" w:w="1800"/>
            <w:tcMar>
              <w:top w:type="dxa" w:w="60"/>
              <w:left w:type="dxa" w:w="100"/>
              <w:bottom w:type="dxa" w:w="60"/>
              <w:right w:type="dxa" w:w="100"/>
            </w:tcMar>
          </w:tcPr>
          <w:p>
            <w:r>
              <w:rPr>
                <w:b w:val="false"/>
                <w:bCs w:val="false"/>
                <w:color w:val="000000"/>
                <w:sz w:val="20"/>
                <w:szCs w:val="20"/>
              </w:rPr>
              <w:t xml:space="preserve">VI / VI↑ / VI DIL</w:t>
            </w:r>
          </w:p>
        </w:tc>
        <w:tc>
          <w:tcPr>
            <w:tcW w:type="dxa" w:w="3200"/>
            <w:tcMar>
              <w:top w:type="dxa" w:w="60"/>
              <w:left w:type="dxa" w:w="100"/>
              <w:bottom w:type="dxa" w:w="60"/>
              <w:right w:type="dxa" w:w="100"/>
            </w:tcMar>
          </w:tcPr>
          <w:p>
            <w:r>
              <w:rPr>
                <w:b w:val="false"/>
                <w:bCs w:val="false"/>
                <w:color w:val="000000"/>
                <w:sz w:val="20"/>
                <w:szCs w:val="20"/>
              </w:rPr>
              <w:t xml:space="preserve">Ventrículo izquierdo dilatado</w:t>
            </w:r>
          </w:p>
        </w:tc>
        <w:tc>
          <w:tcPr>
            <w:tcW w:type="dxa" w:w="4000"/>
            <w:tcMar>
              <w:top w:type="dxa" w:w="60"/>
              <w:left w:type="dxa" w:w="100"/>
              <w:bottom w:type="dxa" w:w="60"/>
              <w:right w:type="dxa" w:w="100"/>
            </w:tcMar>
          </w:tcPr>
          <w:p>
            <w:r>
              <w:rPr>
                <w:b w:val="false"/>
                <w:bCs w:val="false"/>
                <w:color w:val="000000"/>
                <w:sz w:val="20"/>
                <w:szCs w:val="20"/>
              </w:rPr>
              <w:t xml:space="preserve">Ventrículo izquierdo con diámetros aumentados, de morfología esferiforme.</w:t>
            </w:r>
          </w:p>
        </w:tc>
      </w:tr>
      <w:tr>
        <w:tc>
          <w:tcPr>
            <w:tcW w:type="dxa" w:w="1800"/>
            <w:tcMar>
              <w:top w:type="dxa" w:w="60"/>
              <w:left w:type="dxa" w:w="100"/>
              <w:bottom w:type="dxa" w:w="60"/>
              <w:right w:type="dxa" w:w="100"/>
            </w:tcMar>
          </w:tcPr>
          <w:p>
            <w:r>
              <w:rPr>
                <w:b w:val="false"/>
                <w:bCs w:val="false"/>
                <w:color w:val="000000"/>
                <w:sz w:val="20"/>
                <w:szCs w:val="20"/>
              </w:rPr>
              <w:t xml:space="preserve">HVI</w:t>
            </w:r>
          </w:p>
        </w:tc>
        <w:tc>
          <w:tcPr>
            <w:tcW w:type="dxa" w:w="3200"/>
            <w:tcMar>
              <w:top w:type="dxa" w:w="60"/>
              <w:left w:type="dxa" w:w="100"/>
              <w:bottom w:type="dxa" w:w="60"/>
              <w:right w:type="dxa" w:w="100"/>
            </w:tcMar>
          </w:tcPr>
          <w:p>
            <w:r>
              <w:rPr>
                <w:b w:val="false"/>
                <w:bCs w:val="false"/>
                <w:color w:val="000000"/>
                <w:sz w:val="20"/>
                <w:szCs w:val="20"/>
              </w:rPr>
              <w:t xml:space="preserve">Hipertrofia ventricular izquierda</w:t>
            </w:r>
          </w:p>
        </w:tc>
        <w:tc>
          <w:tcPr>
            <w:tcW w:type="dxa" w:w="4000"/>
            <w:tcMar>
              <w:top w:type="dxa" w:w="60"/>
              <w:left w:type="dxa" w:w="100"/>
              <w:bottom w:type="dxa" w:w="60"/>
              <w:right w:type="dxa" w:w="100"/>
            </w:tcMar>
          </w:tcPr>
          <w:p>
            <w:r>
              <w:rPr>
                <w:b w:val="false"/>
                <w:bCs w:val="false"/>
                <w:color w:val="000000"/>
                <w:sz w:val="20"/>
                <w:szCs w:val="20"/>
              </w:rPr>
              <w:t xml:space="preserve">Ventrículo izquierdo con hipertrofia de sus paredes, con diámetros adecuados.</w:t>
            </w:r>
          </w:p>
        </w:tc>
      </w:tr>
      <w:tr>
        <w:tc>
          <w:tcPr>
            <w:tcW w:type="dxa" w:w="1800"/>
            <w:tcMar>
              <w:top w:type="dxa" w:w="60"/>
              <w:left w:type="dxa" w:w="100"/>
              <w:bottom w:type="dxa" w:w="60"/>
              <w:right w:type="dxa" w:w="100"/>
            </w:tcMar>
          </w:tcPr>
          <w:p>
            <w:r>
              <w:rPr>
                <w:b w:val="false"/>
                <w:bCs w:val="false"/>
                <w:color w:val="000000"/>
                <w:sz w:val="20"/>
                <w:szCs w:val="20"/>
              </w:rPr>
              <w:t xml:space="preserve">LHVI / Leve HVI</w:t>
            </w:r>
          </w:p>
        </w:tc>
        <w:tc>
          <w:tcPr>
            <w:tcW w:type="dxa" w:w="3200"/>
            <w:tcMar>
              <w:top w:type="dxa" w:w="60"/>
              <w:left w:type="dxa" w:w="100"/>
              <w:bottom w:type="dxa" w:w="60"/>
              <w:right w:type="dxa" w:w="100"/>
            </w:tcMar>
          </w:tcPr>
          <w:p>
            <w:r>
              <w:rPr>
                <w:b w:val="false"/>
                <w:bCs w:val="false"/>
                <w:color w:val="000000"/>
                <w:sz w:val="20"/>
                <w:szCs w:val="20"/>
              </w:rPr>
              <w:t xml:space="preserve">Hipertrofia leve</w:t>
            </w:r>
          </w:p>
        </w:tc>
        <w:tc>
          <w:tcPr>
            <w:tcW w:type="dxa" w:w="4000"/>
            <w:tcMar>
              <w:top w:type="dxa" w:w="60"/>
              <w:left w:type="dxa" w:w="100"/>
              <w:bottom w:type="dxa" w:w="60"/>
              <w:right w:type="dxa" w:w="100"/>
            </w:tcMar>
          </w:tcPr>
          <w:p>
            <w:r>
              <w:rPr>
                <w:b w:val="false"/>
                <w:bCs w:val="false"/>
                <w:color w:val="000000"/>
                <w:sz w:val="20"/>
                <w:szCs w:val="20"/>
              </w:rPr>
              <w:t xml:space="preserve">Ventrículo izquierdo con leve hipertrofia de sus paredes.</w:t>
            </w:r>
          </w:p>
        </w:tc>
      </w:tr>
      <w:tr>
        <w:tc>
          <w:tcPr>
            <w:tcW w:type="dxa" w:w="1800"/>
            <w:tcMar>
              <w:top w:type="dxa" w:w="60"/>
              <w:left w:type="dxa" w:w="100"/>
              <w:bottom w:type="dxa" w:w="60"/>
              <w:right w:type="dxa" w:w="100"/>
            </w:tcMar>
          </w:tcPr>
          <w:p>
            <w:r>
              <w:rPr>
                <w:b w:val="false"/>
                <w:bCs w:val="false"/>
                <w:color w:val="000000"/>
                <w:sz w:val="20"/>
                <w:szCs w:val="20"/>
              </w:rPr>
              <w:t xml:space="preserve">Septum</w:t>
            </w:r>
          </w:p>
        </w:tc>
        <w:tc>
          <w:tcPr>
            <w:tcW w:type="dxa" w:w="3200"/>
            <w:tcMar>
              <w:top w:type="dxa" w:w="60"/>
              <w:left w:type="dxa" w:w="100"/>
              <w:bottom w:type="dxa" w:w="60"/>
              <w:right w:type="dxa" w:w="100"/>
            </w:tcMar>
          </w:tcPr>
          <w:p>
            <w:r>
              <w:rPr>
                <w:b w:val="false"/>
                <w:bCs w:val="false"/>
                <w:color w:val="000000"/>
                <w:sz w:val="20"/>
                <w:szCs w:val="20"/>
              </w:rPr>
              <w:t xml:space="preserve">Hipertrofia septal leve</w:t>
            </w:r>
          </w:p>
        </w:tc>
        <w:tc>
          <w:tcPr>
            <w:tcW w:type="dxa" w:w="4000"/>
            <w:tcMar>
              <w:top w:type="dxa" w:w="60"/>
              <w:left w:type="dxa" w:w="100"/>
              <w:bottom w:type="dxa" w:w="60"/>
              <w:right w:type="dxa" w:w="100"/>
            </w:tcMar>
          </w:tcPr>
          <w:p>
            <w:r>
              <w:rPr>
                <w:b w:val="false"/>
                <w:bCs w:val="false"/>
                <w:color w:val="000000"/>
                <w:sz w:val="20"/>
                <w:szCs w:val="20"/>
              </w:rPr>
              <w:t xml:space="preserve">Leve hipertrofia del septum interventricular.</w:t>
            </w:r>
          </w:p>
        </w:tc>
      </w:tr>
      <w:tr>
        <w:tc>
          <w:tcPr>
            <w:tcW w:type="dxa" w:w="1800"/>
            <w:tcMar>
              <w:top w:type="dxa" w:w="60"/>
              <w:left w:type="dxa" w:w="100"/>
              <w:bottom w:type="dxa" w:w="60"/>
              <w:right w:type="dxa" w:w="100"/>
            </w:tcMar>
          </w:tcPr>
          <w:p>
            <w:r>
              <w:rPr>
                <w:b w:val="false"/>
                <w:bCs w:val="false"/>
                <w:color w:val="000000"/>
                <w:sz w:val="20"/>
                <w:szCs w:val="20"/>
              </w:rPr>
              <w:t xml:space="preserve">Septum↑ / Sept↑</w:t>
            </w:r>
          </w:p>
        </w:tc>
        <w:tc>
          <w:tcPr>
            <w:tcW w:type="dxa" w:w="3200"/>
            <w:tcMar>
              <w:top w:type="dxa" w:w="60"/>
              <w:left w:type="dxa" w:w="100"/>
              <w:bottom w:type="dxa" w:w="60"/>
              <w:right w:type="dxa" w:w="100"/>
            </w:tcMar>
          </w:tcPr>
          <w:p>
            <w:r>
              <w:rPr>
                <w:b w:val="false"/>
                <w:bCs w:val="false"/>
                <w:color w:val="000000"/>
                <w:sz w:val="20"/>
                <w:szCs w:val="20"/>
              </w:rPr>
              <w:t xml:space="preserve">Fibrosis septal</w:t>
            </w:r>
          </w:p>
        </w:tc>
        <w:tc>
          <w:tcPr>
            <w:tcW w:type="dxa" w:w="4000"/>
            <w:tcMar>
              <w:top w:type="dxa" w:w="60"/>
              <w:left w:type="dxa" w:w="100"/>
              <w:bottom w:type="dxa" w:w="60"/>
              <w:right w:type="dxa" w:w="100"/>
            </w:tcMar>
          </w:tcPr>
          <w:p>
            <w:r>
              <w:rPr>
                <w:b w:val="false"/>
                <w:bCs w:val="false"/>
                <w:color w:val="000000"/>
                <w:sz w:val="20"/>
                <w:szCs w:val="20"/>
              </w:rPr>
              <w:t xml:space="preserve">Septum interventricular con aumento de densidad acústica (reemplazo de músculo por colágeno; se integra en cardiopatía isquémica).</w:t>
            </w:r>
          </w:p>
        </w:tc>
      </w:tr>
      <w:tr>
        <w:tc>
          <w:tcPr>
            <w:tcW w:type="dxa" w:w="1800"/>
            <w:tcMar>
              <w:top w:type="dxa" w:w="60"/>
              <w:left w:type="dxa" w:w="100"/>
              <w:bottom w:type="dxa" w:w="60"/>
              <w:right w:type="dxa" w:w="100"/>
            </w:tcMar>
          </w:tcPr>
          <w:p>
            <w:r>
              <w:rPr>
                <w:b w:val="false"/>
                <w:bCs w:val="false"/>
                <w:color w:val="000000"/>
                <w:sz w:val="20"/>
                <w:szCs w:val="20"/>
              </w:rPr>
              <w:t xml:space="preserve">Septum↓ / Sept↓</w:t>
            </w:r>
          </w:p>
        </w:tc>
        <w:tc>
          <w:tcPr>
            <w:tcW w:type="dxa" w:w="3200"/>
            <w:tcMar>
              <w:top w:type="dxa" w:w="60"/>
              <w:left w:type="dxa" w:w="100"/>
              <w:bottom w:type="dxa" w:w="60"/>
              <w:right w:type="dxa" w:w="100"/>
            </w:tcMar>
          </w:tcPr>
          <w:p>
            <w:r>
              <w:rPr>
                <w:b w:val="false"/>
                <w:bCs w:val="false"/>
                <w:color w:val="000000"/>
                <w:sz w:val="20"/>
                <w:szCs w:val="20"/>
              </w:rPr>
              <w:t xml:space="preserve">Adelgazamiento septal</w:t>
            </w:r>
          </w:p>
        </w:tc>
        <w:tc>
          <w:tcPr>
            <w:tcW w:type="dxa" w:w="4000"/>
            <w:tcMar>
              <w:top w:type="dxa" w:w="60"/>
              <w:left w:type="dxa" w:w="100"/>
              <w:bottom w:type="dxa" w:w="60"/>
              <w:right w:type="dxa" w:w="100"/>
            </w:tcMar>
          </w:tcPr>
          <w:p>
            <w:r>
              <w:rPr>
                <w:b w:val="false"/>
                <w:bCs w:val="false"/>
                <w:color w:val="000000"/>
                <w:sz w:val="20"/>
                <w:szCs w:val="20"/>
              </w:rPr>
              <w:t xml:space="preserve">Septum interventricular adelgazado (se integra en cardiopatía isquémica).</w:t>
            </w:r>
          </w:p>
        </w:tc>
      </w:tr>
      <w:tr>
        <w:tc>
          <w:tcPr>
            <w:tcW w:type="dxa" w:w="1800"/>
            <w:tcMar>
              <w:top w:type="dxa" w:w="60"/>
              <w:left w:type="dxa" w:w="100"/>
              <w:bottom w:type="dxa" w:w="60"/>
              <w:right w:type="dxa" w:w="100"/>
            </w:tcMar>
          </w:tcPr>
          <w:p>
            <w:r>
              <w:rPr>
                <w:b w:val="false"/>
                <w:bCs w:val="false"/>
                <w:color w:val="000000"/>
                <w:sz w:val="20"/>
                <w:szCs w:val="20"/>
              </w:rPr>
              <w:t xml:space="preserve">Septum↑↓ / Sept↑↓</w:t>
            </w:r>
          </w:p>
        </w:tc>
        <w:tc>
          <w:tcPr>
            <w:tcW w:type="dxa" w:w="3200"/>
            <w:tcMar>
              <w:top w:type="dxa" w:w="60"/>
              <w:left w:type="dxa" w:w="100"/>
              <w:bottom w:type="dxa" w:w="60"/>
              <w:right w:type="dxa" w:w="100"/>
            </w:tcMar>
          </w:tcPr>
          <w:p>
            <w:r>
              <w:rPr>
                <w:b w:val="false"/>
                <w:bCs w:val="false"/>
                <w:color w:val="000000"/>
                <w:sz w:val="20"/>
                <w:szCs w:val="20"/>
              </w:rPr>
              <w:t xml:space="preserve">Fibrosis + adelgazamiento</w:t>
            </w:r>
          </w:p>
        </w:tc>
        <w:tc>
          <w:tcPr>
            <w:tcW w:type="dxa" w:w="4000"/>
            <w:tcMar>
              <w:top w:type="dxa" w:w="60"/>
              <w:left w:type="dxa" w:w="100"/>
              <w:bottom w:type="dxa" w:w="60"/>
              <w:right w:type="dxa" w:w="100"/>
            </w:tcMar>
          </w:tcPr>
          <w:p>
            <w:r>
              <w:rPr>
                <w:b w:val="false"/>
                <w:bCs w:val="false"/>
                <w:color w:val="000000"/>
                <w:sz w:val="20"/>
                <w:szCs w:val="20"/>
              </w:rPr>
              <w:t xml:space="preserve">Septum interventricular con aumento de densidad acústica y adelgazado.</w:t>
            </w:r>
          </w:p>
        </w:tc>
      </w:tr>
      <w:tr>
        <w:tc>
          <w:tcPr>
            <w:tcW w:type="dxa" w:w="1800"/>
            <w:tcMar>
              <w:top w:type="dxa" w:w="60"/>
              <w:left w:type="dxa" w:w="100"/>
              <w:bottom w:type="dxa" w:w="60"/>
              <w:right w:type="dxa" w:w="100"/>
            </w:tcMar>
          </w:tcPr>
          <w:p>
            <w:r>
              <w:rPr>
                <w:b w:val="false"/>
                <w:bCs w:val="false"/>
                <w:color w:val="000000"/>
                <w:sz w:val="20"/>
                <w:szCs w:val="20"/>
              </w:rPr>
              <w:t xml:space="preserve">Espolón</w:t>
            </w:r>
          </w:p>
        </w:tc>
        <w:tc>
          <w:tcPr>
            <w:tcW w:type="dxa" w:w="3200"/>
            <w:tcMar>
              <w:top w:type="dxa" w:w="60"/>
              <w:left w:type="dxa" w:w="100"/>
              <w:bottom w:type="dxa" w:w="60"/>
              <w:right w:type="dxa" w:w="100"/>
            </w:tcMar>
          </w:tcPr>
          <w:p>
            <w:r>
              <w:rPr>
                <w:b w:val="false"/>
                <w:bCs w:val="false"/>
                <w:color w:val="000000"/>
                <w:sz w:val="20"/>
                <w:szCs w:val="20"/>
              </w:rPr>
              <w:t xml:space="preserve">Engrosamiento miocárdico septal basal</w:t>
            </w:r>
          </w:p>
        </w:tc>
        <w:tc>
          <w:tcPr>
            <w:tcW w:type="dxa" w:w="4000"/>
            <w:tcMar>
              <w:top w:type="dxa" w:w="60"/>
              <w:left w:type="dxa" w:w="100"/>
              <w:bottom w:type="dxa" w:w="60"/>
              <w:right w:type="dxa" w:w="100"/>
            </w:tcMar>
          </w:tcPr>
          <w:p>
            <w:r>
              <w:rPr>
                <w:b w:val="false"/>
                <w:bCs w:val="false"/>
                <w:color w:val="000000"/>
                <w:sz w:val="20"/>
                <w:szCs w:val="20"/>
              </w:rPr>
              <w:t xml:space="preserve">Engrosamiento miocárdico septal basal (no concluye automáticamente). Excluyente con la familia Septum↑/↓.</w:t>
            </w:r>
          </w:p>
        </w:tc>
      </w:tr>
      <w:tr>
        <w:tc>
          <w:tcPr>
            <w:tcW w:type="dxa" w:w="1800"/>
            <w:tcMar>
              <w:top w:type="dxa" w:w="60"/>
              <w:left w:type="dxa" w:w="100"/>
              <w:bottom w:type="dxa" w:w="60"/>
              <w:right w:type="dxa" w:w="100"/>
            </w:tcMar>
          </w:tcPr>
          <w:p>
            <w:r>
              <w:rPr>
                <w:b w:val="false"/>
                <w:bCs w:val="false"/>
                <w:color w:val="000000"/>
                <w:sz w:val="20"/>
                <w:szCs w:val="20"/>
              </w:rPr>
              <w:t xml:space="preserve">AN VI ##</w:t>
            </w:r>
          </w:p>
        </w:tc>
        <w:tc>
          <w:tcPr>
            <w:tcW w:type="dxa" w:w="3200"/>
            <w:tcMar>
              <w:top w:type="dxa" w:w="60"/>
              <w:left w:type="dxa" w:w="100"/>
              <w:bottom w:type="dxa" w:w="60"/>
              <w:right w:type="dxa" w:w="100"/>
            </w:tcMar>
          </w:tcPr>
          <w:p>
            <w:r>
              <w:rPr>
                <w:b w:val="false"/>
                <w:bCs w:val="false"/>
                <w:color w:val="000000"/>
                <w:sz w:val="20"/>
                <w:szCs w:val="20"/>
              </w:rPr>
              <w:t xml:space="preserve">Aneurisma apical del VI</w:t>
            </w:r>
          </w:p>
        </w:tc>
        <w:tc>
          <w:tcPr>
            <w:tcW w:type="dxa" w:w="4000"/>
            <w:tcMar>
              <w:top w:type="dxa" w:w="60"/>
              <w:left w:type="dxa" w:w="100"/>
              <w:bottom w:type="dxa" w:w="60"/>
              <w:right w:type="dxa" w:w="100"/>
            </w:tcMar>
          </w:tcPr>
          <w:p>
            <w:r>
              <w:rPr>
                <w:b w:val="false"/>
                <w:bCs w:val="false"/>
                <w:color w:val="000000"/>
                <w:sz w:val="20"/>
                <w:szCs w:val="20"/>
              </w:rPr>
              <w:t xml:space="preserve">Aneurisma apical del ventrículo izquierdo de ## cm (sí genera conclusión; puede integrarse con cardiopatía isquémica, trombo o alteraciones segmentarias).</w:t>
            </w:r>
          </w:p>
        </w:tc>
      </w:tr>
      <w:tr>
        <w:tc>
          <w:tcPr>
            <w:tcW w:type="dxa" w:w="1800"/>
            <w:tcMar>
              <w:top w:type="dxa" w:w="60"/>
              <w:left w:type="dxa" w:w="100"/>
              <w:bottom w:type="dxa" w:w="60"/>
              <w:right w:type="dxa" w:w="100"/>
            </w:tcMar>
          </w:tcPr>
          <w:p>
            <w:r>
              <w:rPr>
                <w:b w:val="false"/>
                <w:bCs w:val="false"/>
                <w:color w:val="000000"/>
                <w:sz w:val="20"/>
                <w:szCs w:val="20"/>
              </w:rPr>
              <w:t xml:space="preserve">Cuerda</w:t>
            </w:r>
          </w:p>
        </w:tc>
        <w:tc>
          <w:tcPr>
            <w:tcW w:type="dxa" w:w="3200"/>
            <w:tcMar>
              <w:top w:type="dxa" w:w="60"/>
              <w:left w:type="dxa" w:w="100"/>
              <w:bottom w:type="dxa" w:w="60"/>
              <w:right w:type="dxa" w:w="100"/>
            </w:tcMar>
          </w:tcPr>
          <w:p>
            <w:r>
              <w:rPr>
                <w:b w:val="false"/>
                <w:bCs w:val="false"/>
                <w:color w:val="000000"/>
                <w:sz w:val="20"/>
                <w:szCs w:val="20"/>
              </w:rPr>
              <w:t xml:space="preserve">Falsa cuerda tendinosa</w:t>
            </w:r>
          </w:p>
        </w:tc>
        <w:tc>
          <w:tcPr>
            <w:tcW w:type="dxa" w:w="4000"/>
            <w:tcMar>
              <w:top w:type="dxa" w:w="60"/>
              <w:left w:type="dxa" w:w="100"/>
              <w:bottom w:type="dxa" w:w="60"/>
              <w:right w:type="dxa" w:w="100"/>
            </w:tcMar>
          </w:tcPr>
          <w:p>
            <w:r>
              <w:rPr>
                <w:b w:val="false"/>
                <w:bCs w:val="false"/>
                <w:color w:val="000000"/>
                <w:sz w:val="20"/>
                <w:szCs w:val="20"/>
              </w:rPr>
              <w:t xml:space="preserve">Presencia de falsa cuerda tendinosa intraventricular izquierda (puede especificarse ubicación, ej. "lateroseptal apical").</w:t>
            </w:r>
          </w:p>
        </w:tc>
      </w:tr>
    </w:tbl>
    <w:p>
      <w:pPr>
        <w:spacing w:after="120"/>
      </w:pPr>
      <w:r>
        <w:t xml:space="preserve">El sistema calcula automáticamente masa ventricular e índice de masa (fórmulas ASE, puntos de corte según sexo) y genera VI↑ / HVI cuando los cálculos superan los límites normales.</w:t>
      </w:r>
    </w:p>
    <w:p>
      <w:pPr>
        <w:spacing w:after="120"/>
      </w:pPr>
      <w:r>
        <w:t xml:space="preserve">Regla de exclusión: Espolón y la familia Septum↑/Septum↓/Septum↑↓ son hallazgos mutuamente excluyentes; no deben coexistir en el mismo informe.</w:t>
      </w:r>
    </w:p>
    <w:p>
      <w:pPr>
        <w:pStyle w:val="Heading3"/>
        <w:spacing w:after="100" w:before="200"/>
      </w:pPr>
      <w:r>
        <w:t xml:space="preserve">Aurícula izquierda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600"/>
      </w:tblGrid>
      <w:tr>
        <w:tc>
          <w:tcPr>
            <w:tcW w:type="dxa" w:w="2600"/>
            <w:shd w:fill="1F4E79" w:val="clear"/>
            <w:tcMar>
              <w:top w:type="dxa" w:w="60"/>
              <w:left w:type="dxa" w:w="100"/>
              <w:bottom w:type="dxa" w:w="60"/>
              <w:right w:type="dxa" w:w="100"/>
            </w:tcMar>
          </w:tcPr>
          <w:p>
            <w:r>
              <w:rPr>
                <w:b/>
                <w:bCs/>
                <w:color w:val="FFFFFF"/>
                <w:sz w:val="20"/>
                <w:szCs w:val="20"/>
              </w:rPr>
              <w:t xml:space="preserve">Código / Valor</w:t>
            </w:r>
          </w:p>
        </w:tc>
        <w:tc>
          <w:tcPr>
            <w:tcW w:type="dxa" w:w="4800"/>
            <w:shd w:fill="1F4E79" w:val="clear"/>
            <w:tcMar>
              <w:top w:type="dxa" w:w="60"/>
              <w:left w:type="dxa" w:w="100"/>
              <w:bottom w:type="dxa" w:w="60"/>
              <w:right w:type="dxa" w:w="100"/>
            </w:tcMar>
          </w:tcPr>
          <w:p>
            <w:r>
              <w:rPr>
                <w:b/>
                <w:bCs/>
                <w:color w:val="FFFFFF"/>
                <w:sz w:val="20"/>
                <w:szCs w:val="20"/>
              </w:rPr>
              <w:t xml:space="preserve">Interpretación</w:t>
            </w:r>
          </w:p>
        </w:tc>
        <w:tc>
          <w:tcPr>
            <w:tcW w:type="dxa" w:w="2600"/>
            <w:shd w:fill="1F4E79" w:val="clear"/>
            <w:tcMar>
              <w:top w:type="dxa" w:w="60"/>
              <w:left w:type="dxa" w:w="100"/>
              <w:bottom w:type="dxa" w:w="60"/>
              <w:right w:type="dxa" w:w="100"/>
            </w:tcMar>
          </w:tcPr>
          <w:p>
            <w:r>
              <w:rPr>
                <w:b/>
                <w:bCs/>
                <w:color w:val="FFFFFF"/>
                <w:sz w:val="20"/>
                <w:szCs w:val="20"/>
              </w:rPr>
              <w:t xml:space="preserve">¿Se menciona en conclusión?</w:t>
            </w:r>
          </w:p>
        </w:tc>
      </w:tr>
      <w:tr>
        <w:tc>
          <w:tcPr>
            <w:tcW w:type="dxa" w:w="2600"/>
            <w:tcMar>
              <w:top w:type="dxa" w:w="60"/>
              <w:left w:type="dxa" w:w="100"/>
              <w:bottom w:type="dxa" w:w="60"/>
              <w:right w:type="dxa" w:w="100"/>
            </w:tcMar>
          </w:tcPr>
          <w:p>
            <w:r>
              <w:rPr>
                <w:b w:val="false"/>
                <w:bCs w:val="false"/>
                <w:color w:val="000000"/>
                <w:sz w:val="20"/>
                <w:szCs w:val="20"/>
              </w:rPr>
              <w:t xml:space="preserve">AI ≤ 20 cm²</w:t>
            </w:r>
          </w:p>
        </w:tc>
        <w:tc>
          <w:tcPr>
            <w:tcW w:type="dxa" w:w="4800"/>
            <w:tcMar>
              <w:top w:type="dxa" w:w="60"/>
              <w:left w:type="dxa" w:w="100"/>
              <w:bottom w:type="dxa" w:w="60"/>
              <w:right w:type="dxa" w:w="100"/>
            </w:tcMar>
          </w:tcPr>
          <w:p>
            <w:r>
              <w:rPr>
                <w:b w:val="false"/>
                <w:bCs w:val="false"/>
                <w:color w:val="000000"/>
                <w:sz w:val="20"/>
                <w:szCs w:val="20"/>
              </w:rPr>
              <w:t xml:space="preserve">Normal (inclusive). Descripción: "Aurícula izquierda de tamaño y forma normal."</w:t>
            </w:r>
          </w:p>
        </w:tc>
        <w:tc>
          <w:tcPr>
            <w:tcW w:type="dxa" w:w="2600"/>
            <w:tcMar>
              <w:top w:type="dxa" w:w="60"/>
              <w:left w:type="dxa" w:w="100"/>
              <w:bottom w:type="dxa" w:w="60"/>
              <w:right w:type="dxa" w:w="100"/>
            </w:tcMar>
          </w:tcPr>
          <w:p>
            <w:r>
              <w:rPr>
                <w:b w:val="false"/>
                <w:bCs w:val="false"/>
                <w:color w:val="000000"/>
                <w:sz w:val="20"/>
                <w:szCs w:val="20"/>
              </w:rPr>
              <w:t xml:space="preserve">No</w:t>
            </w:r>
          </w:p>
        </w:tc>
      </w:tr>
      <w:tr>
        <w:tc>
          <w:tcPr>
            <w:tcW w:type="dxa" w:w="2600"/>
            <w:tcMar>
              <w:top w:type="dxa" w:w="60"/>
              <w:left w:type="dxa" w:w="100"/>
              <w:bottom w:type="dxa" w:w="60"/>
              <w:right w:type="dxa" w:w="100"/>
            </w:tcMar>
          </w:tcPr>
          <w:p>
            <w:r>
              <w:rPr>
                <w:b w:val="false"/>
                <w:bCs w:val="false"/>
                <w:color w:val="000000"/>
                <w:sz w:val="20"/>
                <w:szCs w:val="20"/>
              </w:rPr>
              <w:t xml:space="preserve">AI = 20 cm² exacto</w:t>
            </w:r>
          </w:p>
        </w:tc>
        <w:tc>
          <w:tcPr>
            <w:tcW w:type="dxa" w:w="4800"/>
            <w:tcMar>
              <w:top w:type="dxa" w:w="60"/>
              <w:left w:type="dxa" w:w="100"/>
              <w:bottom w:type="dxa" w:w="60"/>
              <w:right w:type="dxa" w:w="100"/>
            </w:tcMar>
          </w:tcPr>
          <w:p>
            <w:r>
              <w:rPr>
                <w:b w:val="false"/>
                <w:bCs w:val="false"/>
                <w:color w:val="000000"/>
                <w:sz w:val="20"/>
                <w:szCs w:val="20"/>
              </w:rPr>
              <w:t xml:space="preserve">Caso límite: se usa el DIÁMETRO de AI (2º valor de la secuencia fija de medidas) como desempate. Si diámetro &gt;4.0 cm → se reclasifica como dilatada. Si ≤4.0 cm → normal.</w:t>
            </w:r>
          </w:p>
        </w:tc>
        <w:tc>
          <w:tcPr>
            <w:tcW w:type="dxa" w:w="2600"/>
            <w:tcMar>
              <w:top w:type="dxa" w:w="60"/>
              <w:left w:type="dxa" w:w="100"/>
              <w:bottom w:type="dxa" w:w="60"/>
              <w:right w:type="dxa" w:w="100"/>
            </w:tcMar>
          </w:tcPr>
          <w:p>
            <w:r>
              <w:rPr>
                <w:b w:val="false"/>
                <w:bCs w:val="false"/>
                <w:color w:val="000000"/>
                <w:sz w:val="20"/>
                <w:szCs w:val="20"/>
              </w:rPr>
              <w:t xml:space="preserve">Depende del desempate</w:t>
            </w:r>
          </w:p>
        </w:tc>
      </w:tr>
      <w:tr>
        <w:tc>
          <w:tcPr>
            <w:tcW w:type="dxa" w:w="2600"/>
            <w:tcMar>
              <w:top w:type="dxa" w:w="60"/>
              <w:left w:type="dxa" w:w="100"/>
              <w:bottom w:type="dxa" w:w="60"/>
              <w:right w:type="dxa" w:w="100"/>
            </w:tcMar>
          </w:tcPr>
          <w:p>
            <w:r>
              <w:rPr>
                <w:b w:val="false"/>
                <w:bCs w:val="false"/>
                <w:color w:val="000000"/>
                <w:sz w:val="20"/>
                <w:szCs w:val="20"/>
              </w:rPr>
              <w:t xml:space="preserve">AI 20–40 cm² / AI↑</w:t>
            </w:r>
          </w:p>
        </w:tc>
        <w:tc>
          <w:tcPr>
            <w:tcW w:type="dxa" w:w="4800"/>
            <w:tcMar>
              <w:top w:type="dxa" w:w="60"/>
              <w:left w:type="dxa" w:w="100"/>
              <w:bottom w:type="dxa" w:w="60"/>
              <w:right w:type="dxa" w:w="100"/>
            </w:tcMar>
          </w:tcPr>
          <w:p>
            <w:r>
              <w:rPr>
                <w:b w:val="false"/>
                <w:bCs w:val="false"/>
                <w:color w:val="000000"/>
                <w:sz w:val="20"/>
                <w:szCs w:val="20"/>
              </w:rPr>
              <w:t xml:space="preserve">Dilatada. Descripción: "Aurícula izquierda dilatada, con área de xx cm²."</w:t>
            </w:r>
          </w:p>
        </w:tc>
        <w:tc>
          <w:tcPr>
            <w:tcW w:type="dxa" w:w="2600"/>
            <w:tcMar>
              <w:top w:type="dxa" w:w="60"/>
              <w:left w:type="dxa" w:w="100"/>
              <w:bottom w:type="dxa" w:w="60"/>
              <w:right w:type="dxa" w:w="100"/>
            </w:tcMar>
          </w:tcPr>
          <w:p>
            <w:r>
              <w:rPr>
                <w:b w:val="false"/>
                <w:bCs w:val="false"/>
                <w:color w:val="000000"/>
                <w:sz w:val="20"/>
                <w:szCs w:val="20"/>
              </w:rPr>
              <w:t xml:space="preserve">Sí (binario, sin subgrados)</w:t>
            </w:r>
          </w:p>
        </w:tc>
      </w:tr>
      <w:tr>
        <w:tc>
          <w:tcPr>
            <w:tcW w:type="dxa" w:w="2600"/>
            <w:tcMar>
              <w:top w:type="dxa" w:w="60"/>
              <w:left w:type="dxa" w:w="100"/>
              <w:bottom w:type="dxa" w:w="60"/>
              <w:right w:type="dxa" w:w="100"/>
            </w:tcMar>
          </w:tcPr>
          <w:p>
            <w:r>
              <w:rPr>
                <w:b w:val="false"/>
                <w:bCs w:val="false"/>
                <w:color w:val="000000"/>
                <w:sz w:val="20"/>
                <w:szCs w:val="20"/>
              </w:rPr>
              <w:t xml:space="preserve">AI &gt; 40 cm²</w:t>
            </w:r>
          </w:p>
        </w:tc>
        <w:tc>
          <w:tcPr>
            <w:tcW w:type="dxa" w:w="4800"/>
            <w:tcMar>
              <w:top w:type="dxa" w:w="60"/>
              <w:left w:type="dxa" w:w="100"/>
              <w:bottom w:type="dxa" w:w="60"/>
              <w:right w:type="dxa" w:w="100"/>
            </w:tcMar>
          </w:tcPr>
          <w:p>
            <w:r>
              <w:rPr>
                <w:b w:val="false"/>
                <w:bCs w:val="false"/>
                <w:color w:val="000000"/>
                <w:sz w:val="20"/>
                <w:szCs w:val="20"/>
              </w:rPr>
              <w:t xml:space="preserve">Severamente dilatada. Descripción: "Aurícula izquierda severamente dilatada..."</w:t>
            </w:r>
          </w:p>
        </w:tc>
        <w:tc>
          <w:tcPr>
            <w:tcW w:type="dxa" w:w="2600"/>
            <w:tcMar>
              <w:top w:type="dxa" w:w="60"/>
              <w:left w:type="dxa" w:w="100"/>
              <w:bottom w:type="dxa" w:w="60"/>
              <w:right w:type="dxa" w:w="100"/>
            </w:tcMar>
          </w:tcPr>
          <w:p>
            <w:r>
              <w:rPr>
                <w:b w:val="false"/>
                <w:bCs w:val="false"/>
                <w:color w:val="000000"/>
                <w:sz w:val="20"/>
                <w:szCs w:val="20"/>
              </w:rPr>
              <w:t xml:space="preserve">Sí, con mención especial de severidad</w:t>
            </w:r>
          </w:p>
        </w:tc>
      </w:tr>
    </w:tbl>
    <w:p>
      <w:pPr>
        <w:spacing w:after="120"/>
      </w:pPr>
      <w:r>
        <w:t xml:space="preserve">AI ##/##: primer valor = área (cm²), segundo valor = volumen total de AI (ml), sin indexar. Si hay peso y talla disponibles, el sistema calcula automáticamente y agrega el volumen indexado: "Volumen AI ## ml/m²". Ejemplo: "Aurícula izquierda dilatada, con área de 22 cm² y volumen de 70 ml (Volumen AI 34 ml/m²)."</w:t>
      </w:r>
    </w:p>
    <w:p>
      <w:pPr>
        <w:spacing w:after="120"/>
      </w:pPr>
      <w:r>
        <w:t xml:space="preserve">AI área4C*área2C*longitud: cálculo automático de volumen total y Volumen AI indexado (ml/m²), usando peso/talla/SC.</w:t>
      </w:r>
    </w:p>
    <w:p>
      <w:pPr>
        <w:pStyle w:val="Heading2"/>
        <w:spacing w:after="150" w:before="300"/>
      </w:pPr>
      <w:r>
        <w:t xml:space="preserve">2.3 Cavidades derechas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1F4E79" w:val="clear"/>
            <w:tcMar>
              <w:top w:type="dxa" w:w="60"/>
              <w:left w:type="dxa" w:w="100"/>
              <w:bottom w:type="dxa" w:w="60"/>
              <w:right w:type="dxa" w:w="100"/>
            </w:tcMar>
          </w:tcPr>
          <w:p>
            <w:r>
              <w:rPr>
                <w:b/>
                <w:bCs/>
                <w:color w:val="FFFFFF"/>
                <w:sz w:val="20"/>
                <w:szCs w:val="20"/>
              </w:rPr>
              <w:t xml:space="preserve">Código</w:t>
            </w:r>
          </w:p>
        </w:tc>
        <w:tc>
          <w:tcPr>
            <w:tcW w:type="dxa" w:w="3200"/>
            <w:shd w:fill="1F4E79" w:val="clear"/>
            <w:tcMar>
              <w:top w:type="dxa" w:w="60"/>
              <w:left w:type="dxa" w:w="100"/>
              <w:bottom w:type="dxa" w:w="60"/>
              <w:right w:type="dxa" w:w="100"/>
            </w:tcMar>
          </w:tcPr>
          <w:p>
            <w:r>
              <w:rPr>
                <w:b/>
                <w:bCs/>
                <w:color w:val="FFFFFF"/>
                <w:sz w:val="20"/>
                <w:szCs w:val="20"/>
              </w:rPr>
              <w:t xml:space="preserve">Significado</w:t>
            </w:r>
          </w:p>
        </w:tc>
        <w:tc>
          <w:tcPr>
            <w:tcW w:type="dxa" w:w="4000"/>
            <w:shd w:fill="1F4E79" w:val="clear"/>
            <w:tcMar>
              <w:top w:type="dxa" w:w="60"/>
              <w:left w:type="dxa" w:w="100"/>
              <w:bottom w:type="dxa" w:w="60"/>
              <w:right w:type="dxa" w:w="100"/>
            </w:tcMar>
          </w:tcPr>
          <w:p>
            <w:r>
              <w:rPr>
                <w:b/>
                <w:bCs/>
                <w:color w:val="FFFFFF"/>
                <w:sz w:val="20"/>
                <w:szCs w:val="20"/>
              </w:rPr>
              <w:t xml:space="preserve">Descripción automática</w:t>
            </w:r>
          </w:p>
        </w:tc>
      </w:tr>
      <w:tr>
        <w:tc>
          <w:tcPr>
            <w:tcW w:type="dxa" w:w="1800"/>
            <w:tcMar>
              <w:top w:type="dxa" w:w="60"/>
              <w:left w:type="dxa" w:w="100"/>
              <w:bottom w:type="dxa" w:w="60"/>
              <w:right w:type="dxa" w:w="100"/>
            </w:tcMar>
          </w:tcPr>
          <w:p>
            <w:r>
              <w:rPr>
                <w:b w:val="false"/>
                <w:bCs w:val="false"/>
                <w:color w:val="000000"/>
                <w:sz w:val="20"/>
                <w:szCs w:val="20"/>
              </w:rPr>
              <w:t xml:space="preserve">AD (normal / dilatada)</w:t>
            </w:r>
          </w:p>
        </w:tc>
        <w:tc>
          <w:tcPr>
            <w:tcW w:type="dxa" w:w="3200"/>
            <w:tcMar>
              <w:top w:type="dxa" w:w="60"/>
              <w:left w:type="dxa" w:w="100"/>
              <w:bottom w:type="dxa" w:w="60"/>
              <w:right w:type="dxa" w:w="100"/>
            </w:tcMar>
          </w:tcPr>
          <w:p>
            <w:r>
              <w:rPr>
                <w:b w:val="false"/>
                <w:bCs w:val="false"/>
                <w:color w:val="000000"/>
                <w:sz w:val="20"/>
                <w:szCs w:val="20"/>
              </w:rPr>
              <w:t xml:space="preserve">Aurícula derecha</w:t>
            </w:r>
          </w:p>
        </w:tc>
        <w:tc>
          <w:tcPr>
            <w:tcW w:type="dxa" w:w="4000"/>
            <w:tcMar>
              <w:top w:type="dxa" w:w="60"/>
              <w:left w:type="dxa" w:w="100"/>
              <w:bottom w:type="dxa" w:w="60"/>
              <w:right w:type="dxa" w:w="100"/>
            </w:tcMar>
          </w:tcPr>
          <w:p>
            <w:r>
              <w:rPr>
                <w:b w:val="false"/>
                <w:bCs w:val="false"/>
                <w:color w:val="000000"/>
                <w:sz w:val="20"/>
                <w:szCs w:val="20"/>
              </w:rPr>
              <w:t xml:space="preserve">Se describe siempre (mismo patrón que AI: "...de tamaño y forma normal" o "...dilatada, con área de xx cm²").</w:t>
            </w:r>
          </w:p>
        </w:tc>
      </w:tr>
      <w:tr>
        <w:tc>
          <w:tcPr>
            <w:tcW w:type="dxa" w:w="1800"/>
            <w:tcMar>
              <w:top w:type="dxa" w:w="60"/>
              <w:left w:type="dxa" w:w="100"/>
              <w:bottom w:type="dxa" w:w="60"/>
              <w:right w:type="dxa" w:w="100"/>
            </w:tcMar>
          </w:tcPr>
          <w:p>
            <w:r>
              <w:rPr>
                <w:b w:val="false"/>
                <w:bCs w:val="false"/>
                <w:color w:val="000000"/>
                <w:sz w:val="20"/>
                <w:szCs w:val="20"/>
              </w:rPr>
              <w:t xml:space="preserve">AD↓ ##%</w:t>
            </w:r>
          </w:p>
        </w:tc>
        <w:tc>
          <w:tcPr>
            <w:tcW w:type="dxa" w:w="3200"/>
            <w:tcMar>
              <w:top w:type="dxa" w:w="60"/>
              <w:left w:type="dxa" w:w="100"/>
              <w:bottom w:type="dxa" w:w="60"/>
              <w:right w:type="dxa" w:w="100"/>
            </w:tcMar>
          </w:tcPr>
          <w:p>
            <w:r>
              <w:rPr>
                <w:b w:val="false"/>
                <w:bCs w:val="false"/>
                <w:color w:val="000000"/>
                <w:sz w:val="20"/>
                <w:szCs w:val="20"/>
              </w:rPr>
              <w:t xml:space="preserve">Colapso de AD</w:t>
            </w:r>
          </w:p>
        </w:tc>
        <w:tc>
          <w:tcPr>
            <w:tcW w:type="dxa" w:w="4000"/>
            <w:tcMar>
              <w:top w:type="dxa" w:w="60"/>
              <w:left w:type="dxa" w:w="100"/>
              <w:bottom w:type="dxa" w:w="60"/>
              <w:right w:type="dxa" w:w="100"/>
            </w:tcMar>
          </w:tcPr>
          <w:p>
            <w:r>
              <w:rPr>
                <w:b w:val="false"/>
                <w:bCs w:val="false"/>
                <w:color w:val="000000"/>
                <w:sz w:val="20"/>
                <w:szCs w:val="20"/>
              </w:rPr>
              <w:t xml:space="preserve">Colapso del área auricular derecha (no concluye solo; se integra solo si hay derrame pericárdico).</w:t>
            </w:r>
          </w:p>
        </w:tc>
      </w:tr>
      <w:tr>
        <w:tc>
          <w:tcPr>
            <w:tcW w:type="dxa" w:w="1800"/>
            <w:tcMar>
              <w:top w:type="dxa" w:w="60"/>
              <w:left w:type="dxa" w:w="100"/>
              <w:bottom w:type="dxa" w:w="60"/>
              <w:right w:type="dxa" w:w="100"/>
            </w:tcMar>
          </w:tcPr>
          <w:p>
            <w:r>
              <w:rPr>
                <w:b w:val="false"/>
                <w:bCs w:val="false"/>
                <w:color w:val="000000"/>
                <w:sz w:val="20"/>
                <w:szCs w:val="20"/>
              </w:rPr>
              <w:t xml:space="preserve">DER DIL / D↑</w:t>
            </w:r>
          </w:p>
        </w:tc>
        <w:tc>
          <w:tcPr>
            <w:tcW w:type="dxa" w:w="3200"/>
            <w:tcMar>
              <w:top w:type="dxa" w:w="60"/>
              <w:left w:type="dxa" w:w="100"/>
              <w:bottom w:type="dxa" w:w="60"/>
              <w:right w:type="dxa" w:w="100"/>
            </w:tcMar>
          </w:tcPr>
          <w:p>
            <w:r>
              <w:rPr>
                <w:b w:val="false"/>
                <w:bCs w:val="false"/>
                <w:color w:val="000000"/>
                <w:sz w:val="20"/>
                <w:szCs w:val="20"/>
              </w:rPr>
              <w:t xml:space="preserve">Cavidades derechas dilatadas</w:t>
            </w:r>
          </w:p>
        </w:tc>
        <w:tc>
          <w:tcPr>
            <w:tcW w:type="dxa" w:w="4000"/>
            <w:tcMar>
              <w:top w:type="dxa" w:w="60"/>
              <w:left w:type="dxa" w:w="100"/>
              <w:bottom w:type="dxa" w:w="60"/>
              <w:right w:type="dxa" w:w="100"/>
            </w:tcMar>
          </w:tcPr>
          <w:p>
            <w:r>
              <w:rPr>
                <w:b w:val="false"/>
                <w:bCs w:val="false"/>
                <w:color w:val="000000"/>
                <w:sz w:val="20"/>
                <w:szCs w:val="20"/>
              </w:rPr>
              <w:t xml:space="preserve">Cavidades derechas dilatadas.</w:t>
            </w:r>
          </w:p>
        </w:tc>
      </w:tr>
      <w:tr>
        <w:tc>
          <w:tcPr>
            <w:tcW w:type="dxa" w:w="1800"/>
            <w:tcMar>
              <w:top w:type="dxa" w:w="60"/>
              <w:left w:type="dxa" w:w="100"/>
              <w:bottom w:type="dxa" w:w="60"/>
              <w:right w:type="dxa" w:w="100"/>
            </w:tcMar>
          </w:tcPr>
          <w:p>
            <w:r>
              <w:rPr>
                <w:b w:val="false"/>
                <w:bCs w:val="false"/>
                <w:color w:val="000000"/>
                <w:sz w:val="20"/>
                <w:szCs w:val="20"/>
              </w:rPr>
              <w:t xml:space="preserve">Apex bi</w:t>
            </w:r>
          </w:p>
        </w:tc>
        <w:tc>
          <w:tcPr>
            <w:tcW w:type="dxa" w:w="3200"/>
            <w:tcMar>
              <w:top w:type="dxa" w:w="60"/>
              <w:left w:type="dxa" w:w="100"/>
              <w:bottom w:type="dxa" w:w="60"/>
              <w:right w:type="dxa" w:w="100"/>
            </w:tcMar>
          </w:tcPr>
          <w:p>
            <w:r>
              <w:rPr>
                <w:b w:val="false"/>
                <w:bCs w:val="false"/>
                <w:color w:val="000000"/>
                <w:sz w:val="20"/>
                <w:szCs w:val="20"/>
              </w:rPr>
              <w:t xml:space="preserve">VD comparte el ápex</w:t>
            </w:r>
          </w:p>
        </w:tc>
        <w:tc>
          <w:tcPr>
            <w:tcW w:type="dxa" w:w="4000"/>
            <w:tcMar>
              <w:top w:type="dxa" w:w="60"/>
              <w:left w:type="dxa" w:w="100"/>
              <w:bottom w:type="dxa" w:w="60"/>
              <w:right w:type="dxa" w:w="100"/>
            </w:tcMar>
          </w:tcPr>
          <w:p>
            <w:r>
              <w:rPr>
                <w:b w:val="false"/>
                <w:bCs w:val="false"/>
                <w:color w:val="000000"/>
                <w:sz w:val="20"/>
                <w:szCs w:val="20"/>
              </w:rPr>
              <w:t xml:space="preserve">Cavidades derechas dilatadas, con ventrículo derecho que se extiende hasta compartir el ápex con el ventrículo izquierdo. NO es variante anatómica: implica dilatación del VD y debe reflejarse en conclusiones.</w:t>
            </w:r>
          </w:p>
        </w:tc>
      </w:tr>
      <w:tr>
        <w:tc>
          <w:tcPr>
            <w:tcW w:type="dxa" w:w="1800"/>
            <w:tcMar>
              <w:top w:type="dxa" w:w="60"/>
              <w:left w:type="dxa" w:w="100"/>
              <w:bottom w:type="dxa" w:w="60"/>
              <w:right w:type="dxa" w:w="100"/>
            </w:tcMar>
          </w:tcPr>
          <w:p>
            <w:r>
              <w:rPr>
                <w:b w:val="false"/>
                <w:bCs w:val="false"/>
                <w:color w:val="000000"/>
                <w:sz w:val="20"/>
                <w:szCs w:val="20"/>
              </w:rPr>
              <w:t xml:space="preserve">Ápex der</w:t>
            </w:r>
          </w:p>
        </w:tc>
        <w:tc>
          <w:tcPr>
            <w:tcW w:type="dxa" w:w="3200"/>
            <w:tcMar>
              <w:top w:type="dxa" w:w="60"/>
              <w:left w:type="dxa" w:w="100"/>
              <w:bottom w:type="dxa" w:w="60"/>
              <w:right w:type="dxa" w:w="100"/>
            </w:tcMar>
          </w:tcPr>
          <w:p>
            <w:r>
              <w:rPr>
                <w:b w:val="false"/>
                <w:bCs w:val="false"/>
                <w:color w:val="000000"/>
                <w:sz w:val="20"/>
                <w:szCs w:val="20"/>
              </w:rPr>
              <w:t xml:space="preserve">Ápex ocupado por VD</w:t>
            </w:r>
          </w:p>
        </w:tc>
        <w:tc>
          <w:tcPr>
            <w:tcW w:type="dxa" w:w="4000"/>
            <w:tcMar>
              <w:top w:type="dxa" w:w="60"/>
              <w:left w:type="dxa" w:w="100"/>
              <w:bottom w:type="dxa" w:w="60"/>
              <w:right w:type="dxa" w:w="100"/>
            </w:tcMar>
          </w:tcPr>
          <w:p>
            <w:r>
              <w:rPr>
                <w:b w:val="false"/>
                <w:bCs w:val="false"/>
                <w:color w:val="000000"/>
                <w:sz w:val="20"/>
                <w:szCs w:val="20"/>
              </w:rPr>
              <w:t xml:space="preserve">Dilatación de cavidades derechas con ápex cardíaco ocupado por el ventrículo derecho.</w:t>
            </w:r>
          </w:p>
        </w:tc>
      </w:tr>
      <w:tr>
        <w:tc>
          <w:tcPr>
            <w:tcW w:type="dxa" w:w="1800"/>
            <w:tcMar>
              <w:top w:type="dxa" w:w="60"/>
              <w:left w:type="dxa" w:w="100"/>
              <w:bottom w:type="dxa" w:w="60"/>
              <w:right w:type="dxa" w:w="100"/>
            </w:tcMar>
          </w:tcPr>
          <w:p>
            <w:r>
              <w:rPr>
                <w:b w:val="false"/>
                <w:bCs w:val="false"/>
                <w:color w:val="000000"/>
                <w:sz w:val="20"/>
                <w:szCs w:val="20"/>
              </w:rPr>
              <w:t xml:space="preserve">VD ##</w:t>
            </w:r>
          </w:p>
        </w:tc>
        <w:tc>
          <w:tcPr>
            <w:tcW w:type="dxa" w:w="3200"/>
            <w:tcMar>
              <w:top w:type="dxa" w:w="60"/>
              <w:left w:type="dxa" w:w="100"/>
              <w:bottom w:type="dxa" w:w="60"/>
              <w:right w:type="dxa" w:w="100"/>
            </w:tcMar>
          </w:tcPr>
          <w:p>
            <w:r>
              <w:rPr>
                <w:b w:val="false"/>
                <w:bCs w:val="false"/>
                <w:color w:val="000000"/>
                <w:sz w:val="20"/>
                <w:szCs w:val="20"/>
              </w:rPr>
              <w:t xml:space="preserve">Grosor de pared libre del VD</w:t>
            </w:r>
          </w:p>
        </w:tc>
        <w:tc>
          <w:tcPr>
            <w:tcW w:type="dxa" w:w="4000"/>
            <w:tcMar>
              <w:top w:type="dxa" w:w="60"/>
              <w:left w:type="dxa" w:w="100"/>
              <w:bottom w:type="dxa" w:w="60"/>
              <w:right w:type="dxa" w:w="100"/>
            </w:tcMar>
          </w:tcPr>
          <w:p>
            <w:r>
              <w:rPr>
                <w:b w:val="false"/>
                <w:bCs w:val="false"/>
                <w:color w:val="000000"/>
                <w:sz w:val="20"/>
                <w:szCs w:val="20"/>
              </w:rPr>
              <w:t xml:space="preserve">Pared libre del ventrículo derecho de xx cm (medido en mm, descrito en cm; anormal si &gt;0.5 cm).</w:t>
            </w:r>
          </w:p>
        </w:tc>
      </w:tr>
      <w:tr>
        <w:tc>
          <w:tcPr>
            <w:tcW w:type="dxa" w:w="1800"/>
            <w:tcMar>
              <w:top w:type="dxa" w:w="60"/>
              <w:left w:type="dxa" w:w="100"/>
              <w:bottom w:type="dxa" w:w="60"/>
              <w:right w:type="dxa" w:w="100"/>
            </w:tcMar>
          </w:tcPr>
          <w:p>
            <w:r>
              <w:rPr>
                <w:b w:val="false"/>
                <w:bCs w:val="false"/>
                <w:color w:val="000000"/>
                <w:sz w:val="20"/>
                <w:szCs w:val="20"/>
              </w:rPr>
              <w:t xml:space="preserve">D ##</w:t>
            </w:r>
          </w:p>
        </w:tc>
        <w:tc>
          <w:tcPr>
            <w:tcW w:type="dxa" w:w="3200"/>
            <w:tcMar>
              <w:top w:type="dxa" w:w="60"/>
              <w:left w:type="dxa" w:w="100"/>
              <w:bottom w:type="dxa" w:w="60"/>
              <w:right w:type="dxa" w:w="100"/>
            </w:tcMar>
          </w:tcPr>
          <w:p>
            <w:r>
              <w:rPr>
                <w:b w:val="false"/>
                <w:bCs w:val="false"/>
                <w:color w:val="000000"/>
                <w:sz w:val="20"/>
                <w:szCs w:val="20"/>
              </w:rPr>
              <w:t xml:space="preserve">Diámetro del RVOT (eje corto paraesternal)</w:t>
            </w:r>
          </w:p>
        </w:tc>
        <w:tc>
          <w:tcPr>
            <w:tcW w:type="dxa" w:w="4000"/>
            <w:tcMar>
              <w:top w:type="dxa" w:w="60"/>
              <w:left w:type="dxa" w:w="100"/>
              <w:bottom w:type="dxa" w:w="60"/>
              <w:right w:type="dxa" w:w="100"/>
            </w:tcMar>
          </w:tcPr>
          <w:p>
            <w:r>
              <w:rPr>
                <w:b w:val="false"/>
                <w:bCs w:val="false"/>
                <w:color w:val="000000"/>
                <w:sz w:val="20"/>
                <w:szCs w:val="20"/>
              </w:rPr>
              <w:t xml:space="preserve">Tracto de salida del ventrículo derecho con diámetro de xx cm; dilatado si &gt;30 mm (3.0 cm).</w:t>
            </w:r>
          </w:p>
        </w:tc>
      </w:tr>
    </w:tbl>
    <w:p>
      <w:pPr>
        <w:pStyle w:val="Heading2"/>
        <w:spacing w:after="150" w:before="300"/>
      </w:pPr>
      <w:r>
        <w:t xml:space="preserve">2.4 Vena cava inferior / presión de 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Interpretación</w:t>
            </w:r>
          </w:p>
        </w:tc>
      </w:tr>
      <w:tr>
        <w:tc>
          <w:tcPr>
            <w:tcW w:type="dxa" w:w="4500"/>
            <w:tcMar>
              <w:top w:type="dxa" w:w="60"/>
              <w:left w:type="dxa" w:w="100"/>
              <w:bottom w:type="dxa" w:w="60"/>
              <w:right w:type="dxa" w:w="100"/>
            </w:tcMar>
          </w:tcPr>
          <w:p>
            <w:r>
              <w:rPr>
                <w:b w:val="false"/>
                <w:bCs w:val="false"/>
                <w:color w:val="000000"/>
                <w:sz w:val="20"/>
                <w:szCs w:val="20"/>
              </w:rPr>
              <w:t xml:space="preserve">CV ## / CAVA ##</w:t>
            </w:r>
          </w:p>
        </w:tc>
        <w:tc>
          <w:tcPr>
            <w:tcW w:type="dxa" w:w="4500"/>
            <w:tcMar>
              <w:top w:type="dxa" w:w="60"/>
              <w:left w:type="dxa" w:w="100"/>
              <w:bottom w:type="dxa" w:w="60"/>
              <w:right w:type="dxa" w:w="100"/>
            </w:tcMar>
          </w:tcPr>
          <w:p>
            <w:r>
              <w:rPr>
                <w:b w:val="false"/>
                <w:bCs w:val="false"/>
                <w:color w:val="000000"/>
                <w:sz w:val="20"/>
                <w:szCs w:val="20"/>
              </w:rPr>
              <w:t xml:space="preserve">Vena cava inferior de xx cm, que colapsa adecuadamente con la respiración. CV normal + colapso adecuado → presión de AD normal.</w:t>
            </w:r>
          </w:p>
        </w:tc>
      </w:tr>
      <w:tr>
        <w:tc>
          <w:tcPr>
            <w:tcW w:type="dxa" w:w="4500"/>
            <w:tcMar>
              <w:top w:type="dxa" w:w="60"/>
              <w:left w:type="dxa" w:w="100"/>
              <w:bottom w:type="dxa" w:w="60"/>
              <w:right w:type="dxa" w:w="100"/>
            </w:tcMar>
          </w:tcPr>
          <w:p>
            <w:r>
              <w:rPr>
                <w:b w:val="false"/>
                <w:bCs w:val="false"/>
                <w:color w:val="000000"/>
                <w:sz w:val="20"/>
                <w:szCs w:val="20"/>
              </w:rPr>
              <w:t xml:space="preserve">CV ##↓ / CAVA ##↓</w:t>
            </w:r>
          </w:p>
        </w:tc>
        <w:tc>
          <w:tcPr>
            <w:tcW w:type="dxa" w:w="4500"/>
            <w:tcMar>
              <w:top w:type="dxa" w:w="60"/>
              <w:left w:type="dxa" w:w="100"/>
              <w:bottom w:type="dxa" w:w="60"/>
              <w:right w:type="dxa" w:w="100"/>
            </w:tcMar>
          </w:tcPr>
          <w:p>
            <w:r>
              <w:rPr>
                <w:b w:val="false"/>
                <w:bCs w:val="false"/>
                <w:color w:val="000000"/>
                <w:sz w:val="20"/>
                <w:szCs w:val="20"/>
              </w:rPr>
              <w:t xml:space="preserve">Vena cava inferior de xx cm, que NO colapsa adecuadamente con la respiración → sugiere presión de AD elevada.</w:t>
            </w:r>
          </w:p>
        </w:tc>
      </w:tr>
    </w:tbl>
    <w:p>
      <w:pPr>
        <w:pStyle w:val="Heading2"/>
        <w:spacing w:after="150" w:before="300"/>
      </w:pPr>
      <w:r>
        <w:t xml:space="preserve">2.5 Tabiques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c>
          <w:tcPr>
            <w:tcW w:type="dxa" w:w="1600"/>
            <w:shd w:fill="1F4E79" w:val="clear"/>
            <w:tcMar>
              <w:top w:type="dxa" w:w="60"/>
              <w:left w:type="dxa" w:w="100"/>
              <w:bottom w:type="dxa" w:w="60"/>
              <w:right w:type="dxa" w:w="100"/>
            </w:tcMar>
          </w:tcPr>
          <w:p>
            <w:r>
              <w:rPr>
                <w:b/>
                <w:bCs/>
                <w:color w:val="FFFFFF"/>
                <w:sz w:val="20"/>
                <w:szCs w:val="20"/>
              </w:rPr>
              <w:t xml:space="preserve">Código</w:t>
            </w:r>
          </w:p>
        </w:tc>
        <w:tc>
          <w:tcPr>
            <w:tcW w:type="dxa" w:w="3400"/>
            <w:shd w:fill="1F4E79" w:val="clear"/>
            <w:tcMar>
              <w:top w:type="dxa" w:w="60"/>
              <w:left w:type="dxa" w:w="100"/>
              <w:bottom w:type="dxa" w:w="60"/>
              <w:right w:type="dxa" w:w="100"/>
            </w:tcMar>
          </w:tcPr>
          <w:p>
            <w:r>
              <w:rPr>
                <w:b/>
                <w:bCs/>
                <w:color w:val="FFFFFF"/>
                <w:sz w:val="20"/>
                <w:szCs w:val="20"/>
              </w:rPr>
              <w:t xml:space="preserve">Tipo / variantes</w:t>
            </w:r>
          </w:p>
        </w:tc>
        <w:tc>
          <w:tcPr>
            <w:tcW w:type="dxa" w:w="4000"/>
            <w:shd w:fill="1F4E79" w:val="clear"/>
            <w:tcMar>
              <w:top w:type="dxa" w:w="60"/>
              <w:left w:type="dxa" w:w="100"/>
              <w:bottom w:type="dxa" w:w="60"/>
              <w:right w:type="dxa" w:w="100"/>
            </w:tcMar>
          </w:tcPr>
          <w:p>
            <w:r>
              <w:rPr>
                <w:b/>
                <w:bCs/>
                <w:color w:val="FFFFFF"/>
                <w:sz w:val="20"/>
                <w:szCs w:val="20"/>
              </w:rPr>
              <w:t xml:space="preserve">Descripción y conclusión</w:t>
            </w:r>
          </w:p>
        </w:tc>
      </w:tr>
      <w:tr>
        <w:tc>
          <w:tcPr>
            <w:tcW w:type="dxa" w:w="1600"/>
            <w:tcMar>
              <w:top w:type="dxa" w:w="60"/>
              <w:left w:type="dxa" w:w="100"/>
              <w:bottom w:type="dxa" w:w="60"/>
              <w:right w:type="dxa" w:w="100"/>
            </w:tcMar>
          </w:tcPr>
          <w:p>
            <w:r>
              <w:rPr>
                <w:b w:val="false"/>
                <w:bCs w:val="false"/>
                <w:color w:val="000000"/>
                <w:sz w:val="20"/>
                <w:szCs w:val="20"/>
              </w:rPr>
              <w:t xml:space="preserve">CIA</w:t>
            </w:r>
          </w:p>
        </w:tc>
        <w:tc>
          <w:tcPr>
            <w:tcW w:type="dxa" w:w="3400"/>
            <w:tcMar>
              <w:top w:type="dxa" w:w="60"/>
              <w:left w:type="dxa" w:w="100"/>
              <w:bottom w:type="dxa" w:w="60"/>
              <w:right w:type="dxa" w:w="100"/>
            </w:tcMar>
          </w:tcPr>
          <w:p>
            <w:r>
              <w:rPr>
                <w:b w:val="false"/>
                <w:bCs w:val="false"/>
                <w:color w:val="000000"/>
                <w:sz w:val="20"/>
                <w:szCs w:val="20"/>
              </w:rPr>
              <w:t xml:space="preserve">ostium secundum (por defecto), ostium primum, seno venoso</w:t>
            </w:r>
          </w:p>
        </w:tc>
        <w:tc>
          <w:tcPr>
            <w:tcW w:type="dxa" w:w="4000"/>
            <w:tcMar>
              <w:top w:type="dxa" w:w="60"/>
              <w:left w:type="dxa" w:w="100"/>
              <w:bottom w:type="dxa" w:w="60"/>
              <w:right w:type="dxa" w:w="100"/>
            </w:tcMar>
          </w:tcPr>
          <w:p>
            <w:r>
              <w:rPr>
                <w:b w:val="false"/>
                <w:bCs w:val="false"/>
                <w:color w:val="000000"/>
                <w:sz w:val="20"/>
                <w:szCs w:val="20"/>
              </w:rPr>
              <w:t xml:space="preserve">Solución de continuidad → Comunicación interauricular. Si existe QP/QS, debe figurar obligatoriamente en la conclusión.</w:t>
            </w:r>
          </w:p>
        </w:tc>
      </w:tr>
      <w:tr>
        <w:tc>
          <w:tcPr>
            <w:tcW w:type="dxa" w:w="1600"/>
            <w:tcMar>
              <w:top w:type="dxa" w:w="60"/>
              <w:left w:type="dxa" w:w="100"/>
              <w:bottom w:type="dxa" w:w="60"/>
              <w:right w:type="dxa" w:w="100"/>
            </w:tcMar>
          </w:tcPr>
          <w:p>
            <w:r>
              <w:rPr>
                <w:b w:val="false"/>
                <w:bCs w:val="false"/>
                <w:color w:val="000000"/>
                <w:sz w:val="20"/>
                <w:szCs w:val="20"/>
              </w:rPr>
              <w:t xml:space="preserve">CIV</w:t>
            </w:r>
          </w:p>
        </w:tc>
        <w:tc>
          <w:tcPr>
            <w:tcW w:type="dxa" w:w="3400"/>
            <w:tcMar>
              <w:top w:type="dxa" w:w="60"/>
              <w:left w:type="dxa" w:w="100"/>
              <w:bottom w:type="dxa" w:w="60"/>
              <w:right w:type="dxa" w:w="100"/>
            </w:tcMar>
          </w:tcPr>
          <w:p>
            <w:r>
              <w:rPr>
                <w:b w:val="false"/>
                <w:bCs w:val="false"/>
                <w:color w:val="000000"/>
                <w:sz w:val="20"/>
                <w:szCs w:val="20"/>
              </w:rPr>
              <w:t xml:space="preserve">perimembranosa (por defecto), muscular, subaórtica</w:t>
            </w:r>
          </w:p>
        </w:tc>
        <w:tc>
          <w:tcPr>
            <w:tcW w:type="dxa" w:w="4000"/>
            <w:tcMar>
              <w:top w:type="dxa" w:w="60"/>
              <w:left w:type="dxa" w:w="100"/>
              <w:bottom w:type="dxa" w:w="60"/>
              <w:right w:type="dxa" w:w="100"/>
            </w:tcMar>
          </w:tcPr>
          <w:p>
            <w:r>
              <w:rPr>
                <w:b w:val="false"/>
                <w:bCs w:val="false"/>
                <w:color w:val="000000"/>
                <w:sz w:val="20"/>
                <w:szCs w:val="20"/>
              </w:rPr>
              <w:t xml:space="preserve">Comunicación interventricular.</w:t>
            </w:r>
          </w:p>
        </w:tc>
      </w:tr>
      <w:tr>
        <w:tc>
          <w:tcPr>
            <w:tcW w:type="dxa" w:w="1600"/>
            <w:tcMar>
              <w:top w:type="dxa" w:w="60"/>
              <w:left w:type="dxa" w:w="100"/>
              <w:bottom w:type="dxa" w:w="60"/>
              <w:right w:type="dxa" w:w="100"/>
            </w:tcMar>
          </w:tcPr>
          <w:p>
            <w:r>
              <w:rPr>
                <w:b w:val="false"/>
                <w:bCs w:val="false"/>
                <w:color w:val="000000"/>
                <w:sz w:val="20"/>
                <w:szCs w:val="20"/>
              </w:rPr>
              <w:t xml:space="preserve">FOP ##x##</w:t>
            </w:r>
          </w:p>
        </w:tc>
        <w:tc>
          <w:tcPr>
            <w:tcW w:type="dxa" w:w="3400"/>
            <w:tcMar>
              <w:top w:type="dxa" w:w="60"/>
              <w:left w:type="dxa" w:w="100"/>
              <w:bottom w:type="dxa" w:w="60"/>
              <w:right w:type="dxa" w:w="100"/>
            </w:tcMar>
          </w:tcPr>
          <w:p>
            <w:r>
              <w:rPr>
                <w:b w:val="false"/>
                <w:bCs w:val="false"/>
                <w:color w:val="000000"/>
                <w:sz w:val="20"/>
                <w:szCs w:val="20"/>
              </w:rPr>
              <w:t xml:space="preserve">Foramen oval permeable (longitud del túnel × diámetro)</w:t>
            </w:r>
          </w:p>
        </w:tc>
        <w:tc>
          <w:tcPr>
            <w:tcW w:type="dxa" w:w="4000"/>
            <w:tcMar>
              <w:top w:type="dxa" w:w="60"/>
              <w:left w:type="dxa" w:w="100"/>
              <w:bottom w:type="dxa" w:w="60"/>
              <w:right w:type="dxa" w:w="100"/>
            </w:tcMar>
          </w:tcPr>
          <w:p>
            <w:r>
              <w:rPr>
                <w:b w:val="false"/>
                <w:bCs w:val="false"/>
                <w:color w:val="000000"/>
                <w:sz w:val="20"/>
                <w:szCs w:val="20"/>
              </w:rPr>
              <w:t xml:space="preserve">Conclusión: "Foramen oval permeable, con cortocircuito interauricular." No debe confundirse con CIA.</w:t>
            </w:r>
          </w:p>
        </w:tc>
      </w:tr>
      <w:tr>
        <w:tc>
          <w:tcPr>
            <w:tcW w:type="dxa" w:w="1600"/>
            <w:tcMar>
              <w:top w:type="dxa" w:w="60"/>
              <w:left w:type="dxa" w:w="100"/>
              <w:bottom w:type="dxa" w:w="60"/>
              <w:right w:type="dxa" w:w="100"/>
            </w:tcMar>
          </w:tcPr>
          <w:p>
            <w:r>
              <w:rPr>
                <w:b w:val="false"/>
                <w:bCs w:val="false"/>
                <w:color w:val="000000"/>
                <w:sz w:val="20"/>
                <w:szCs w:val="20"/>
              </w:rPr>
              <w:t xml:space="preserve">FOP?</w:t>
            </w:r>
          </w:p>
        </w:tc>
        <w:tc>
          <w:tcPr>
            <w:tcW w:type="dxa" w:w="3400"/>
            <w:tcMar>
              <w:top w:type="dxa" w:w="60"/>
              <w:left w:type="dxa" w:w="100"/>
              <w:bottom w:type="dxa" w:w="60"/>
              <w:right w:type="dxa" w:w="100"/>
            </w:tcMar>
          </w:tcPr>
          <w:p>
            <w:r>
              <w:rPr>
                <w:b w:val="false"/>
                <w:bCs w:val="false"/>
                <w:color w:val="000000"/>
                <w:sz w:val="20"/>
                <w:szCs w:val="20"/>
              </w:rPr>
              <w:t xml:space="preserve">Foramen oval permeable dudoso / no concluyente</w:t>
            </w:r>
          </w:p>
        </w:tc>
        <w:tc>
          <w:tcPr>
            <w:tcW w:type="dxa" w:w="4000"/>
            <w:tcMar>
              <w:top w:type="dxa" w:w="60"/>
              <w:left w:type="dxa" w:w="100"/>
              <w:bottom w:type="dxa" w:w="60"/>
              <w:right w:type="dxa" w:w="100"/>
            </w:tcMar>
          </w:tcPr>
          <w:p>
            <w:r>
              <w:rPr>
                <w:b w:val="false"/>
                <w:bCs w:val="false"/>
                <w:color w:val="000000"/>
                <w:sz w:val="20"/>
                <w:szCs w:val="20"/>
              </w:rPr>
              <w:t xml:space="preserve">Conclusión: "Sugestivo de foramen oval permeable." Sin recomendar estudio adicional.</w:t>
            </w:r>
          </w:p>
        </w:tc>
      </w:tr>
      <w:tr>
        <w:tc>
          <w:tcPr>
            <w:tcW w:type="dxa" w:w="1600"/>
            <w:tcMar>
              <w:top w:type="dxa" w:w="60"/>
              <w:left w:type="dxa" w:w="100"/>
              <w:bottom w:type="dxa" w:w="60"/>
              <w:right w:type="dxa" w:w="100"/>
            </w:tcMar>
          </w:tcPr>
          <w:p>
            <w:r>
              <w:rPr>
                <w:b w:val="false"/>
                <w:bCs w:val="false"/>
                <w:color w:val="000000"/>
                <w:sz w:val="20"/>
                <w:szCs w:val="20"/>
              </w:rPr>
              <w:t xml:space="preserve">S/S</w:t>
            </w:r>
          </w:p>
        </w:tc>
        <w:tc>
          <w:tcPr>
            <w:tcW w:type="dxa" w:w="3400"/>
            <w:tcMar>
              <w:top w:type="dxa" w:w="60"/>
              <w:left w:type="dxa" w:w="100"/>
              <w:bottom w:type="dxa" w:w="60"/>
              <w:right w:type="dxa" w:w="100"/>
            </w:tcMar>
          </w:tcPr>
          <w:p>
            <w:r>
              <w:rPr>
                <w:b w:val="false"/>
                <w:bCs w:val="false"/>
                <w:color w:val="000000"/>
                <w:sz w:val="20"/>
                <w:szCs w:val="20"/>
              </w:rPr>
              <w:t xml:space="preserve">Sobrecarga septal SISTÓLICA</w:t>
            </w:r>
          </w:p>
        </w:tc>
        <w:tc>
          <w:tcPr>
            <w:tcW w:type="dxa" w:w="4000"/>
            <w:tcMar>
              <w:top w:type="dxa" w:w="60"/>
              <w:left w:type="dxa" w:w="100"/>
              <w:bottom w:type="dxa" w:w="60"/>
              <w:right w:type="dxa" w:w="100"/>
            </w:tcMar>
          </w:tcPr>
          <w:p>
            <w:r>
              <w:rPr>
                <w:b w:val="false"/>
                <w:bCs w:val="false"/>
                <w:color w:val="000000"/>
                <w:sz w:val="20"/>
                <w:szCs w:val="20"/>
              </w:rPr>
              <w:t xml:space="preserve">Rectificación septal en sístole; típica de sobrecarga de presión (HP). Nunca concluye sola.</w:t>
            </w:r>
          </w:p>
        </w:tc>
      </w:tr>
      <w:tr>
        <w:tc>
          <w:tcPr>
            <w:tcW w:type="dxa" w:w="1600"/>
            <w:tcMar>
              <w:top w:type="dxa" w:w="60"/>
              <w:left w:type="dxa" w:w="100"/>
              <w:bottom w:type="dxa" w:w="60"/>
              <w:right w:type="dxa" w:w="100"/>
            </w:tcMar>
          </w:tcPr>
          <w:p>
            <w:r>
              <w:rPr>
                <w:b w:val="false"/>
                <w:bCs w:val="false"/>
                <w:color w:val="000000"/>
                <w:sz w:val="20"/>
                <w:szCs w:val="20"/>
              </w:rPr>
              <w:t xml:space="preserve">S/D</w:t>
            </w:r>
          </w:p>
        </w:tc>
        <w:tc>
          <w:tcPr>
            <w:tcW w:type="dxa" w:w="3400"/>
            <w:tcMar>
              <w:top w:type="dxa" w:w="60"/>
              <w:left w:type="dxa" w:w="100"/>
              <w:bottom w:type="dxa" w:w="60"/>
              <w:right w:type="dxa" w:w="100"/>
            </w:tcMar>
          </w:tcPr>
          <w:p>
            <w:r>
              <w:rPr>
                <w:b w:val="false"/>
                <w:bCs w:val="false"/>
                <w:color w:val="000000"/>
                <w:sz w:val="20"/>
                <w:szCs w:val="20"/>
              </w:rPr>
              <w:t xml:space="preserve">Sobrecarga septal DIASTÓLICA</w:t>
            </w:r>
          </w:p>
        </w:tc>
        <w:tc>
          <w:tcPr>
            <w:tcW w:type="dxa" w:w="4000"/>
            <w:tcMar>
              <w:top w:type="dxa" w:w="60"/>
              <w:left w:type="dxa" w:w="100"/>
              <w:bottom w:type="dxa" w:w="60"/>
              <w:right w:type="dxa" w:w="100"/>
            </w:tcMar>
          </w:tcPr>
          <w:p>
            <w:r>
              <w:rPr>
                <w:b w:val="false"/>
                <w:bCs w:val="false"/>
                <w:color w:val="000000"/>
                <w:sz w:val="20"/>
                <w:szCs w:val="20"/>
              </w:rPr>
              <w:t xml:space="preserve">Rectificación septal en diástole; típica de sobrecarga de volumen (CIA, IT severa). Nunca concluye sola.</w:t>
            </w:r>
          </w:p>
        </w:tc>
      </w:tr>
      <w:tr>
        <w:tc>
          <w:tcPr>
            <w:tcW w:type="dxa" w:w="1600"/>
            <w:tcMar>
              <w:top w:type="dxa" w:w="60"/>
              <w:left w:type="dxa" w:w="100"/>
              <w:bottom w:type="dxa" w:w="60"/>
              <w:right w:type="dxa" w:w="100"/>
            </w:tcMar>
          </w:tcPr>
          <w:p>
            <w:r>
              <w:rPr>
                <w:b w:val="false"/>
                <w:bCs w:val="false"/>
                <w:color w:val="000000"/>
                <w:sz w:val="20"/>
                <w:szCs w:val="20"/>
              </w:rPr>
              <w:t xml:space="preserve">S/SD</w:t>
            </w:r>
          </w:p>
        </w:tc>
        <w:tc>
          <w:tcPr>
            <w:tcW w:type="dxa" w:w="3400"/>
            <w:tcMar>
              <w:top w:type="dxa" w:w="60"/>
              <w:left w:type="dxa" w:w="100"/>
              <w:bottom w:type="dxa" w:w="60"/>
              <w:right w:type="dxa" w:w="100"/>
            </w:tcMar>
          </w:tcPr>
          <w:p>
            <w:r>
              <w:rPr>
                <w:b w:val="false"/>
                <w:bCs w:val="false"/>
                <w:color w:val="000000"/>
                <w:sz w:val="20"/>
                <w:szCs w:val="20"/>
              </w:rPr>
              <w:t xml:space="preserve">Sobrecarga septal COMBINADA</w:t>
            </w:r>
          </w:p>
        </w:tc>
        <w:tc>
          <w:tcPr>
            <w:tcW w:type="dxa" w:w="4000"/>
            <w:tcMar>
              <w:top w:type="dxa" w:w="60"/>
              <w:left w:type="dxa" w:w="100"/>
              <w:bottom w:type="dxa" w:w="60"/>
              <w:right w:type="dxa" w:w="100"/>
            </w:tcMar>
          </w:tcPr>
          <w:p>
            <w:r>
              <w:rPr>
                <w:b w:val="false"/>
                <w:bCs w:val="false"/>
                <w:color w:val="000000"/>
                <w:sz w:val="20"/>
                <w:szCs w:val="20"/>
              </w:rPr>
              <w:t xml:space="preserve">Rectificación septal en sístole y diástole; sobrecarga mixta. Nunca concluye sola.</w:t>
            </w:r>
          </w:p>
        </w:tc>
      </w:tr>
      <w:tr>
        <w:tc>
          <w:tcPr>
            <w:tcW w:type="dxa" w:w="1600"/>
            <w:tcMar>
              <w:top w:type="dxa" w:w="60"/>
              <w:left w:type="dxa" w:w="100"/>
              <w:bottom w:type="dxa" w:w="60"/>
              <w:right w:type="dxa" w:w="100"/>
            </w:tcMar>
          </w:tcPr>
          <w:p>
            <w:r>
              <w:rPr>
                <w:b w:val="false"/>
                <w:bCs w:val="false"/>
                <w:color w:val="000000"/>
                <w:sz w:val="20"/>
                <w:szCs w:val="20"/>
              </w:rPr>
              <w:t xml:space="preserve">AN ##x##</w:t>
            </w:r>
          </w:p>
        </w:tc>
        <w:tc>
          <w:tcPr>
            <w:tcW w:type="dxa" w:w="3400"/>
            <w:tcMar>
              <w:top w:type="dxa" w:w="60"/>
              <w:left w:type="dxa" w:w="100"/>
              <w:bottom w:type="dxa" w:w="60"/>
              <w:right w:type="dxa" w:w="100"/>
            </w:tcMar>
          </w:tcPr>
          <w:p>
            <w:r>
              <w:rPr>
                <w:b w:val="false"/>
                <w:bCs w:val="false"/>
                <w:color w:val="000000"/>
                <w:sz w:val="20"/>
                <w:szCs w:val="20"/>
              </w:rPr>
              <w:t xml:space="preserve">Aneurisma del septum interauricular (base × desplazamiento)</w:t>
            </w:r>
          </w:p>
        </w:tc>
        <w:tc>
          <w:tcPr>
            <w:tcW w:type="dxa" w:w="4000"/>
            <w:tcMar>
              <w:top w:type="dxa" w:w="60"/>
              <w:left w:type="dxa" w:w="100"/>
              <w:bottom w:type="dxa" w:w="60"/>
              <w:right w:type="dxa" w:w="100"/>
            </w:tcMar>
          </w:tcPr>
          <w:p>
            <w:r>
              <w:rPr>
                <w:b w:val="false"/>
                <w:bCs w:val="false"/>
                <w:color w:val="000000"/>
                <w:sz w:val="20"/>
                <w:szCs w:val="20"/>
              </w:rPr>
              <w:t xml:space="preserve">Descripción: "...sin evidencia de solución de continuidad." Conclusión: "Aneurisma del septum interauricular, sin evidencia de cortocircuito." Si coexiste FOP, este aporta el cortocircuito y el aneurisma se describe como hallazgo asociado.</w:t>
            </w:r>
          </w:p>
        </w:tc>
      </w:tr>
    </w:tbl>
    <w:p>
      <w:pPr>
        <w:pStyle w:val="Heading2"/>
        <w:spacing w:after="150" w:before="300"/>
      </w:pPr>
      <w:r>
        <w:t xml:space="preserve">2.6 Pericardio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1F4E79" w:val="clear"/>
            <w:tcMar>
              <w:top w:type="dxa" w:w="60"/>
              <w:left w:type="dxa" w:w="100"/>
              <w:bottom w:type="dxa" w:w="60"/>
              <w:right w:type="dxa" w:w="100"/>
            </w:tcMar>
          </w:tcPr>
          <w:p>
            <w:r>
              <w:rPr>
                <w:b/>
                <w:bCs/>
                <w:color w:val="FFFFFF"/>
                <w:sz w:val="20"/>
                <w:szCs w:val="20"/>
              </w:rPr>
              <w:t xml:space="preserve">Código</w:t>
            </w:r>
          </w:p>
        </w:tc>
        <w:tc>
          <w:tcPr>
            <w:tcW w:type="dxa" w:w="7800"/>
            <w:shd w:fill="1F4E79" w:val="clear"/>
            <w:tcMar>
              <w:top w:type="dxa" w:w="60"/>
              <w:left w:type="dxa" w:w="100"/>
              <w:bottom w:type="dxa" w:w="60"/>
              <w:right w:type="dxa" w:w="100"/>
            </w:tcMar>
          </w:tcPr>
          <w:p>
            <w:r>
              <w:rPr>
                <w:b/>
                <w:bCs/>
                <w:color w:val="FFFFFF"/>
                <w:sz w:val="20"/>
                <w:szCs w:val="20"/>
              </w:rPr>
              <w:t xml:space="preserve">Interpretación</w:t>
            </w:r>
          </w:p>
        </w:tc>
      </w:tr>
      <w:tr>
        <w:tc>
          <w:tcPr>
            <w:tcW w:type="dxa" w:w="2200"/>
            <w:tcMar>
              <w:top w:type="dxa" w:w="60"/>
              <w:left w:type="dxa" w:w="100"/>
              <w:bottom w:type="dxa" w:w="60"/>
              <w:right w:type="dxa" w:w="100"/>
            </w:tcMar>
          </w:tcPr>
          <w:p>
            <w:r>
              <w:rPr>
                <w:b w:val="false"/>
                <w:bCs w:val="false"/>
                <w:color w:val="000000"/>
                <w:sz w:val="20"/>
                <w:szCs w:val="20"/>
              </w:rPr>
              <w:t xml:space="preserve">PERIC (solo)</w:t>
            </w:r>
          </w:p>
        </w:tc>
        <w:tc>
          <w:tcPr>
            <w:tcW w:type="dxa" w:w="7800"/>
            <w:tcMar>
              <w:top w:type="dxa" w:w="60"/>
              <w:left w:type="dxa" w:w="100"/>
              <w:bottom w:type="dxa" w:w="60"/>
              <w:right w:type="dxa" w:w="100"/>
            </w:tcMar>
          </w:tcPr>
          <w:p>
            <w:r>
              <w:rPr>
                <w:b w:val="false"/>
                <w:bCs w:val="false"/>
                <w:color w:val="000000"/>
                <w:sz w:val="20"/>
                <w:szCs w:val="20"/>
              </w:rPr>
              <w:t xml:space="preserve">"Halo de ausencia de ecos asociado a engrosamiento y realce de hojas pericárdicas." Conclusión: "Inflamación pericárdica." Solo se concluye inflamación si PERIC fue dictado explícitamente.</w:t>
            </w:r>
          </w:p>
        </w:tc>
      </w:tr>
      <w:tr>
        <w:tc>
          <w:tcPr>
            <w:tcW w:type="dxa" w:w="2200"/>
            <w:tcMar>
              <w:top w:type="dxa" w:w="60"/>
              <w:left w:type="dxa" w:w="100"/>
              <w:bottom w:type="dxa" w:w="60"/>
              <w:right w:type="dxa" w:w="100"/>
            </w:tcMar>
          </w:tcPr>
          <w:p>
            <w:r>
              <w:rPr>
                <w:b w:val="false"/>
                <w:bCs w:val="false"/>
                <w:color w:val="000000"/>
                <w:sz w:val="20"/>
                <w:szCs w:val="20"/>
              </w:rPr>
              <w:t xml:space="preserve">DP &lt;80 / DPP &lt;80</w:t>
            </w:r>
          </w:p>
        </w:tc>
        <w:tc>
          <w:tcPr>
            <w:tcW w:type="dxa" w:w="7800"/>
            <w:tcMar>
              <w:top w:type="dxa" w:w="60"/>
              <w:left w:type="dxa" w:w="100"/>
              <w:bottom w:type="dxa" w:w="60"/>
              <w:right w:type="dxa" w:w="100"/>
            </w:tcMar>
          </w:tcPr>
          <w:p>
            <w:r>
              <w:rPr>
                <w:b w:val="false"/>
                <w:bCs w:val="false"/>
                <w:color w:val="000000"/>
                <w:sz w:val="20"/>
                <w:szCs w:val="20"/>
              </w:rPr>
              <w:t xml:space="preserve">Espesor del halo en cm (anterior/posterior). Ej. "DP 1,1" → separación de hojas pericárdicas de 1.1 cm.</w:t>
            </w:r>
          </w:p>
        </w:tc>
      </w:tr>
      <w:tr>
        <w:tc>
          <w:tcPr>
            <w:tcW w:type="dxa" w:w="2200"/>
            <w:tcMar>
              <w:top w:type="dxa" w:w="60"/>
              <w:left w:type="dxa" w:w="100"/>
              <w:bottom w:type="dxa" w:w="60"/>
              <w:right w:type="dxa" w:w="100"/>
            </w:tcMar>
          </w:tcPr>
          <w:p>
            <w:r>
              <w:rPr>
                <w:b w:val="false"/>
                <w:bCs w:val="false"/>
                <w:color w:val="000000"/>
                <w:sz w:val="20"/>
                <w:szCs w:val="20"/>
              </w:rPr>
              <w:t xml:space="preserve">DP ≥80 / DPP ≥80</w:t>
            </w:r>
          </w:p>
        </w:tc>
        <w:tc>
          <w:tcPr>
            <w:tcW w:type="dxa" w:w="7800"/>
            <w:tcMar>
              <w:top w:type="dxa" w:w="60"/>
              <w:left w:type="dxa" w:w="100"/>
              <w:bottom w:type="dxa" w:w="60"/>
              <w:right w:type="dxa" w:w="100"/>
            </w:tcMar>
          </w:tcPr>
          <w:p>
            <w:r>
              <w:rPr>
                <w:b w:val="false"/>
                <w:bCs w:val="false"/>
                <w:color w:val="000000"/>
                <w:sz w:val="20"/>
                <w:szCs w:val="20"/>
              </w:rPr>
              <w:t xml:space="preserve">Volumen estimado del derrame en cc. Ej. "DP 110" → volumen estimado de 110 cc.</w:t>
            </w:r>
          </w:p>
        </w:tc>
      </w:tr>
      <w:tr>
        <w:tc>
          <w:tcPr>
            <w:tcW w:type="dxa" w:w="2200"/>
            <w:tcMar>
              <w:top w:type="dxa" w:w="60"/>
              <w:left w:type="dxa" w:w="100"/>
              <w:bottom w:type="dxa" w:w="60"/>
              <w:right w:type="dxa" w:w="100"/>
            </w:tcMar>
          </w:tcPr>
          <w:p>
            <w:r>
              <w:rPr>
                <w:b w:val="false"/>
                <w:bCs w:val="false"/>
                <w:color w:val="000000"/>
                <w:sz w:val="20"/>
                <w:szCs w:val="20"/>
              </w:rPr>
              <w:t xml:space="preserve">DP + DPP juntos</w:t>
            </w:r>
          </w:p>
        </w:tc>
        <w:tc>
          <w:tcPr>
            <w:tcW w:type="dxa" w:w="7800"/>
            <w:tcMar>
              <w:top w:type="dxa" w:w="60"/>
              <w:left w:type="dxa" w:w="100"/>
              <w:bottom w:type="dxa" w:w="60"/>
              <w:right w:type="dxa" w:w="100"/>
            </w:tcMar>
          </w:tcPr>
          <w:p>
            <w:r>
              <w:rPr>
                <w:b w:val="false"/>
                <w:bCs w:val="false"/>
                <w:color w:val="000000"/>
                <w:sz w:val="20"/>
                <w:szCs w:val="20"/>
              </w:rPr>
              <w:t xml:space="preserve">Derrame circunferencial; pueden combinarse espesor y volumen (ej. "DP 1,1 110").</w:t>
            </w:r>
          </w:p>
        </w:tc>
      </w:tr>
    </w:tbl>
    <w:p>
      <w:pPr>
        <w:spacing w:after="120"/>
      </w:pPr>
      <w:r>
        <w:t xml:space="preserve">Regla clave: sin PERIC, la conclusión solo dice "Derrame pericárdico..." (sin calificarlo de inflamatorio). Con PERIC + DP/DPP, la conclusión dice "Inflamación pericárdica con derrame pericárdico...".</w:t>
      </w:r>
    </w:p>
    <w:p>
      <w:pPr>
        <w:pStyle w:val="Heading3"/>
        <w:spacing w:after="100" w:before="200"/>
      </w:pPr>
      <w:r>
        <w:t xml:space="preserve">Integración hemodinámica del derrame</w:t>
      </w:r>
    </w:p>
    <w:p>
      <w:pPr>
        <w:spacing w:after="120"/>
      </w:pPr>
      <w:r>
        <w:t xml:space="preserve">Parámetros: AD↓ (colapso de AD), CAV↓ (VCI sin colapso), M ## % (variación respiratoria del flujo mitral), T ## % (variación respiratoria del flujo tricuspídeo). El corte de significancia es ≥25% (inclusive).</w:t>
      </w:r>
    </w:p>
    <w:p>
      <w:pPr>
        <w:spacing w:after="120"/>
      </w:pPr>
      <w:r>
        <w:t xml:space="preserve">Estos parámetros de apoyo (AD↓, M, T) NUNCA concluyen compromiso hemodinámico por sí solos; requieren la presencia de derrame (DP/DPP) para integrarse. Ejemplo: "Derrame pericárdico con volumen estimado de 250 cc, con signos ecocardiográficos de aumento de presión intrapericárdica y compromiso hemodinámico (colapso de aurícula derecha del 30%, variación respiratoria del flujo mitral del 25%)."</w:t>
      </w:r>
    </w:p>
    <w:p>
      <w:pPr>
        <w:pStyle w:val="Heading2"/>
        <w:spacing w:after="150" w:before="300"/>
      </w:pPr>
      <w:r>
        <w:t xml:space="preserve">2.7 Contractilidad</w:t>
      </w:r>
    </w:p>
    <w:p>
      <w:pPr>
        <w:spacing w:after="120"/>
      </w:pPr>
      <w:r>
        <w:t xml:space="preserve">Estructura del código: [tipo de alteración] + [segmento] + [nivel]. Los segmentos/niveles aceptan mayúscula o minúscula.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Categoría</w:t>
            </w:r>
          </w:p>
        </w:tc>
        <w:tc>
          <w:tcPr>
            <w:tcW w:type="dxa" w:w="4500"/>
            <w:shd w:fill="1F4E79" w:val="clear"/>
            <w:tcMar>
              <w:top w:type="dxa" w:w="60"/>
              <w:left w:type="dxa" w:w="100"/>
              <w:bottom w:type="dxa" w:w="60"/>
              <w:right w:type="dxa" w:w="100"/>
            </w:tcMar>
          </w:tcPr>
          <w:p>
            <w:r>
              <w:rPr>
                <w:b/>
                <w:bCs/>
                <w:color w:val="FFFFFF"/>
                <w:sz w:val="20"/>
                <w:szCs w:val="20"/>
              </w:rPr>
              <w:t xml:space="preserve">Códigos</w:t>
            </w:r>
          </w:p>
        </w:tc>
      </w:tr>
      <w:tr>
        <w:tc>
          <w:tcPr>
            <w:tcW w:type="dxa" w:w="4500"/>
            <w:tcMar>
              <w:top w:type="dxa" w:w="60"/>
              <w:left w:type="dxa" w:w="100"/>
              <w:bottom w:type="dxa" w:w="60"/>
              <w:right w:type="dxa" w:w="100"/>
            </w:tcMar>
          </w:tcPr>
          <w:p>
            <w:r>
              <w:rPr>
                <w:b w:val="false"/>
                <w:bCs w:val="false"/>
                <w:color w:val="000000"/>
                <w:sz w:val="20"/>
                <w:szCs w:val="20"/>
              </w:rPr>
              <w:t xml:space="preserve">Tipo de alteración</w:t>
            </w:r>
          </w:p>
        </w:tc>
        <w:tc>
          <w:tcPr>
            <w:tcW w:type="dxa" w:w="4500"/>
            <w:tcMar>
              <w:top w:type="dxa" w:w="60"/>
              <w:left w:type="dxa" w:w="100"/>
              <w:bottom w:type="dxa" w:w="60"/>
              <w:right w:type="dxa" w:w="100"/>
            </w:tcMar>
          </w:tcPr>
          <w:p>
            <w:r>
              <w:rPr>
                <w:b w:val="false"/>
                <w:bCs w:val="false"/>
                <w:color w:val="000000"/>
                <w:sz w:val="20"/>
                <w:szCs w:val="20"/>
              </w:rPr>
              <w:t xml:space="preserve">AK (aquinesia), HK/HPK (hipoquinesia), HPQ / HPQ GRAL (hipoquinesia generalizada), HPKG, HPKGRAL, DSK (discinesia)</w:t>
            </w:r>
          </w:p>
        </w:tc>
      </w:tr>
      <w:tr>
        <w:tc>
          <w:tcPr>
            <w:tcW w:type="dxa" w:w="4500"/>
            <w:tcMar>
              <w:top w:type="dxa" w:w="60"/>
              <w:left w:type="dxa" w:w="100"/>
              <w:bottom w:type="dxa" w:w="60"/>
              <w:right w:type="dxa" w:w="100"/>
            </w:tcMar>
          </w:tcPr>
          <w:p>
            <w:r>
              <w:rPr>
                <w:b w:val="false"/>
                <w:bCs w:val="false"/>
                <w:color w:val="000000"/>
                <w:sz w:val="20"/>
                <w:szCs w:val="20"/>
              </w:rPr>
              <w:t xml:space="preserve">Segmento</w:t>
            </w:r>
          </w:p>
        </w:tc>
        <w:tc>
          <w:tcPr>
            <w:tcW w:type="dxa" w:w="4500"/>
            <w:tcMar>
              <w:top w:type="dxa" w:w="60"/>
              <w:left w:type="dxa" w:w="100"/>
              <w:bottom w:type="dxa" w:w="60"/>
              <w:right w:type="dxa" w:w="100"/>
            </w:tcMar>
          </w:tcPr>
          <w:p>
            <w:r>
              <w:rPr>
                <w:b w:val="false"/>
                <w:bCs w:val="false"/>
                <w:color w:val="000000"/>
                <w:sz w:val="20"/>
                <w:szCs w:val="20"/>
              </w:rPr>
              <w:t xml:space="preserve">AS (anteroseptal), A (anterior), L (lateral), I (inferior), P (posterior)</w:t>
            </w:r>
          </w:p>
        </w:tc>
      </w:tr>
      <w:tr>
        <w:tc>
          <w:tcPr>
            <w:tcW w:type="dxa" w:w="4500"/>
            <w:tcMar>
              <w:top w:type="dxa" w:w="60"/>
              <w:left w:type="dxa" w:w="100"/>
              <w:bottom w:type="dxa" w:w="60"/>
              <w:right w:type="dxa" w:w="100"/>
            </w:tcMar>
          </w:tcPr>
          <w:p>
            <w:r>
              <w:rPr>
                <w:b w:val="false"/>
                <w:bCs w:val="false"/>
                <w:color w:val="000000"/>
                <w:sz w:val="20"/>
                <w:szCs w:val="20"/>
              </w:rPr>
              <w:t xml:space="preserve">Nivel</w:t>
            </w:r>
          </w:p>
        </w:tc>
        <w:tc>
          <w:tcPr>
            <w:tcW w:type="dxa" w:w="4500"/>
            <w:tcMar>
              <w:top w:type="dxa" w:w="60"/>
              <w:left w:type="dxa" w:w="100"/>
              <w:bottom w:type="dxa" w:w="60"/>
              <w:right w:type="dxa" w:w="100"/>
            </w:tcMar>
          </w:tcPr>
          <w:p>
            <w:r>
              <w:rPr>
                <w:b w:val="false"/>
                <w:bCs w:val="false"/>
                <w:color w:val="000000"/>
                <w:sz w:val="20"/>
                <w:szCs w:val="20"/>
              </w:rPr>
              <w:t xml:space="preserve">B (basal), M (medial), A (apical), MB, MA, MBA</w:t>
            </w:r>
          </w:p>
        </w:tc>
      </w:tr>
    </w:tbl>
    <w:p>
      <w:pPr>
        <w:spacing w:after="120"/>
      </w:pPr>
      <w:r>
        <w:t xml:space="preserve">Ejemplo: HPK as mb → Hipoquinesia anteroseptal basal y medial. Conclusión asociada: "Cardiopatía isquémica con alteración segmentaria compatible con necrosis miocárdica o infarto en evolución".</w:t>
      </w:r>
    </w:p>
    <w:p>
      <w:pPr>
        <w:spacing w:after="120"/>
      </w:pPr>
      <w:r>
        <w:rPr>
          <w:b/>
          <w:bCs/>
        </w:rPr>
        <w:t xml:space="preserve">OK</w:t>
      </w:r>
    </w:p>
    <w:p>
      <w:pPr>
        <w:spacing w:after="120"/>
      </w:pPr>
      <w:r>
        <w:t xml:space="preserve">Contractilidad segmentaria globalmente conservada. Regla de exclusión mutua: si aparece OK, no deben coexistir trastornos segmentarios, y viceversa.</w:t>
      </w:r>
    </w:p>
    <w:p>
      <w:pPr>
        <w:spacing w:after="120"/>
      </w:pPr>
      <w:r>
        <w:rPr>
          <w:b/>
          <w:bCs/>
        </w:rPr>
        <w:t xml:space="preserve">Seg?</w:t>
      </w:r>
    </w:p>
    <w:p>
      <w:pPr>
        <w:spacing w:after="120"/>
      </w:pPr>
      <w:r>
        <w:t xml:space="preserve">Contractilidad segmentaria no valorable adecuadamente.</w:t>
      </w:r>
    </w:p>
    <w:p>
      <w:pPr>
        <w:pStyle w:val="Heading2"/>
        <w:spacing w:after="150" w:before="300"/>
      </w:pPr>
      <w:r>
        <w:t xml:space="preserve">2.8 Válvula mitral</w:t>
      </w:r>
    </w:p>
    <w:p>
      <w:pPr>
        <w:pStyle w:val="Heading3"/>
        <w:spacing w:after="100" w:before="200"/>
      </w:pPr>
      <w:r>
        <w:t xml:space="preserve">Morfología (esclerosis / engrosamiento / calcificación)</w:t>
      </w:r>
    </w:p>
    <w:p>
      <w:pPr>
        <w:spacing w:after="120"/>
      </w:pPr>
      <w:r>
        <w:t xml:space="preserve">Regla general: la morfología SIEMPRE pasa a conclusiones, integrada con la insuficiencia si coexiste.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c>
          <w:tcPr>
            <w:tcW w:type="dxa" w:w="1600"/>
            <w:shd w:fill="1F4E79" w:val="clear"/>
            <w:tcMar>
              <w:top w:type="dxa" w:w="60"/>
              <w:left w:type="dxa" w:w="100"/>
              <w:bottom w:type="dxa" w:w="60"/>
              <w:right w:type="dxa" w:w="100"/>
            </w:tcMar>
          </w:tcPr>
          <w:p>
            <w:r>
              <w:rPr>
                <w:b/>
                <w:bCs/>
                <w:color w:val="FFFFFF"/>
                <w:sz w:val="20"/>
                <w:szCs w:val="20"/>
              </w:rPr>
              <w:t xml:space="preserve">Código</w:t>
            </w:r>
          </w:p>
        </w:tc>
        <w:tc>
          <w:tcPr>
            <w:tcW w:type="dxa" w:w="4400"/>
            <w:shd w:fill="1F4E79" w:val="clear"/>
            <w:tcMar>
              <w:top w:type="dxa" w:w="60"/>
              <w:left w:type="dxa" w:w="100"/>
              <w:bottom w:type="dxa" w:w="60"/>
              <w:right w:type="dxa" w:w="100"/>
            </w:tcMar>
          </w:tcPr>
          <w:p>
            <w:r>
              <w:rPr>
                <w:b/>
                <w:bCs/>
                <w:color w:val="FFFFFF"/>
                <w:sz w:val="20"/>
                <w:szCs w:val="20"/>
              </w:rPr>
              <w:t xml:space="preserve">Descripción</w:t>
            </w:r>
          </w:p>
        </w:tc>
        <w:tc>
          <w:tcPr>
            <w:tcW w:type="dxa" w:w="3600"/>
            <w:shd w:fill="1F4E79" w:val="clear"/>
            <w:tcMar>
              <w:top w:type="dxa" w:w="60"/>
              <w:left w:type="dxa" w:w="100"/>
              <w:bottom w:type="dxa" w:w="60"/>
              <w:right w:type="dxa" w:w="100"/>
            </w:tcMar>
          </w:tcPr>
          <w:p>
            <w:r>
              <w:rPr>
                <w:b/>
                <w:bCs/>
                <w:color w:val="FFFFFF"/>
                <w:sz w:val="20"/>
                <w:szCs w:val="20"/>
              </w:rPr>
              <w:t xml:space="preserve">Conclusión</w:t>
            </w:r>
          </w:p>
        </w:tc>
      </w:tr>
      <w:tr>
        <w:tc>
          <w:tcPr>
            <w:tcW w:type="dxa" w:w="1600"/>
            <w:tcMar>
              <w:top w:type="dxa" w:w="60"/>
              <w:left w:type="dxa" w:w="100"/>
              <w:bottom w:type="dxa" w:w="60"/>
              <w:right w:type="dxa" w:w="100"/>
            </w:tcMar>
          </w:tcPr>
          <w:p>
            <w:r>
              <w:rPr>
                <w:b w:val="false"/>
                <w:bCs w:val="false"/>
                <w:color w:val="000000"/>
                <w:sz w:val="20"/>
                <w:szCs w:val="20"/>
              </w:rPr>
              <w:t xml:space="preserve">EM</w:t>
            </w:r>
          </w:p>
        </w:tc>
        <w:tc>
          <w:tcPr>
            <w:tcW w:type="dxa" w:w="4400"/>
            <w:tcMar>
              <w:top w:type="dxa" w:w="60"/>
              <w:left w:type="dxa" w:w="100"/>
              <w:bottom w:type="dxa" w:w="60"/>
              <w:right w:type="dxa" w:w="100"/>
            </w:tcMar>
          </w:tcPr>
          <w:p>
            <w:r>
              <w:rPr>
                <w:b w:val="false"/>
                <w:bCs w:val="false"/>
                <w:color w:val="000000"/>
                <w:sz w:val="20"/>
                <w:szCs w:val="20"/>
              </w:rPr>
              <w:t xml:space="preserve">Esclerosis valvular mitral</w:t>
            </w:r>
          </w:p>
        </w:tc>
        <w:tc>
          <w:tcPr>
            <w:tcW w:type="dxa" w:w="3600"/>
            <w:tcMar>
              <w:top w:type="dxa" w:w="60"/>
              <w:left w:type="dxa" w:w="100"/>
              <w:bottom w:type="dxa" w:w="60"/>
              <w:right w:type="dxa" w:w="100"/>
            </w:tcMar>
          </w:tcPr>
          <w:p>
            <w:r>
              <w:rPr>
                <w:b w:val="false"/>
                <w:bCs w:val="false"/>
                <w:color w:val="000000"/>
                <w:sz w:val="20"/>
                <w:szCs w:val="20"/>
              </w:rPr>
              <w:t xml:space="preserve">"Esclerosis valvular mitral" (+ insuficiencia si coexiste)</w:t>
            </w:r>
          </w:p>
        </w:tc>
      </w:tr>
      <w:tr>
        <w:tc>
          <w:tcPr>
            <w:tcW w:type="dxa" w:w="1600"/>
            <w:tcMar>
              <w:top w:type="dxa" w:w="60"/>
              <w:left w:type="dxa" w:w="100"/>
              <w:bottom w:type="dxa" w:w="60"/>
              <w:right w:type="dxa" w:w="100"/>
            </w:tcMar>
          </w:tcPr>
          <w:p>
            <w:r>
              <w:rPr>
                <w:b w:val="false"/>
                <w:bCs w:val="false"/>
                <w:color w:val="000000"/>
                <w:sz w:val="20"/>
                <w:szCs w:val="20"/>
              </w:rPr>
              <w:t xml:space="preserve">EMB</w:t>
            </w:r>
          </w:p>
        </w:tc>
        <w:tc>
          <w:tcPr>
            <w:tcW w:type="dxa" w:w="4400"/>
            <w:tcMar>
              <w:top w:type="dxa" w:w="60"/>
              <w:left w:type="dxa" w:w="100"/>
              <w:bottom w:type="dxa" w:w="60"/>
              <w:right w:type="dxa" w:w="100"/>
            </w:tcMar>
          </w:tcPr>
          <w:p>
            <w:r>
              <w:rPr>
                <w:b w:val="false"/>
                <w:bCs w:val="false"/>
                <w:color w:val="000000"/>
                <w:sz w:val="20"/>
                <w:szCs w:val="20"/>
              </w:rPr>
              <w:t xml:space="preserve">Esclerosis con engrosamiento del borde de sus velos</w:t>
            </w:r>
          </w:p>
        </w:tc>
        <w:tc>
          <w:tcPr>
            <w:tcW w:type="dxa" w:w="3600"/>
            <w:tcMar>
              <w:top w:type="dxa" w:w="60"/>
              <w:left w:type="dxa" w:w="100"/>
              <w:bottom w:type="dxa" w:w="60"/>
              <w:right w:type="dxa" w:w="100"/>
            </w:tcMar>
          </w:tcPr>
          <w:p>
            <w:r>
              <w:rPr>
                <w:b w:val="false"/>
                <w:bCs w:val="false"/>
                <w:color w:val="000000"/>
                <w:sz w:val="20"/>
                <w:szCs w:val="20"/>
              </w:rPr>
              <w:t xml:space="preserve">"Esclerosis y engrosamiento valvular mitral" (+ insuficiencia)</w:t>
            </w:r>
          </w:p>
        </w:tc>
      </w:tr>
      <w:tr>
        <w:tc>
          <w:tcPr>
            <w:tcW w:type="dxa" w:w="1600"/>
            <w:tcMar>
              <w:top w:type="dxa" w:w="60"/>
              <w:left w:type="dxa" w:w="100"/>
              <w:bottom w:type="dxa" w:w="60"/>
              <w:right w:type="dxa" w:w="100"/>
            </w:tcMar>
          </w:tcPr>
          <w:p>
            <w:r/>
            <w:r>
              <w:t>CM</w:t>
            </w:r>
          </w:p>
        </w:tc>
        <w:tc>
          <w:tcPr>
            <w:tcW w:type="dxa" w:w="4400"/>
            <w:tcMar>
              <w:top w:type="dxa" w:w="60"/>
              <w:left w:type="dxa" w:w="100"/>
              <w:bottom w:type="dxa" w:w="60"/>
              <w:right w:type="dxa" w:w="100"/>
            </w:tcMar>
          </w:tcPr>
          <w:p>
            <w:r/>
            <w:r>
              <w:t>Esclerosis y calcificación valvular mitral (general, sin patrón específico)</w:t>
            </w:r>
          </w:p>
        </w:tc>
        <w:tc>
          <w:tcPr>
            <w:tcW w:type="dxa" w:w="3600"/>
            <w:tcMar>
              <w:top w:type="dxa" w:w="60"/>
              <w:left w:type="dxa" w:w="100"/>
              <w:bottom w:type="dxa" w:w="60"/>
              <w:right w:type="dxa" w:w="100"/>
            </w:tcMar>
          </w:tcPr>
          <w:p>
            <w:r/>
            <w:r>
              <w:t>"Esclerosis y calcificación valvular mitral" (+ insuficiencia)</w:t>
            </w:r>
          </w:p>
        </w:tc>
      </w:tr>
      <w:tr>
        <w:tc>
          <w:tcPr>
            <w:tcW w:type="dxa" w:w="1600"/>
            <w:tcMar>
              <w:top w:type="dxa" w:w="60"/>
              <w:left w:type="dxa" w:w="100"/>
              <w:bottom w:type="dxa" w:w="60"/>
              <w:right w:type="dxa" w:w="100"/>
            </w:tcMar>
          </w:tcPr>
          <w:p>
            <w:r>
              <w:rPr>
                <w:b w:val="false"/>
                <w:bCs w:val="false"/>
                <w:color w:val="000000"/>
                <w:sz w:val="20"/>
                <w:szCs w:val="20"/>
              </w:rPr>
              <w:t xml:space="preserve">CM..</w:t>
            </w:r>
          </w:p>
        </w:tc>
        <w:tc>
          <w:tcPr>
            <w:tcW w:type="dxa" w:w="4400"/>
            <w:tcMar>
              <w:top w:type="dxa" w:w="60"/>
              <w:left w:type="dxa" w:w="100"/>
              <w:bottom w:type="dxa" w:w="60"/>
              <w:right w:type="dxa" w:w="100"/>
            </w:tcMar>
          </w:tcPr>
          <w:p>
            <w:r>
              <w:rPr>
                <w:b w:val="false"/>
                <w:bCs w:val="false"/>
                <w:color w:val="000000"/>
                <w:sz w:val="20"/>
                <w:szCs w:val="20"/>
              </w:rPr>
              <w:t xml:space="preserve">Esclerosis con puntos de calcio en sus velos</w:t>
            </w:r>
          </w:p>
        </w:tc>
        <w:tc>
          <w:tcPr>
            <w:tcW w:type="dxa" w:w="3600"/>
            <w:tcMar>
              <w:top w:type="dxa" w:w="60"/>
              <w:left w:type="dxa" w:w="100"/>
              <w:bottom w:type="dxa" w:w="60"/>
              <w:right w:type="dxa" w:w="100"/>
            </w:tcMar>
          </w:tcPr>
          <w:p>
            <w:r>
              <w:rPr>
                <w:b w:val="false"/>
                <w:bCs w:val="false"/>
                <w:color w:val="000000"/>
                <w:sz w:val="20"/>
                <w:szCs w:val="20"/>
              </w:rPr>
              <w:t xml:space="preserve">"Esclerosis valvular mitral con calcificación puntiforme" (+ insuficiencia)</w:t>
            </w:r>
          </w:p>
        </w:tc>
      </w:tr>
      <w:tr>
        <w:tc>
          <w:tcPr>
            <w:tcW w:type="dxa" w:w="1600"/>
            <w:tcMar>
              <w:top w:type="dxa" w:w="60"/>
              <w:left w:type="dxa" w:w="100"/>
              <w:bottom w:type="dxa" w:w="60"/>
              <w:right w:type="dxa" w:w="100"/>
            </w:tcMar>
          </w:tcPr>
          <w:p>
            <w:r>
              <w:rPr>
                <w:b w:val="false"/>
                <w:bCs w:val="false"/>
                <w:color w:val="000000"/>
                <w:sz w:val="20"/>
                <w:szCs w:val="20"/>
              </w:rPr>
              <w:t xml:space="preserve">CMB</w:t>
            </w:r>
          </w:p>
        </w:tc>
        <w:tc>
          <w:tcPr>
            <w:tcW w:type="dxa" w:w="4400"/>
            <w:tcMar>
              <w:top w:type="dxa" w:w="60"/>
              <w:left w:type="dxa" w:w="100"/>
              <w:bottom w:type="dxa" w:w="60"/>
              <w:right w:type="dxa" w:w="100"/>
            </w:tcMar>
          </w:tcPr>
          <w:p>
            <w:r>
              <w:rPr>
                <w:b w:val="false"/>
                <w:bCs w:val="false"/>
                <w:color w:val="000000"/>
                <w:sz w:val="20"/>
                <w:szCs w:val="20"/>
              </w:rPr>
              <w:t xml:space="preserve">Esclerosis con calcificación del borde de sus velos</w:t>
            </w:r>
          </w:p>
        </w:tc>
        <w:tc>
          <w:tcPr>
            <w:tcW w:type="dxa" w:w="3600"/>
            <w:tcMar>
              <w:top w:type="dxa" w:w="60"/>
              <w:left w:type="dxa" w:w="100"/>
              <w:bottom w:type="dxa" w:w="60"/>
              <w:right w:type="dxa" w:w="100"/>
            </w:tcMar>
          </w:tcPr>
          <w:p>
            <w:r>
              <w:rPr>
                <w:b w:val="false"/>
                <w:bCs w:val="false"/>
                <w:color w:val="000000"/>
                <w:sz w:val="20"/>
                <w:szCs w:val="20"/>
              </w:rPr>
              <w:t xml:space="preserve">"Esclerosis y calcificación del borde valvular mitral" (+ insuficiencia)</w:t>
            </w:r>
          </w:p>
        </w:tc>
      </w:tr>
      <w:tr>
        <w:tc>
          <w:tcPr>
            <w:tcW w:type="dxa" w:w="1600"/>
            <w:tcMar>
              <w:top w:type="dxa" w:w="60"/>
              <w:left w:type="dxa" w:w="100"/>
              <w:bottom w:type="dxa" w:w="60"/>
              <w:right w:type="dxa" w:w="100"/>
            </w:tcMar>
          </w:tcPr>
          <w:p>
            <w:r>
              <w:rPr>
                <w:b w:val="false"/>
                <w:bCs w:val="false"/>
                <w:color w:val="000000"/>
                <w:sz w:val="20"/>
                <w:szCs w:val="20"/>
              </w:rPr>
              <w:t xml:space="preserve">CM↑</w:t>
            </w:r>
          </w:p>
        </w:tc>
        <w:tc>
          <w:tcPr>
            <w:tcW w:type="dxa" w:w="4400"/>
            <w:tcMar>
              <w:top w:type="dxa" w:w="60"/>
              <w:left w:type="dxa" w:w="100"/>
              <w:bottom w:type="dxa" w:w="60"/>
              <w:right w:type="dxa" w:w="100"/>
            </w:tcMar>
          </w:tcPr>
          <w:p>
            <w:r>
              <w:rPr>
                <w:b w:val="false"/>
                <w:bCs w:val="false"/>
                <w:color w:val="000000"/>
                <w:sz w:val="20"/>
                <w:szCs w:val="20"/>
              </w:rPr>
              <w:t xml:space="preserve">Engrosamiento, esclerosis y calcificación (difuso; ↑ = engrosamiento)</w:t>
            </w:r>
          </w:p>
        </w:tc>
        <w:tc>
          <w:tcPr>
            <w:tcW w:type="dxa" w:w="3600"/>
            <w:tcMar>
              <w:top w:type="dxa" w:w="60"/>
              <w:left w:type="dxa" w:w="100"/>
              <w:bottom w:type="dxa" w:w="60"/>
              <w:right w:type="dxa" w:w="100"/>
            </w:tcMar>
          </w:tcPr>
          <w:p>
            <w:r>
              <w:rPr>
                <w:b w:val="false"/>
                <w:bCs w:val="false"/>
                <w:color w:val="000000"/>
                <w:sz w:val="20"/>
                <w:szCs w:val="20"/>
              </w:rPr>
              <w:t xml:space="preserve">"Esclerosis, engrosamiento y calcificación valvular mitral" (+ insuficiencia)</w:t>
            </w:r>
          </w:p>
        </w:tc>
      </w:tr>
      <w:tr>
        <w:tc>
          <w:tcPr>
            <w:tcW w:type="dxa" w:w="1600"/>
            <w:tcMar>
              <w:top w:type="dxa" w:w="60"/>
              <w:left w:type="dxa" w:w="100"/>
              <w:bottom w:type="dxa" w:w="60"/>
              <w:right w:type="dxa" w:w="100"/>
            </w:tcMar>
          </w:tcPr>
          <w:p>
            <w:r>
              <w:rPr>
                <w:b w:val="false"/>
                <w:bCs w:val="false"/>
                <w:color w:val="000000"/>
                <w:sz w:val="20"/>
                <w:szCs w:val="20"/>
              </w:rPr>
              <w:t xml:space="preserve">CMP</w:t>
            </w:r>
          </w:p>
        </w:tc>
        <w:tc>
          <w:tcPr>
            <w:tcW w:type="dxa" w:w="4400"/>
            <w:tcMar>
              <w:top w:type="dxa" w:w="60"/>
              <w:left w:type="dxa" w:w="100"/>
              <w:bottom w:type="dxa" w:w="60"/>
              <w:right w:type="dxa" w:w="100"/>
            </w:tcMar>
          </w:tcPr>
          <w:p>
            <w:r>
              <w:rPr>
                <w:b w:val="false"/>
                <w:bCs w:val="false"/>
                <w:color w:val="000000"/>
                <w:sz w:val="20"/>
                <w:szCs w:val="20"/>
              </w:rPr>
              <w:t xml:space="preserve">Calcio en el velo posterior</w:t>
            </w:r>
          </w:p>
        </w:tc>
        <w:tc>
          <w:tcPr>
            <w:tcW w:type="dxa" w:w="3600"/>
            <w:tcMar>
              <w:top w:type="dxa" w:w="60"/>
              <w:left w:type="dxa" w:w="100"/>
              <w:bottom w:type="dxa" w:w="60"/>
              <w:right w:type="dxa" w:w="100"/>
            </w:tcMar>
          </w:tcPr>
          <w:p>
            <w:r>
              <w:rPr>
                <w:b w:val="false"/>
                <w:bCs w:val="false"/>
                <w:color w:val="000000"/>
                <w:sz w:val="20"/>
                <w:szCs w:val="20"/>
              </w:rPr>
              <w:t xml:space="preserve">"Calcificación del velo posterior mitral." No infiere estenosis sin SM/AVM</w:t>
            </w:r>
          </w:p>
        </w:tc>
      </w:tr>
      <w:tr>
        <w:tc>
          <w:tcPr>
            <w:tcW w:type="dxa" w:w="1600"/>
            <w:tcMar>
              <w:top w:type="dxa" w:w="60"/>
              <w:left w:type="dxa" w:w="100"/>
              <w:bottom w:type="dxa" w:w="60"/>
              <w:right w:type="dxa" w:w="100"/>
            </w:tcMar>
          </w:tcPr>
          <w:p>
            <w:r>
              <w:rPr>
                <w:b w:val="false"/>
                <w:bCs w:val="false"/>
                <w:color w:val="000000"/>
                <w:sz w:val="20"/>
                <w:szCs w:val="20"/>
              </w:rPr>
              <w:t xml:space="preserve">CMP↓</w:t>
            </w:r>
          </w:p>
        </w:tc>
        <w:tc>
          <w:tcPr>
            <w:tcW w:type="dxa" w:w="4400"/>
            <w:tcMar>
              <w:top w:type="dxa" w:w="60"/>
              <w:left w:type="dxa" w:w="100"/>
              <w:bottom w:type="dxa" w:w="60"/>
              <w:right w:type="dxa" w:w="100"/>
            </w:tcMar>
          </w:tcPr>
          <w:p>
            <w:r>
              <w:rPr>
                <w:b w:val="false"/>
                <w:bCs w:val="false"/>
                <w:color w:val="000000"/>
                <w:sz w:val="20"/>
                <w:szCs w:val="20"/>
              </w:rPr>
              <w:t xml:space="preserve">Calcio en velo posterior + restricción de excursión</w:t>
            </w:r>
          </w:p>
        </w:tc>
        <w:tc>
          <w:tcPr>
            <w:tcW w:type="dxa" w:w="3600"/>
            <w:tcMar>
              <w:top w:type="dxa" w:w="60"/>
              <w:left w:type="dxa" w:w="100"/>
              <w:bottom w:type="dxa" w:w="60"/>
              <w:right w:type="dxa" w:w="100"/>
            </w:tcMar>
          </w:tcPr>
          <w:p>
            <w:r>
              <w:rPr>
                <w:b w:val="false"/>
                <w:bCs w:val="false"/>
                <w:color w:val="000000"/>
                <w:sz w:val="20"/>
                <w:szCs w:val="20"/>
              </w:rPr>
              <w:t xml:space="preserve">"...con restricción de su movilidad." No infiere estenosis sin SM/AVM</w:t>
            </w:r>
          </w:p>
        </w:tc>
      </w:tr>
    </w:tbl>
    <w:p>
      <w:pPr>
        <w:spacing w:after="120"/>
      </w:pPr>
      <w:r>
        <w:t xml:space="preserve">Ejemplo: CM↑ + IM3 → Descripción: "Válvula mitral: engrosamiento, esclerosis y calcificación valvular. Jet de regurgitación moderada a severa, central hacia aurícula izquierda." Conclusión: "Esclerosis, engrosamiento y calcificación valvular mitral con insuficiencia moderada a severa."</w:t>
      </w:r>
    </w:p>
    <w:p>
      <w:pPr>
        <w:pStyle w:val="Heading3"/>
        <w:spacing w:after="100" w:before="200"/>
      </w:pPr>
      <w:r>
        <w:t xml:space="preserve">Insuficiencia (regurgitación)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Severidad</w:t>
            </w:r>
          </w:p>
        </w:tc>
      </w:tr>
      <w:tr>
        <w:tc>
          <w:tcPr>
            <w:tcW w:type="dxa" w:w="4500"/>
            <w:tcMar>
              <w:top w:type="dxa" w:w="60"/>
              <w:left w:type="dxa" w:w="100"/>
              <w:bottom w:type="dxa" w:w="60"/>
              <w:right w:type="dxa" w:w="100"/>
            </w:tcMar>
          </w:tcPr>
          <w:p>
            <w:r>
              <w:rPr>
                <w:b w:val="false"/>
                <w:bCs w:val="false"/>
                <w:color w:val="000000"/>
                <w:sz w:val="20"/>
                <w:szCs w:val="20"/>
              </w:rPr>
              <w:t xml:space="preserve">IM (sin número)</w:t>
            </w:r>
          </w:p>
        </w:tc>
        <w:tc>
          <w:tcPr>
            <w:tcW w:type="dxa" w:w="4500"/>
            <w:tcMar>
              <w:top w:type="dxa" w:w="60"/>
              <w:left w:type="dxa" w:w="100"/>
              <w:bottom w:type="dxa" w:w="60"/>
              <w:right w:type="dxa" w:w="100"/>
            </w:tcMar>
          </w:tcPr>
          <w:p>
            <w:r>
              <w:rPr>
                <w:b w:val="false"/>
                <w:bCs w:val="false"/>
                <w:color w:val="000000"/>
                <w:sz w:val="20"/>
                <w:szCs w:val="20"/>
              </w:rPr>
              <w:t xml:space="preserve">Leve</w:t>
            </w:r>
          </w:p>
        </w:tc>
      </w:tr>
      <w:tr>
        <w:tc>
          <w:tcPr>
            <w:tcW w:type="dxa" w:w="4500"/>
            <w:tcMar>
              <w:top w:type="dxa" w:w="60"/>
              <w:left w:type="dxa" w:w="100"/>
              <w:bottom w:type="dxa" w:w="60"/>
              <w:right w:type="dxa" w:w="100"/>
            </w:tcMar>
          </w:tcPr>
          <w:p>
            <w:r>
              <w:rPr>
                <w:b w:val="false"/>
                <w:bCs w:val="false"/>
                <w:color w:val="000000"/>
                <w:sz w:val="20"/>
                <w:szCs w:val="20"/>
              </w:rPr>
              <w:t xml:space="preserve">IM2</w:t>
            </w:r>
          </w:p>
        </w:tc>
        <w:tc>
          <w:tcPr>
            <w:tcW w:type="dxa" w:w="4500"/>
            <w:tcMar>
              <w:top w:type="dxa" w:w="60"/>
              <w:left w:type="dxa" w:w="100"/>
              <w:bottom w:type="dxa" w:w="60"/>
              <w:right w:type="dxa" w:w="100"/>
            </w:tcMar>
          </w:tcPr>
          <w:p>
            <w:r>
              <w:rPr>
                <w:b w:val="false"/>
                <w:bCs w:val="false"/>
                <w:color w:val="000000"/>
                <w:sz w:val="20"/>
                <w:szCs w:val="20"/>
              </w:rPr>
              <w:t xml:space="preserve">Leve a moderada</w:t>
            </w:r>
          </w:p>
        </w:tc>
      </w:tr>
      <w:tr>
        <w:tc>
          <w:tcPr>
            <w:tcW w:type="dxa" w:w="4500"/>
            <w:tcMar>
              <w:top w:type="dxa" w:w="60"/>
              <w:left w:type="dxa" w:w="100"/>
              <w:bottom w:type="dxa" w:w="60"/>
              <w:right w:type="dxa" w:w="100"/>
            </w:tcMar>
          </w:tcPr>
          <w:p>
            <w:r>
              <w:rPr>
                <w:b w:val="false"/>
                <w:bCs w:val="false"/>
                <w:color w:val="000000"/>
                <w:sz w:val="20"/>
                <w:szCs w:val="20"/>
              </w:rPr>
              <w:t xml:space="preserve">IMM</w:t>
            </w:r>
          </w:p>
        </w:tc>
        <w:tc>
          <w:tcPr>
            <w:tcW w:type="dxa" w:w="4500"/>
            <w:tcMar>
              <w:top w:type="dxa" w:w="60"/>
              <w:left w:type="dxa" w:w="100"/>
              <w:bottom w:type="dxa" w:w="60"/>
              <w:right w:type="dxa" w:w="100"/>
            </w:tcMar>
          </w:tcPr>
          <w:p>
            <w:r>
              <w:rPr>
                <w:b w:val="false"/>
                <w:bCs w:val="false"/>
                <w:color w:val="000000"/>
                <w:sz w:val="20"/>
                <w:szCs w:val="20"/>
              </w:rPr>
              <w:t xml:space="preserve">Moderada</w:t>
            </w:r>
          </w:p>
        </w:tc>
      </w:tr>
      <w:tr>
        <w:tc>
          <w:tcPr>
            <w:tcW w:type="dxa" w:w="4500"/>
            <w:tcMar>
              <w:top w:type="dxa" w:w="60"/>
              <w:left w:type="dxa" w:w="100"/>
              <w:bottom w:type="dxa" w:w="60"/>
              <w:right w:type="dxa" w:w="100"/>
            </w:tcMar>
          </w:tcPr>
          <w:p>
            <w:r>
              <w:rPr>
                <w:b w:val="false"/>
                <w:bCs w:val="false"/>
                <w:color w:val="000000"/>
                <w:sz w:val="20"/>
                <w:szCs w:val="20"/>
              </w:rPr>
              <w:t xml:space="preserve">IM3</w:t>
            </w:r>
          </w:p>
        </w:tc>
        <w:tc>
          <w:tcPr>
            <w:tcW w:type="dxa" w:w="4500"/>
            <w:tcMar>
              <w:top w:type="dxa" w:w="60"/>
              <w:left w:type="dxa" w:w="100"/>
              <w:bottom w:type="dxa" w:w="60"/>
              <w:right w:type="dxa" w:w="100"/>
            </w:tcMar>
          </w:tcPr>
          <w:p>
            <w:r>
              <w:rPr>
                <w:b w:val="false"/>
                <w:bCs w:val="false"/>
                <w:color w:val="000000"/>
                <w:sz w:val="20"/>
                <w:szCs w:val="20"/>
              </w:rPr>
              <w:t xml:space="preserve">Moderada a severa</w:t>
            </w:r>
          </w:p>
        </w:tc>
      </w:tr>
      <w:tr>
        <w:tc>
          <w:tcPr>
            <w:tcW w:type="dxa" w:w="4500"/>
            <w:tcMar>
              <w:top w:type="dxa" w:w="60"/>
              <w:left w:type="dxa" w:w="100"/>
              <w:bottom w:type="dxa" w:w="60"/>
              <w:right w:type="dxa" w:w="100"/>
            </w:tcMar>
          </w:tcPr>
          <w:p>
            <w:r>
              <w:rPr>
                <w:b w:val="false"/>
                <w:bCs w:val="false"/>
                <w:color w:val="000000"/>
                <w:sz w:val="20"/>
                <w:szCs w:val="20"/>
              </w:rPr>
              <w:t xml:space="preserve">IM4</w:t>
            </w:r>
          </w:p>
        </w:tc>
        <w:tc>
          <w:tcPr>
            <w:tcW w:type="dxa" w:w="4500"/>
            <w:tcMar>
              <w:top w:type="dxa" w:w="60"/>
              <w:left w:type="dxa" w:w="100"/>
              <w:bottom w:type="dxa" w:w="60"/>
              <w:right w:type="dxa" w:w="100"/>
            </w:tcMar>
          </w:tcPr>
          <w:p>
            <w:r>
              <w:rPr>
                <w:b w:val="false"/>
                <w:bCs w:val="false"/>
                <w:color w:val="000000"/>
                <w:sz w:val="20"/>
                <w:szCs w:val="20"/>
              </w:rPr>
              <w:t xml:space="preserve">Severa</w:t>
            </w:r>
          </w:p>
        </w:tc>
      </w:tr>
    </w:tbl>
    <w:p>
      <w:pPr>
        <w:spacing w:after="120"/>
      </w:pPr>
      <w:r>
        <w:t xml:space="preserve">Conclusión: "Insuficiencia valvular mitral [grado]." Las insuficiencias triviales SIEMPRE aparecen en conclusiones. Se integra con AI/DD si coexisten ("AI + IM → integrar, no dos conclusiones").</w:t>
      </w:r>
    </w:p>
    <w:p>
      <w:pPr>
        <w:spacing w:after="120"/>
      </w:pPr>
      <w:r>
        <w:t xml:space="preserve">Dirección excéntrica: IM# lat (pared lateral de AI), IM# inf (pared inferior), IM# medial / m (pared medial/septal). La dirección se detalla en descripción; en conclusión solo se agrega "excéntrica", sin repetirla.</w:t>
      </w:r>
    </w:p>
    <w:p>
      <w:pPr>
        <w:pStyle w:val="Heading3"/>
        <w:spacing w:after="100" w:before="200"/>
      </w:pPr>
      <w:r>
        <w:t xml:space="preserve">Prolapso mitral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Descripción anatómica</w:t>
            </w:r>
          </w:p>
        </w:tc>
      </w:tr>
      <w:tr>
        <w:tc>
          <w:tcPr>
            <w:tcW w:type="dxa" w:w="4500"/>
            <w:tcMar>
              <w:top w:type="dxa" w:w="60"/>
              <w:left w:type="dxa" w:w="100"/>
              <w:bottom w:type="dxa" w:w="60"/>
              <w:right w:type="dxa" w:w="100"/>
            </w:tcMar>
          </w:tcPr>
          <w:p>
            <w:r>
              <w:rPr>
                <w:b w:val="false"/>
                <w:bCs w:val="false"/>
                <w:color w:val="000000"/>
                <w:sz w:val="20"/>
                <w:szCs w:val="20"/>
              </w:rPr>
              <w:t xml:space="preserve">PM1</w:t>
            </w:r>
          </w:p>
        </w:tc>
        <w:tc>
          <w:tcPr>
            <w:tcW w:type="dxa" w:w="4500"/>
            <w:tcMar>
              <w:top w:type="dxa" w:w="60"/>
              <w:left w:type="dxa" w:w="100"/>
              <w:bottom w:type="dxa" w:w="60"/>
              <w:right w:type="dxa" w:w="100"/>
            </w:tcMar>
          </w:tcPr>
          <w:p>
            <w:r>
              <w:rPr>
                <w:b w:val="false"/>
                <w:bCs w:val="false"/>
                <w:color w:val="000000"/>
                <w:sz w:val="20"/>
                <w:szCs w:val="20"/>
              </w:rPr>
              <w:t xml:space="preserve">Velos normales, adecuada apertura y cierre, que se aproxima al plano valvular del anillo.</w:t>
            </w:r>
          </w:p>
        </w:tc>
      </w:tr>
      <w:tr>
        <w:tc>
          <w:tcPr>
            <w:tcW w:type="dxa" w:w="4500"/>
            <w:tcMar>
              <w:top w:type="dxa" w:w="60"/>
              <w:left w:type="dxa" w:w="100"/>
              <w:bottom w:type="dxa" w:w="60"/>
              <w:right w:type="dxa" w:w="100"/>
            </w:tcMar>
          </w:tcPr>
          <w:p>
            <w:r>
              <w:rPr>
                <w:b w:val="false"/>
                <w:bCs w:val="false"/>
                <w:color w:val="000000"/>
                <w:sz w:val="20"/>
                <w:szCs w:val="20"/>
              </w:rPr>
              <w:t xml:space="preserve">PM2</w:t>
            </w:r>
          </w:p>
        </w:tc>
        <w:tc>
          <w:tcPr>
            <w:tcW w:type="dxa" w:w="4500"/>
            <w:tcMar>
              <w:top w:type="dxa" w:w="60"/>
              <w:left w:type="dxa" w:w="100"/>
              <w:bottom w:type="dxa" w:w="60"/>
              <w:right w:type="dxa" w:w="100"/>
            </w:tcMar>
          </w:tcPr>
          <w:p>
            <w:r>
              <w:rPr>
                <w:b w:val="false"/>
                <w:bCs w:val="false"/>
                <w:color w:val="000000"/>
                <w:sz w:val="20"/>
                <w:szCs w:val="20"/>
              </w:rPr>
              <w:t xml:space="preserve">...que rectifica y alcanza el plano valvular del anillo.</w:t>
            </w:r>
          </w:p>
        </w:tc>
      </w:tr>
      <w:tr>
        <w:tc>
          <w:tcPr>
            <w:tcW w:type="dxa" w:w="4500"/>
            <w:tcMar>
              <w:top w:type="dxa" w:w="60"/>
              <w:left w:type="dxa" w:w="100"/>
              <w:bottom w:type="dxa" w:w="60"/>
              <w:right w:type="dxa" w:w="100"/>
            </w:tcMar>
          </w:tcPr>
          <w:p>
            <w:r>
              <w:rPr>
                <w:b w:val="false"/>
                <w:bCs w:val="false"/>
                <w:color w:val="000000"/>
                <w:sz w:val="20"/>
                <w:szCs w:val="20"/>
              </w:rPr>
              <w:t xml:space="preserve">PM3</w:t>
            </w:r>
          </w:p>
        </w:tc>
        <w:tc>
          <w:tcPr>
            <w:tcW w:type="dxa" w:w="4500"/>
            <w:tcMar>
              <w:top w:type="dxa" w:w="60"/>
              <w:left w:type="dxa" w:w="100"/>
              <w:bottom w:type="dxa" w:w="60"/>
              <w:right w:type="dxa" w:w="100"/>
            </w:tcMar>
          </w:tcPr>
          <w:p>
            <w:r>
              <w:rPr>
                <w:b w:val="false"/>
                <w:bCs w:val="false"/>
                <w:color w:val="000000"/>
                <w:sz w:val="20"/>
                <w:szCs w:val="20"/>
              </w:rPr>
              <w:t xml:space="preserve">...que sobrepasa el plano valvular del anillo hacia la aurícula izquierda.</w:t>
            </w:r>
          </w:p>
        </w:tc>
      </w:tr>
    </w:tbl>
    <w:p>
      <w:pPr>
        <w:spacing w:after="120"/>
      </w:pPr>
      <w:r>
        <w:t xml:space="preserve">Conclusión unificada para los tres grados, sin gradación: "Prolapso valvular mitral." (El código PROL queda retirado del diccionario; PM1/PM2/PM3 son ahora los únicos códigos de prolapso.)</w:t>
      </w:r>
    </w:p>
    <w:p>
      <w:pPr>
        <w:pStyle w:val="Heading3"/>
        <w:spacing w:after="100" w:before="200"/>
      </w:pPr>
      <w:r>
        <w:t xml:space="preserve">Estenosis mitral</w:t>
      </w:r>
    </w:p>
    <w:p>
      <w:pPr>
        <w:spacing w:after="120"/>
      </w:pPr>
      <w:r>
        <w:t xml:space="preserve">SM describe únicamente la limitación de apertura ("Válvula mitral con limitación para su apertura"); DOMO indica apertura en domo del velo anterior (típica de estenosis reumática). La severidad se determina siempre por el AVM (área valvular mitral), no por sufijo en 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AVM (cm²)</w:t>
            </w:r>
          </w:p>
        </w:tc>
        <w:tc>
          <w:tcPr>
            <w:tcW w:type="dxa" w:w="4500"/>
            <w:shd w:fill="1F4E79" w:val="clear"/>
            <w:tcMar>
              <w:top w:type="dxa" w:w="60"/>
              <w:left w:type="dxa" w:w="100"/>
              <w:bottom w:type="dxa" w:w="60"/>
              <w:right w:type="dxa" w:w="100"/>
            </w:tcMar>
          </w:tcPr>
          <w:p>
            <w:r>
              <w:rPr>
                <w:b/>
                <w:bCs/>
                <w:color w:val="FFFFFF"/>
                <w:sz w:val="20"/>
                <w:szCs w:val="20"/>
              </w:rPr>
              <w:t xml:space="preserve">Interpretación</w:t>
            </w:r>
          </w:p>
        </w:tc>
      </w:tr>
      <w:tr>
        <w:tc>
          <w:tcPr>
            <w:tcW w:type="dxa" w:w="4500"/>
            <w:tcMar>
              <w:top w:type="dxa" w:w="60"/>
              <w:left w:type="dxa" w:w="100"/>
              <w:bottom w:type="dxa" w:w="60"/>
              <w:right w:type="dxa" w:w="100"/>
            </w:tcMar>
          </w:tcPr>
          <w:p>
            <w:r>
              <w:rPr>
                <w:b w:val="false"/>
                <w:bCs w:val="false"/>
                <w:color w:val="000000"/>
                <w:sz w:val="20"/>
                <w:szCs w:val="20"/>
              </w:rPr>
              <w:t xml:space="preserve">4 – 6</w:t>
            </w:r>
          </w:p>
        </w:tc>
        <w:tc>
          <w:tcPr>
            <w:tcW w:type="dxa" w:w="4500"/>
            <w:tcMar>
              <w:top w:type="dxa" w:w="60"/>
              <w:left w:type="dxa" w:w="100"/>
              <w:bottom w:type="dxa" w:w="60"/>
              <w:right w:type="dxa" w:w="100"/>
            </w:tcMar>
          </w:tcPr>
          <w:p>
            <w:r>
              <w:rPr>
                <w:b w:val="false"/>
                <w:bCs w:val="false"/>
                <w:color w:val="000000"/>
                <w:sz w:val="20"/>
                <w:szCs w:val="20"/>
              </w:rPr>
              <w:t xml:space="preserve">Normal (no se menciona estenosis)</w:t>
            </w:r>
          </w:p>
        </w:tc>
      </w:tr>
      <w:tr>
        <w:tc>
          <w:tcPr>
            <w:tcW w:type="dxa" w:w="4500"/>
            <w:tcMar>
              <w:top w:type="dxa" w:w="60"/>
              <w:left w:type="dxa" w:w="100"/>
              <w:bottom w:type="dxa" w:w="60"/>
              <w:right w:type="dxa" w:w="100"/>
            </w:tcMar>
          </w:tcPr>
          <w:p>
            <w:r>
              <w:rPr>
                <w:b w:val="false"/>
                <w:bCs w:val="false"/>
                <w:color w:val="000000"/>
                <w:sz w:val="20"/>
                <w:szCs w:val="20"/>
              </w:rPr>
              <w:t xml:space="preserve">&gt; 1.5</w:t>
            </w:r>
          </w:p>
        </w:tc>
        <w:tc>
          <w:tcPr>
            <w:tcW w:type="dxa" w:w="4500"/>
            <w:tcMar>
              <w:top w:type="dxa" w:w="60"/>
              <w:left w:type="dxa" w:w="100"/>
              <w:bottom w:type="dxa" w:w="60"/>
              <w:right w:type="dxa" w:w="100"/>
            </w:tcMar>
          </w:tcPr>
          <w:p>
            <w:r>
              <w:rPr>
                <w:b w:val="false"/>
                <w:bCs w:val="false"/>
                <w:color w:val="000000"/>
                <w:sz w:val="20"/>
                <w:szCs w:val="20"/>
              </w:rPr>
              <w:t xml:space="preserve">Estenosis leve</w:t>
            </w:r>
          </w:p>
        </w:tc>
      </w:tr>
      <w:tr>
        <w:tc>
          <w:tcPr>
            <w:tcW w:type="dxa" w:w="4500"/>
            <w:tcMar>
              <w:top w:type="dxa" w:w="60"/>
              <w:left w:type="dxa" w:w="100"/>
              <w:bottom w:type="dxa" w:w="60"/>
              <w:right w:type="dxa" w:w="100"/>
            </w:tcMar>
          </w:tcPr>
          <w:p>
            <w:r>
              <w:rPr>
                <w:b w:val="false"/>
                <w:bCs w:val="false"/>
                <w:color w:val="000000"/>
                <w:sz w:val="20"/>
                <w:szCs w:val="20"/>
              </w:rPr>
              <w:t xml:space="preserve">1.0 – 1.5</w:t>
            </w:r>
          </w:p>
        </w:tc>
        <w:tc>
          <w:tcPr>
            <w:tcW w:type="dxa" w:w="4500"/>
            <w:tcMar>
              <w:top w:type="dxa" w:w="60"/>
              <w:left w:type="dxa" w:w="100"/>
              <w:bottom w:type="dxa" w:w="60"/>
              <w:right w:type="dxa" w:w="100"/>
            </w:tcMar>
          </w:tcPr>
          <w:p>
            <w:r>
              <w:rPr>
                <w:b w:val="false"/>
                <w:bCs w:val="false"/>
                <w:color w:val="000000"/>
                <w:sz w:val="20"/>
                <w:szCs w:val="20"/>
              </w:rPr>
              <w:t xml:space="preserve">Estenosis moderada</w:t>
            </w:r>
          </w:p>
        </w:tc>
      </w:tr>
      <w:tr>
        <w:tc>
          <w:tcPr>
            <w:tcW w:type="dxa" w:w="4500"/>
            <w:tcMar>
              <w:top w:type="dxa" w:w="60"/>
              <w:left w:type="dxa" w:w="100"/>
              <w:bottom w:type="dxa" w:w="60"/>
              <w:right w:type="dxa" w:w="100"/>
            </w:tcMar>
          </w:tcPr>
          <w:p>
            <w:r>
              <w:rPr>
                <w:b w:val="false"/>
                <w:bCs w:val="false"/>
                <w:color w:val="000000"/>
                <w:sz w:val="20"/>
                <w:szCs w:val="20"/>
              </w:rPr>
              <w:t xml:space="preserve">&lt; 1.0</w:t>
            </w:r>
          </w:p>
        </w:tc>
        <w:tc>
          <w:tcPr>
            <w:tcW w:type="dxa" w:w="4500"/>
            <w:tcMar>
              <w:top w:type="dxa" w:w="60"/>
              <w:left w:type="dxa" w:w="100"/>
              <w:bottom w:type="dxa" w:w="60"/>
              <w:right w:type="dxa" w:w="100"/>
            </w:tcMar>
          </w:tcPr>
          <w:p>
            <w:r>
              <w:rPr>
                <w:b w:val="false"/>
                <w:bCs w:val="false"/>
                <w:color w:val="000000"/>
                <w:sz w:val="20"/>
                <w:szCs w:val="20"/>
              </w:rPr>
              <w:t xml:space="preserve">Estenosis severa</w:t>
            </w:r>
          </w:p>
        </w:tc>
      </w:tr>
    </w:tbl>
    <w:p>
      <w:pPr>
        <w:spacing w:after="120"/>
      </w:pPr>
      <w:r>
        <w:t xml:space="preserve">Fuente: ACC/AHA, ESC/EACTS. Si se dicta SM sin AVM, el sistema describe la limitación de apertura pero NO concluye severidad de estenosis (dato insuficiente).</w:t>
      </w:r>
    </w:p>
    <w:p>
      <w:pPr>
        <w:pStyle w:val="Heading3"/>
        <w:spacing w:after="100" w:before="200"/>
      </w:pPr>
      <w:r>
        <w:t xml:space="preserve">Prótesis mitral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
              <w:t>PVMM / PVMB</w:t>
            </w:r>
          </w:p>
        </w:tc>
        <w:tc>
          <w:tcPr>
            <w:tcW w:type="dxa" w:w="4500"/>
            <w:tcMar>
              <w:top w:type="dxa" w:w="60"/>
              <w:left w:type="dxa" w:w="100"/>
              <w:bottom w:type="dxa" w:w="60"/>
              <w:right w:type="dxa" w:w="100"/>
            </w:tcMar>
          </w:tcPr>
          <w:p>
            <w:r/>
            <w:r>
              <w:t>Prótesis Valvular Mitral Mecánica / Biológica (nomenclatura estandarizada: P+V+A/M+M/B). Conclusión: "Prótesis valvular mitral normofuncionante" cuando el mecanismo oclusor es funcionante.</w:t>
            </w:r>
          </w:p>
        </w:tc>
      </w:tr>
    </w:tbl>
    <w:p>
      <w:pPr>
        <w:pStyle w:val="Heading2"/>
        <w:spacing w:after="150" w:before="300"/>
      </w:pPr>
      <w:r>
        <w:t xml:space="preserve">2.9 Válvula aórtica</w:t>
      </w:r>
    </w:p>
    <w:p>
      <w:pPr>
        <w:pStyle w:val="Heading3"/>
        <w:spacing w:after="100" w:before="200"/>
      </w:pPr>
      <w:r>
        <w:t xml:space="preserve">Morfología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c>
          <w:tcPr>
            <w:tcW w:type="dxa" w:w="1600"/>
            <w:shd w:fill="1F4E79" w:val="clear"/>
            <w:tcMar>
              <w:top w:type="dxa" w:w="60"/>
              <w:left w:type="dxa" w:w="100"/>
              <w:bottom w:type="dxa" w:w="60"/>
              <w:right w:type="dxa" w:w="100"/>
            </w:tcMar>
          </w:tcPr>
          <w:p>
            <w:r>
              <w:rPr>
                <w:b/>
                <w:bCs/>
                <w:color w:val="FFFFFF"/>
                <w:sz w:val="20"/>
                <w:szCs w:val="20"/>
              </w:rPr>
              <w:t xml:space="preserve">Código</w:t>
            </w:r>
          </w:p>
        </w:tc>
        <w:tc>
          <w:tcPr>
            <w:tcW w:type="dxa" w:w="4400"/>
            <w:shd w:fill="1F4E79" w:val="clear"/>
            <w:tcMar>
              <w:top w:type="dxa" w:w="60"/>
              <w:left w:type="dxa" w:w="100"/>
              <w:bottom w:type="dxa" w:w="60"/>
              <w:right w:type="dxa" w:w="100"/>
            </w:tcMar>
          </w:tcPr>
          <w:p>
            <w:r>
              <w:rPr>
                <w:b/>
                <w:bCs/>
                <w:color w:val="FFFFFF"/>
                <w:sz w:val="20"/>
                <w:szCs w:val="20"/>
              </w:rPr>
              <w:t xml:space="preserve">Descripción</w:t>
            </w:r>
          </w:p>
        </w:tc>
        <w:tc>
          <w:tcPr>
            <w:tcW w:type="dxa" w:w="3600"/>
            <w:shd w:fill="1F4E79" w:val="clear"/>
            <w:tcMar>
              <w:top w:type="dxa" w:w="60"/>
              <w:left w:type="dxa" w:w="100"/>
              <w:bottom w:type="dxa" w:w="60"/>
              <w:right w:type="dxa" w:w="100"/>
            </w:tcMar>
          </w:tcPr>
          <w:p>
            <w:r>
              <w:rPr>
                <w:b/>
                <w:bCs/>
                <w:color w:val="FFFFFF"/>
                <w:sz w:val="20"/>
                <w:szCs w:val="20"/>
              </w:rPr>
              <w:t xml:space="preserve">Conclusión</w:t>
            </w:r>
          </w:p>
        </w:tc>
      </w:tr>
      <w:tr>
        <w:tc>
          <w:tcPr>
            <w:tcW w:type="dxa" w:w="1600"/>
            <w:tcMar>
              <w:top w:type="dxa" w:w="60"/>
              <w:left w:type="dxa" w:w="100"/>
              <w:bottom w:type="dxa" w:w="60"/>
              <w:right w:type="dxa" w:w="100"/>
            </w:tcMar>
          </w:tcPr>
          <w:p>
            <w:r>
              <w:rPr>
                <w:b w:val="false"/>
                <w:bCs w:val="false"/>
                <w:color w:val="000000"/>
                <w:sz w:val="20"/>
                <w:szCs w:val="20"/>
              </w:rPr>
              <w:t xml:space="preserve">EA</w:t>
            </w:r>
          </w:p>
        </w:tc>
        <w:tc>
          <w:tcPr>
            <w:tcW w:type="dxa" w:w="4400"/>
            <w:tcMar>
              <w:top w:type="dxa" w:w="60"/>
              <w:left w:type="dxa" w:w="100"/>
              <w:bottom w:type="dxa" w:w="60"/>
              <w:right w:type="dxa" w:w="100"/>
            </w:tcMar>
          </w:tcPr>
          <w:p>
            <w:r>
              <w:rPr>
                <w:b w:val="false"/>
                <w:bCs w:val="false"/>
                <w:color w:val="000000"/>
                <w:sz w:val="20"/>
                <w:szCs w:val="20"/>
              </w:rPr>
              <w:t xml:space="preserve">Esclerosis valvular aórtica</w:t>
            </w:r>
          </w:p>
        </w:tc>
        <w:tc>
          <w:tcPr>
            <w:tcW w:type="dxa" w:w="3600"/>
            <w:tcMar>
              <w:top w:type="dxa" w:w="60"/>
              <w:left w:type="dxa" w:w="100"/>
              <w:bottom w:type="dxa" w:w="60"/>
              <w:right w:type="dxa" w:w="100"/>
            </w:tcMar>
          </w:tcPr>
          <w:p>
            <w:r>
              <w:rPr>
                <w:b w:val="false"/>
                <w:bCs w:val="false"/>
                <w:color w:val="000000"/>
                <w:sz w:val="20"/>
                <w:szCs w:val="20"/>
              </w:rPr>
              <w:t xml:space="preserve">"Esclerosis valvular aórtica" (+ insuficiencia si coexiste)</w:t>
            </w:r>
          </w:p>
        </w:tc>
      </w:tr>
      <w:tr>
        <w:tc>
          <w:tcPr>
            <w:tcW w:type="dxa" w:w="1600"/>
            <w:tcMar>
              <w:top w:type="dxa" w:w="60"/>
              <w:left w:type="dxa" w:w="100"/>
              <w:bottom w:type="dxa" w:w="60"/>
              <w:right w:type="dxa" w:w="100"/>
            </w:tcMar>
          </w:tcPr>
          <w:p>
            <w:r>
              <w:rPr>
                <w:b w:val="false"/>
                <w:bCs w:val="false"/>
                <w:color w:val="000000"/>
                <w:sz w:val="20"/>
                <w:szCs w:val="20"/>
              </w:rPr>
              <w:t xml:space="preserve">EAB</w:t>
            </w:r>
          </w:p>
        </w:tc>
        <w:tc>
          <w:tcPr>
            <w:tcW w:type="dxa" w:w="4400"/>
            <w:tcMar>
              <w:top w:type="dxa" w:w="60"/>
              <w:left w:type="dxa" w:w="100"/>
              <w:bottom w:type="dxa" w:w="60"/>
              <w:right w:type="dxa" w:w="100"/>
            </w:tcMar>
          </w:tcPr>
          <w:p>
            <w:r>
              <w:rPr>
                <w:b w:val="false"/>
                <w:bCs w:val="false"/>
                <w:color w:val="000000"/>
                <w:sz w:val="20"/>
                <w:szCs w:val="20"/>
              </w:rPr>
              <w:t xml:space="preserve">Esclerosis con engrosamiento del borde de sus hojuelas</w:t>
            </w:r>
          </w:p>
        </w:tc>
        <w:tc>
          <w:tcPr>
            <w:tcW w:type="dxa" w:w="3600"/>
            <w:tcMar>
              <w:top w:type="dxa" w:w="60"/>
              <w:left w:type="dxa" w:w="100"/>
              <w:bottom w:type="dxa" w:w="60"/>
              <w:right w:type="dxa" w:w="100"/>
            </w:tcMar>
          </w:tcPr>
          <w:p>
            <w:r>
              <w:rPr>
                <w:b w:val="false"/>
                <w:bCs w:val="false"/>
                <w:color w:val="000000"/>
                <w:sz w:val="20"/>
                <w:szCs w:val="20"/>
              </w:rPr>
              <w:t xml:space="preserve">"Esclerosis y leve engrosamiento valvular aórtico" (+ insuficiencia)</w:t>
            </w:r>
          </w:p>
        </w:tc>
      </w:tr>
      <w:tr>
        <w:tc>
          <w:tcPr>
            <w:tcW w:type="dxa" w:w="1600"/>
            <w:tcMar>
              <w:top w:type="dxa" w:w="60"/>
              <w:left w:type="dxa" w:w="100"/>
              <w:bottom w:type="dxa" w:w="60"/>
              <w:right w:type="dxa" w:w="100"/>
            </w:tcMar>
          </w:tcPr>
          <w:p>
            <w:r>
              <w:rPr>
                <w:b w:val="false"/>
                <w:bCs w:val="false"/>
                <w:color w:val="000000"/>
                <w:sz w:val="20"/>
                <w:szCs w:val="20"/>
              </w:rPr>
              <w:t xml:space="preserve">EA..</w:t>
            </w:r>
          </w:p>
        </w:tc>
        <w:tc>
          <w:tcPr>
            <w:tcW w:type="dxa" w:w="4400"/>
            <w:tcMar>
              <w:top w:type="dxa" w:w="60"/>
              <w:left w:type="dxa" w:w="100"/>
              <w:bottom w:type="dxa" w:w="60"/>
              <w:right w:type="dxa" w:w="100"/>
            </w:tcMar>
          </w:tcPr>
          <w:p>
            <w:r>
              <w:rPr>
                <w:b w:val="false"/>
                <w:bCs w:val="false"/>
                <w:color w:val="000000"/>
                <w:sz w:val="20"/>
                <w:szCs w:val="20"/>
              </w:rPr>
              <w:t xml:space="preserve">Esclerosis con puntos de calcio</w:t>
            </w:r>
          </w:p>
        </w:tc>
        <w:tc>
          <w:tcPr>
            <w:tcW w:type="dxa" w:w="3600"/>
            <w:tcMar>
              <w:top w:type="dxa" w:w="60"/>
              <w:left w:type="dxa" w:w="100"/>
              <w:bottom w:type="dxa" w:w="60"/>
              <w:right w:type="dxa" w:w="100"/>
            </w:tcMar>
          </w:tcPr>
          <w:p>
            <w:r>
              <w:rPr>
                <w:b w:val="false"/>
                <w:bCs w:val="false"/>
                <w:color w:val="000000"/>
                <w:sz w:val="20"/>
                <w:szCs w:val="20"/>
              </w:rPr>
              <w:t xml:space="preserve">"Esclerosis valvular aórtica con calcificación puntiforme" (+ insuficiencia)</w:t>
            </w:r>
          </w:p>
        </w:tc>
      </w:tr>
      <w:tr>
        <w:tc>
          <w:tcPr>
            <w:tcW w:type="dxa" w:w="1600"/>
            <w:tcMar>
              <w:top w:type="dxa" w:w="60"/>
              <w:left w:type="dxa" w:w="100"/>
              <w:bottom w:type="dxa" w:w="60"/>
              <w:right w:type="dxa" w:w="100"/>
            </w:tcMar>
          </w:tcPr>
          <w:p>
            <w:r>
              <w:rPr>
                <w:b w:val="false"/>
                <w:bCs w:val="false"/>
                <w:color w:val="000000"/>
                <w:sz w:val="20"/>
                <w:szCs w:val="20"/>
              </w:rPr>
              <w:t xml:space="preserve">CAB</w:t>
            </w:r>
          </w:p>
        </w:tc>
        <w:tc>
          <w:tcPr>
            <w:tcW w:type="dxa" w:w="4400"/>
            <w:tcMar>
              <w:top w:type="dxa" w:w="60"/>
              <w:left w:type="dxa" w:w="100"/>
              <w:bottom w:type="dxa" w:w="60"/>
              <w:right w:type="dxa" w:w="100"/>
            </w:tcMar>
          </w:tcPr>
          <w:p>
            <w:r>
              <w:rPr>
                <w:b w:val="false"/>
                <w:bCs w:val="false"/>
                <w:color w:val="000000"/>
                <w:sz w:val="20"/>
                <w:szCs w:val="20"/>
              </w:rPr>
              <w:t xml:space="preserve">Esclerosis con calcificación del borde de sus hojuelas</w:t>
            </w:r>
          </w:p>
        </w:tc>
        <w:tc>
          <w:tcPr>
            <w:tcW w:type="dxa" w:w="3600"/>
            <w:tcMar>
              <w:top w:type="dxa" w:w="60"/>
              <w:left w:type="dxa" w:w="100"/>
              <w:bottom w:type="dxa" w:w="60"/>
              <w:right w:type="dxa" w:w="100"/>
            </w:tcMar>
          </w:tcPr>
          <w:p>
            <w:r>
              <w:rPr>
                <w:b w:val="false"/>
                <w:bCs w:val="false"/>
                <w:color w:val="000000"/>
                <w:sz w:val="20"/>
                <w:szCs w:val="20"/>
              </w:rPr>
              <w:t xml:space="preserve">"Esclerosis y calcificación del borde valvular aórtico" (+ insuficiencia)</w:t>
            </w:r>
          </w:p>
        </w:tc>
      </w:tr>
      <w:tr>
        <w:tc>
          <w:tcPr>
            <w:tcW w:type="dxa" w:w="1600"/>
            <w:tcMar>
              <w:top w:type="dxa" w:w="60"/>
              <w:left w:type="dxa" w:w="100"/>
              <w:bottom w:type="dxa" w:w="60"/>
              <w:right w:type="dxa" w:w="100"/>
            </w:tcMar>
          </w:tcPr>
          <w:p>
            <w:r>
              <w:rPr>
                <w:b w:val="false"/>
                <w:bCs w:val="false"/>
                <w:color w:val="000000"/>
                <w:sz w:val="20"/>
                <w:szCs w:val="20"/>
              </w:rPr>
              <w:t xml:space="preserve">CA↑</w:t>
            </w:r>
          </w:p>
        </w:tc>
        <w:tc>
          <w:tcPr>
            <w:tcW w:type="dxa" w:w="4400"/>
            <w:tcMar>
              <w:top w:type="dxa" w:w="60"/>
              <w:left w:type="dxa" w:w="100"/>
              <w:bottom w:type="dxa" w:w="60"/>
              <w:right w:type="dxa" w:w="100"/>
            </w:tcMar>
          </w:tcPr>
          <w:p>
            <w:r>
              <w:rPr>
                <w:b w:val="false"/>
                <w:bCs w:val="false"/>
                <w:color w:val="000000"/>
                <w:sz w:val="20"/>
                <w:szCs w:val="20"/>
              </w:rPr>
              <w:t xml:space="preserve">Engrosamiento, esclerosis y calcificación (difuso)</w:t>
            </w:r>
          </w:p>
        </w:tc>
        <w:tc>
          <w:tcPr>
            <w:tcW w:type="dxa" w:w="3600"/>
            <w:tcMar>
              <w:top w:type="dxa" w:w="60"/>
              <w:left w:type="dxa" w:w="100"/>
              <w:bottom w:type="dxa" w:w="60"/>
              <w:right w:type="dxa" w:w="100"/>
            </w:tcMar>
          </w:tcPr>
          <w:p>
            <w:r>
              <w:rPr>
                <w:b w:val="false"/>
                <w:bCs w:val="false"/>
                <w:color w:val="000000"/>
                <w:sz w:val="20"/>
                <w:szCs w:val="20"/>
              </w:rPr>
              <w:t xml:space="preserve">"Esclerosis, engrosamiento y calcificación valvular aórtica" (+ insuficiencia)</w:t>
            </w:r>
          </w:p>
        </w:tc>
      </w:tr>
      <w:tr>
        <w:tc>
          <w:tcPr>
            <w:tcW w:type="dxa" w:w="1600"/>
            <w:tcMar>
              <w:top w:type="dxa" w:w="60"/>
              <w:left w:type="dxa" w:w="100"/>
              <w:bottom w:type="dxa" w:w="60"/>
              <w:right w:type="dxa" w:w="100"/>
            </w:tcMar>
          </w:tcPr>
          <w:p>
            <w:r>
              <w:rPr>
                <w:b w:val="false"/>
                <w:bCs w:val="false"/>
                <w:color w:val="000000"/>
                <w:sz w:val="20"/>
                <w:szCs w:val="20"/>
              </w:rPr>
              <w:t xml:space="preserve">ANILLO</w:t>
            </w:r>
          </w:p>
        </w:tc>
        <w:tc>
          <w:tcPr>
            <w:tcW w:type="dxa" w:w="4400"/>
            <w:tcMar>
              <w:top w:type="dxa" w:w="60"/>
              <w:left w:type="dxa" w:w="100"/>
              <w:bottom w:type="dxa" w:w="60"/>
              <w:right w:type="dxa" w:w="100"/>
            </w:tcMar>
          </w:tcPr>
          <w:p>
            <w:r>
              <w:rPr>
                <w:b w:val="false"/>
                <w:bCs w:val="false"/>
                <w:color w:val="000000"/>
                <w:sz w:val="20"/>
                <w:szCs w:val="20"/>
              </w:rPr>
              <w:t xml:space="preserve">Calcio en el anillo valvular (mitral o aórtico, según válvula que se esté describiendo)</w:t>
            </w:r>
          </w:p>
        </w:tc>
        <w:tc>
          <w:tcPr>
            <w:tcW w:type="dxa" w:w="3600"/>
            <w:tcMar>
              <w:top w:type="dxa" w:w="60"/>
              <w:left w:type="dxa" w:w="100"/>
              <w:bottom w:type="dxa" w:w="60"/>
              <w:right w:type="dxa" w:w="100"/>
            </w:tcMar>
          </w:tcPr>
          <w:p>
            <w:r>
              <w:rPr>
                <w:b w:val="false"/>
                <w:bCs w:val="false"/>
                <w:color w:val="000000"/>
                <w:sz w:val="20"/>
                <w:szCs w:val="20"/>
              </w:rPr>
              <w:t xml:space="preserve">"...con [leve] calcio en su anillo" (se integra a la conclusión de esa válvula). Código recuperado del diccionario original de eco_4.</w:t>
            </w:r>
          </w:p>
        </w:tc>
      </w:tr>
    </w:tbl>
    <w:p>
      <w:pPr>
        <w:pStyle w:val="Heading3"/>
        <w:spacing w:after="100" w:before="200"/>
      </w:pPr>
      <w:r>
        <w:t xml:space="preserve">Insuficiencia (regurgitación)</w:t>
      </w:r>
    </w:p>
    <w:p>
      <w:pPr>
        <w:spacing w:after="120"/>
      </w:pPr>
      <w:r>
        <w:t xml:space="preserve">Misma escala de severidad que la mitral: IA (leve), IA2 (leve-moderada), IAM (moderada), IA3 (moderada-severa), IA4 (severa). Conclusión: "Insuficiencia valvular aórtica [grado]."</w:t>
      </w:r>
    </w:p>
    <w:p>
      <w:pPr>
        <w:spacing w:after="120"/>
      </w:pPr>
      <w:r>
        <w:t xml:space="preserve">Dirección excéntrica: IA exc sep (hacia el septum interventricular), IA exc EM / IA exc m / IA ex mit (hacia el velo anterior mitral — sinónimos). COANDA = jet excéntrico con efecto Coanda. En conclusión solo se agrega "excéntrica", sin repetir dirección.</w:t>
      </w:r>
    </w:p>
    <w:p>
      <w:pPr>
        <w:pStyle w:val="Heading3"/>
        <w:spacing w:after="100" w:before="200"/>
      </w:pPr>
      <w:r>
        <w:t xml:space="preserve">Estenosis aórtica</w:t>
      </w:r>
    </w:p>
    <w:p>
      <w:pPr>
        <w:spacing w:after="120"/>
      </w:pPr>
      <w:r>
        <w:t xml:space="preserve">SA describe la limitación de apertura. La severidad se basa primero en el gradiente medio; si solo hay gradiente pico disponible, se usa su corte equivalente; el AVA confirma/complementa.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1F4E79" w:val="clear"/>
            <w:tcMar>
              <w:top w:type="dxa" w:w="60"/>
              <w:left w:type="dxa" w:w="100"/>
              <w:bottom w:type="dxa" w:w="60"/>
              <w:right w:type="dxa" w:w="100"/>
            </w:tcMar>
          </w:tcPr>
          <w:p>
            <w:r>
              <w:rPr>
                <w:b/>
                <w:bCs/>
                <w:color w:val="FFFFFF"/>
                <w:sz w:val="20"/>
                <w:szCs w:val="20"/>
              </w:rPr>
              <w:t xml:space="preserve">Parámetro</w:t>
            </w:r>
          </w:p>
        </w:tc>
        <w:tc>
          <w:tcPr>
            <w:tcW w:type="dxa" w:w="2000"/>
            <w:shd w:fill="1F4E79" w:val="clear"/>
            <w:tcMar>
              <w:top w:type="dxa" w:w="60"/>
              <w:left w:type="dxa" w:w="100"/>
              <w:bottom w:type="dxa" w:w="60"/>
              <w:right w:type="dxa" w:w="100"/>
            </w:tcMar>
          </w:tcPr>
          <w:p>
            <w:r>
              <w:rPr>
                <w:b/>
                <w:bCs/>
                <w:color w:val="FFFFFF"/>
                <w:sz w:val="20"/>
                <w:szCs w:val="20"/>
              </w:rPr>
              <w:t xml:space="preserve">Leve</w:t>
            </w:r>
          </w:p>
        </w:tc>
        <w:tc>
          <w:tcPr>
            <w:tcW w:type="dxa" w:w="2000"/>
            <w:shd w:fill="1F4E79" w:val="clear"/>
            <w:tcMar>
              <w:top w:type="dxa" w:w="60"/>
              <w:left w:type="dxa" w:w="100"/>
              <w:bottom w:type="dxa" w:w="60"/>
              <w:right w:type="dxa" w:w="100"/>
            </w:tcMar>
          </w:tcPr>
          <w:p>
            <w:r>
              <w:rPr>
                <w:b/>
                <w:bCs/>
                <w:color w:val="FFFFFF"/>
                <w:sz w:val="20"/>
                <w:szCs w:val="20"/>
              </w:rPr>
              <w:t xml:space="preserve">Moderada</w:t>
            </w:r>
          </w:p>
        </w:tc>
        <w:tc>
          <w:tcPr>
            <w:tcW w:type="dxa" w:w="2000"/>
            <w:shd w:fill="1F4E79" w:val="clear"/>
            <w:tcMar>
              <w:top w:type="dxa" w:w="60"/>
              <w:left w:type="dxa" w:w="100"/>
              <w:bottom w:type="dxa" w:w="60"/>
              <w:right w:type="dxa" w:w="100"/>
            </w:tcMar>
          </w:tcPr>
          <w:p>
            <w:r>
              <w:rPr>
                <w:b/>
                <w:bCs/>
                <w:color w:val="FFFFFF"/>
                <w:sz w:val="20"/>
                <w:szCs w:val="20"/>
              </w:rPr>
              <w:t xml:space="preserve">Severa</w:t>
            </w:r>
          </w:p>
        </w:tc>
      </w:tr>
      <w:tr>
        <w:tc>
          <w:tcPr>
            <w:tcW w:type="dxa" w:w="3000"/>
            <w:tcMar>
              <w:top w:type="dxa" w:w="60"/>
              <w:left w:type="dxa" w:w="100"/>
              <w:bottom w:type="dxa" w:w="60"/>
              <w:right w:type="dxa" w:w="100"/>
            </w:tcMar>
          </w:tcPr>
          <w:p>
            <w:r>
              <w:rPr>
                <w:b w:val="false"/>
                <w:bCs w:val="false"/>
                <w:color w:val="000000"/>
                <w:sz w:val="20"/>
                <w:szCs w:val="20"/>
              </w:rPr>
              <w:t xml:space="preserve">Gradiente medio (mmHg) — prioritario</w:t>
            </w:r>
          </w:p>
        </w:tc>
        <w:tc>
          <w:tcPr>
            <w:tcW w:type="dxa" w:w="2000"/>
            <w:tcMar>
              <w:top w:type="dxa" w:w="60"/>
              <w:left w:type="dxa" w:w="100"/>
              <w:bottom w:type="dxa" w:w="60"/>
              <w:right w:type="dxa" w:w="100"/>
            </w:tcMar>
          </w:tcPr>
          <w:p>
            <w:r>
              <w:rPr>
                <w:b w:val="false"/>
                <w:bCs w:val="false"/>
                <w:color w:val="000000"/>
                <w:sz w:val="20"/>
                <w:szCs w:val="20"/>
              </w:rPr>
              <w:t xml:space="preserve">&lt; 20</w:t>
            </w:r>
          </w:p>
        </w:tc>
        <w:tc>
          <w:tcPr>
            <w:tcW w:type="dxa" w:w="2000"/>
            <w:tcMar>
              <w:top w:type="dxa" w:w="60"/>
              <w:left w:type="dxa" w:w="100"/>
              <w:bottom w:type="dxa" w:w="60"/>
              <w:right w:type="dxa" w:w="100"/>
            </w:tcMar>
          </w:tcPr>
          <w:p>
            <w:r>
              <w:rPr>
                <w:b w:val="false"/>
                <w:bCs w:val="false"/>
                <w:color w:val="000000"/>
                <w:sz w:val="20"/>
                <w:szCs w:val="20"/>
              </w:rPr>
              <w:t xml:space="preserve">20 – 39</w:t>
            </w:r>
          </w:p>
        </w:tc>
        <w:tc>
          <w:tcPr>
            <w:tcW w:type="dxa" w:w="2000"/>
            <w:tcMar>
              <w:top w:type="dxa" w:w="60"/>
              <w:left w:type="dxa" w:w="100"/>
              <w:bottom w:type="dxa" w:w="60"/>
              <w:right w:type="dxa" w:w="100"/>
            </w:tcMar>
          </w:tcPr>
          <w:p>
            <w:r>
              <w:rPr>
                <w:b w:val="false"/>
                <w:bCs w:val="false"/>
                <w:color w:val="000000"/>
                <w:sz w:val="20"/>
                <w:szCs w:val="20"/>
              </w:rPr>
              <w:t xml:space="preserve">≥ 40</w:t>
            </w:r>
          </w:p>
        </w:tc>
      </w:tr>
      <w:tr>
        <w:tc>
          <w:tcPr>
            <w:tcW w:type="dxa" w:w="3000"/>
            <w:tcMar>
              <w:top w:type="dxa" w:w="60"/>
              <w:left w:type="dxa" w:w="100"/>
              <w:bottom w:type="dxa" w:w="60"/>
              <w:right w:type="dxa" w:w="100"/>
            </w:tcMar>
          </w:tcPr>
          <w:p>
            <w:r>
              <w:rPr>
                <w:b w:val="false"/>
                <w:bCs w:val="false"/>
                <w:color w:val="000000"/>
                <w:sz w:val="20"/>
                <w:szCs w:val="20"/>
              </w:rPr>
              <w:t xml:space="preserve">Gradiente pico solo (mmHg), sin medio</w:t>
            </w:r>
          </w:p>
        </w:tc>
        <w:tc>
          <w:tcPr>
            <w:tcW w:type="dxa" w:w="2000"/>
            <w:tcMar>
              <w:top w:type="dxa" w:w="60"/>
              <w:left w:type="dxa" w:w="100"/>
              <w:bottom w:type="dxa" w:w="60"/>
              <w:right w:type="dxa" w:w="100"/>
            </w:tcMar>
          </w:tcPr>
          <w:p>
            <w:r>
              <w:rPr>
                <w:b w:val="false"/>
                <w:bCs w:val="false"/>
                <w:color w:val="000000"/>
                <w:sz w:val="20"/>
                <w:szCs w:val="20"/>
              </w:rPr>
              <w:t xml:space="preserve">&lt; 34</w:t>
            </w:r>
          </w:p>
        </w:tc>
        <w:tc>
          <w:tcPr>
            <w:tcW w:type="dxa" w:w="2000"/>
            <w:tcMar>
              <w:top w:type="dxa" w:w="60"/>
              <w:left w:type="dxa" w:w="100"/>
              <w:bottom w:type="dxa" w:w="60"/>
              <w:right w:type="dxa" w:w="100"/>
            </w:tcMar>
          </w:tcPr>
          <w:p>
            <w:r>
              <w:rPr>
                <w:b w:val="false"/>
                <w:bCs w:val="false"/>
                <w:color w:val="000000"/>
                <w:sz w:val="20"/>
                <w:szCs w:val="20"/>
              </w:rPr>
              <w:t xml:space="preserve">34 – 64</w:t>
            </w:r>
          </w:p>
        </w:tc>
        <w:tc>
          <w:tcPr>
            <w:tcW w:type="dxa" w:w="2000"/>
            <w:tcMar>
              <w:top w:type="dxa" w:w="60"/>
              <w:left w:type="dxa" w:w="100"/>
              <w:bottom w:type="dxa" w:w="60"/>
              <w:right w:type="dxa" w:w="100"/>
            </w:tcMar>
          </w:tcPr>
          <w:p>
            <w:r>
              <w:rPr>
                <w:b w:val="false"/>
                <w:bCs w:val="false"/>
                <w:color w:val="000000"/>
                <w:sz w:val="20"/>
                <w:szCs w:val="20"/>
              </w:rPr>
              <w:t xml:space="preserve">≥ 64</w:t>
            </w:r>
          </w:p>
        </w:tc>
      </w:tr>
      <w:tr>
        <w:tc>
          <w:tcPr>
            <w:tcW w:type="dxa" w:w="3000"/>
            <w:tcMar>
              <w:top w:type="dxa" w:w="60"/>
              <w:left w:type="dxa" w:w="100"/>
              <w:bottom w:type="dxa" w:w="60"/>
              <w:right w:type="dxa" w:w="100"/>
            </w:tcMar>
          </w:tcPr>
          <w:p>
            <w:r>
              <w:rPr>
                <w:b w:val="false"/>
                <w:bCs w:val="false"/>
                <w:color w:val="000000"/>
                <w:sz w:val="20"/>
                <w:szCs w:val="20"/>
              </w:rPr>
              <w:t xml:space="preserve">AVA (cm²)</w:t>
            </w:r>
          </w:p>
        </w:tc>
        <w:tc>
          <w:tcPr>
            <w:tcW w:type="dxa" w:w="2000"/>
            <w:tcMar>
              <w:top w:type="dxa" w:w="60"/>
              <w:left w:type="dxa" w:w="100"/>
              <w:bottom w:type="dxa" w:w="60"/>
              <w:right w:type="dxa" w:w="100"/>
            </w:tcMar>
          </w:tcPr>
          <w:p>
            <w:r>
              <w:rPr>
                <w:b w:val="false"/>
                <w:bCs w:val="false"/>
                <w:color w:val="000000"/>
                <w:sz w:val="20"/>
                <w:szCs w:val="20"/>
              </w:rPr>
              <w:t xml:space="preserve">&gt; 1.5</w:t>
            </w:r>
          </w:p>
        </w:tc>
        <w:tc>
          <w:tcPr>
            <w:tcW w:type="dxa" w:w="2000"/>
            <w:tcMar>
              <w:top w:type="dxa" w:w="60"/>
              <w:left w:type="dxa" w:w="100"/>
              <w:bottom w:type="dxa" w:w="60"/>
              <w:right w:type="dxa" w:w="100"/>
            </w:tcMar>
          </w:tcPr>
          <w:p>
            <w:r>
              <w:rPr>
                <w:b w:val="false"/>
                <w:bCs w:val="false"/>
                <w:color w:val="000000"/>
                <w:sz w:val="20"/>
                <w:szCs w:val="20"/>
              </w:rPr>
              <w:t xml:space="preserve">1.0 – 1.5</w:t>
            </w:r>
          </w:p>
        </w:tc>
        <w:tc>
          <w:tcPr>
            <w:tcW w:type="dxa" w:w="2000"/>
            <w:tcMar>
              <w:top w:type="dxa" w:w="60"/>
              <w:left w:type="dxa" w:w="100"/>
              <w:bottom w:type="dxa" w:w="60"/>
              <w:right w:type="dxa" w:w="100"/>
            </w:tcMar>
          </w:tcPr>
          <w:p>
            <w:r>
              <w:rPr>
                <w:b w:val="false"/>
                <w:bCs w:val="false"/>
                <w:color w:val="000000"/>
                <w:sz w:val="20"/>
                <w:szCs w:val="20"/>
              </w:rPr>
              <w:t xml:space="preserve">&lt; 1.0</w:t>
            </w:r>
          </w:p>
        </w:tc>
      </w:tr>
    </w:tbl>
    <w:p>
      <w:pPr>
        <w:spacing w:after="120"/>
      </w:pPr>
      <w:r>
        <w:t xml:space="preserve">Fuente: ACC/AHA, ESC/EACTS. Sintaxis: "A ##/" (barra al final) = solo gradiente pico; "A ##/##" = gradiente pico / medio. El gradiente medio tiene prioridad si ambos están disponibles; si hay discordancia entre AVA y gradiente, el sistema debe señalarla explícitamente en la conclusión en vez de resolverla unilateralmente.</w:t>
      </w:r>
    </w:p>
    <w:p>
      <w:pPr>
        <w:pStyle w:val="Heading3"/>
        <w:spacing w:after="100" w:before="200"/>
      </w:pPr>
      <w:r>
        <w:t xml:space="preserve">Prótesis aórtica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
              <w:t>PVAM / PVAB</w:t>
            </w:r>
          </w:p>
        </w:tc>
        <w:tc>
          <w:tcPr>
            <w:tcW w:type="dxa" w:w="4500"/>
            <w:tcMar>
              <w:top w:type="dxa" w:w="60"/>
              <w:left w:type="dxa" w:w="100"/>
              <w:bottom w:type="dxa" w:w="60"/>
              <w:right w:type="dxa" w:w="100"/>
            </w:tcMar>
          </w:tcPr>
          <w:p>
            <w:r/>
            <w:r>
              <w:t>Prótesis Valvular Aórtica Mecánica / Biológica (misma nomenclatura estandarizada), funcionante.</w:t>
            </w:r>
          </w:p>
        </w:tc>
      </w:tr>
    </w:tbl>
    <w:p>
      <w:pPr>
        <w:pStyle w:val="Heading2"/>
        <w:spacing w:after="150" w:before="300"/>
      </w:pPr>
      <w:r>
        <w:t xml:space="preserve">2.10 Válvula tricúspide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Pr>
                <w:b w:val="false"/>
                <w:bCs w:val="false"/>
                <w:color w:val="000000"/>
                <w:sz w:val="20"/>
                <w:szCs w:val="20"/>
              </w:rPr>
              <w:t xml:space="preserve">ET</w:t>
            </w:r>
          </w:p>
        </w:tc>
        <w:tc>
          <w:tcPr>
            <w:tcW w:type="dxa" w:w="4500"/>
            <w:tcMar>
              <w:top w:type="dxa" w:w="60"/>
              <w:left w:type="dxa" w:w="100"/>
              <w:bottom w:type="dxa" w:w="60"/>
              <w:right w:type="dxa" w:w="100"/>
            </w:tcMar>
          </w:tcPr>
          <w:p>
            <w:r>
              <w:rPr>
                <w:b w:val="false"/>
                <w:bCs w:val="false"/>
                <w:color w:val="000000"/>
                <w:sz w:val="20"/>
                <w:szCs w:val="20"/>
              </w:rPr>
              <w:t xml:space="preserve">Esclerosis tricuspídea</w:t>
            </w:r>
          </w:p>
        </w:tc>
      </w:tr>
      <w:tr>
        <w:tc>
          <w:tcPr>
            <w:tcW w:type="dxa" w:w="4500"/>
            <w:tcMar>
              <w:top w:type="dxa" w:w="60"/>
              <w:left w:type="dxa" w:w="100"/>
              <w:bottom w:type="dxa" w:w="60"/>
              <w:right w:type="dxa" w:w="100"/>
            </w:tcMar>
          </w:tcPr>
          <w:p>
            <w:r>
              <w:rPr>
                <w:b w:val="false"/>
                <w:bCs w:val="false"/>
                <w:color w:val="000000"/>
                <w:sz w:val="20"/>
                <w:szCs w:val="20"/>
              </w:rPr>
              <w:t xml:space="preserve">IT (misma escala: leve/2/M/3/4)</w:t>
            </w:r>
          </w:p>
        </w:tc>
        <w:tc>
          <w:tcPr>
            <w:tcW w:type="dxa" w:w="4500"/>
            <w:tcMar>
              <w:top w:type="dxa" w:w="60"/>
              <w:left w:type="dxa" w:w="100"/>
              <w:bottom w:type="dxa" w:w="60"/>
              <w:right w:type="dxa" w:w="100"/>
            </w:tcMar>
          </w:tcPr>
          <w:p>
            <w:r>
              <w:rPr>
                <w:b w:val="false"/>
                <w:bCs w:val="false"/>
                <w:color w:val="000000"/>
                <w:sz w:val="20"/>
                <w:szCs w:val="20"/>
              </w:rPr>
              <w:t xml:space="preserve">Insuficiencia valvular tricuspídea graduada; se integra con Sxx y PSAP en hipertensión pulmonar</w:t>
            </w:r>
          </w:p>
        </w:tc>
      </w:tr>
      <w:tr>
        <w:tc>
          <w:tcPr>
            <w:tcW w:type="dxa" w:w="4500"/>
            <w:tcMar>
              <w:top w:type="dxa" w:w="60"/>
              <w:left w:type="dxa" w:w="100"/>
              <w:bottom w:type="dxa" w:w="60"/>
              <w:right w:type="dxa" w:w="100"/>
            </w:tcMar>
          </w:tcPr>
          <w:p>
            <w:r/>
            <w:r>
              <w:t>S-xx / S:xx</w:t>
            </w:r>
          </w:p>
        </w:tc>
        <w:tc>
          <w:tcPr>
            <w:tcW w:type="dxa" w:w="4500"/>
            <w:tcMar>
              <w:top w:type="dxa" w:w="60"/>
              <w:left w:type="dxa" w:w="100"/>
              <w:bottom w:type="dxa" w:w="60"/>
              <w:right w:type="dxa" w:w="100"/>
            </w:tcMar>
          </w:tcPr>
          <w:p>
            <w:r/>
            <w:r>
              <w:t>Jet tricuspídeo con gradiente pico sistólico de xx mmHg (siempre gradiente PICO sistólico). Convención oficial: separar con guion o dos puntos (S-45 / S:45) para evitar confusión visual con un número puro (ej. "545").</w:t>
            </w:r>
          </w:p>
        </w:tc>
      </w:tr>
      <w:tr>
        <w:tc>
          <w:tcPr>
            <w:tcW w:type="dxa" w:w="4500"/>
            <w:tcMar>
              <w:top w:type="dxa" w:w="60"/>
              <w:left w:type="dxa" w:w="100"/>
              <w:bottom w:type="dxa" w:w="60"/>
              <w:right w:type="dxa" w:w="100"/>
            </w:tcMar>
          </w:tcPr>
          <w:p>
            <w:r>
              <w:rPr>
                <w:b w:val="false"/>
                <w:bCs w:val="false"/>
                <w:color w:val="000000"/>
                <w:sz w:val="20"/>
                <w:szCs w:val="20"/>
              </w:rPr>
              <w:t xml:space="preserve">VC ##</w:t>
            </w:r>
          </w:p>
        </w:tc>
        <w:tc>
          <w:tcPr>
            <w:tcW w:type="dxa" w:w="4500"/>
            <w:tcMar>
              <w:top w:type="dxa" w:w="60"/>
              <w:left w:type="dxa" w:w="100"/>
              <w:bottom w:type="dxa" w:w="60"/>
              <w:right w:type="dxa" w:w="100"/>
            </w:tcMar>
          </w:tcPr>
          <w:p>
            <w:r>
              <w:rPr>
                <w:b w:val="false"/>
                <w:bCs w:val="false"/>
                <w:color w:val="000000"/>
                <w:sz w:val="20"/>
                <w:szCs w:val="20"/>
              </w:rPr>
              <w:t xml:space="preserve">Vena contracta estimada en xx cm; siempre sigue a la lesión (ej. IA2 VC 0.6); no concluye sola</w:t>
            </w:r>
          </w:p>
        </w:tc>
      </w:tr>
      <w:tr>
        <w:tc>
          <w:tcPr>
            <w:tcW w:type="dxa" w:w="4500"/>
            <w:tcMar>
              <w:top w:type="dxa" w:w="60"/>
              <w:left w:type="dxa" w:w="100"/>
              <w:bottom w:type="dxa" w:w="60"/>
              <w:right w:type="dxa" w:w="100"/>
            </w:tcMar>
          </w:tcPr>
          <w:p>
            <w:r>
              <w:rPr>
                <w:b w:val="false"/>
                <w:bCs w:val="false"/>
                <w:color w:val="000000"/>
                <w:sz w:val="20"/>
                <w:szCs w:val="20"/>
              </w:rPr>
              <w:t xml:space="preserve">ST</w:t>
            </w:r>
          </w:p>
        </w:tc>
        <w:tc>
          <w:tcPr>
            <w:tcW w:type="dxa" w:w="4500"/>
            <w:tcMar>
              <w:top w:type="dxa" w:w="60"/>
              <w:left w:type="dxa" w:w="100"/>
              <w:bottom w:type="dxa" w:w="60"/>
              <w:right w:type="dxa" w:w="100"/>
            </w:tcMar>
          </w:tcPr>
          <w:p>
            <w:r>
              <w:rPr>
                <w:b w:val="false"/>
                <w:bCs w:val="false"/>
                <w:color w:val="000000"/>
                <w:sz w:val="20"/>
                <w:szCs w:val="20"/>
              </w:rPr>
              <w:t xml:space="preserve">Estenosis tricuspídea</w:t>
            </w:r>
          </w:p>
        </w:tc>
      </w:tr>
    </w:tbl>
    <w:p>
      <w:pPr>
        <w:pStyle w:val="Heading2"/>
        <w:spacing w:after="150" w:before="300"/>
      </w:pPr>
      <w:r>
        <w:t xml:space="preserve">2.11 Válvula pulmonar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Pr>
                <w:b w:val="false"/>
                <w:bCs w:val="false"/>
                <w:color w:val="000000"/>
                <w:sz w:val="20"/>
                <w:szCs w:val="20"/>
              </w:rPr>
              <w:t xml:space="preserve">IP</w:t>
            </w:r>
          </w:p>
        </w:tc>
        <w:tc>
          <w:tcPr>
            <w:tcW w:type="dxa" w:w="4500"/>
            <w:tcMar>
              <w:top w:type="dxa" w:w="60"/>
              <w:left w:type="dxa" w:w="100"/>
              <w:bottom w:type="dxa" w:w="60"/>
              <w:right w:type="dxa" w:w="100"/>
            </w:tcMar>
          </w:tcPr>
          <w:p>
            <w:r>
              <w:rPr>
                <w:b w:val="false"/>
                <w:bCs w:val="false"/>
                <w:color w:val="000000"/>
                <w:sz w:val="20"/>
                <w:szCs w:val="20"/>
              </w:rPr>
              <w:t xml:space="preserve">Jet de regurgitación pulmonar con gradiente diastólico de xx mmHg. Conclusión: "Insuficiencia valvular pulmonar" (nunca solo "insuficiencia pulmonar", para no confundir con patología del pulmón).</w:t>
            </w:r>
          </w:p>
        </w:tc>
      </w:tr>
      <w:tr>
        <w:tc>
          <w:tcPr>
            <w:tcW w:type="dxa" w:w="4500"/>
            <w:tcMar>
              <w:top w:type="dxa" w:w="60"/>
              <w:left w:type="dxa" w:w="100"/>
              <w:bottom w:type="dxa" w:w="60"/>
              <w:right w:type="dxa" w:w="100"/>
            </w:tcMar>
          </w:tcPr>
          <w:p>
            <w:r/>
            <w:r>
              <w:t>EP</w:t>
            </w:r>
          </w:p>
        </w:tc>
        <w:tc>
          <w:tcPr>
            <w:tcW w:type="dxa" w:w="4500"/>
            <w:tcMar>
              <w:top w:type="dxa" w:w="60"/>
              <w:left w:type="dxa" w:w="100"/>
              <w:bottom w:type="dxa" w:w="60"/>
              <w:right w:type="dxa" w:w="100"/>
            </w:tcMar>
          </w:tcPr>
          <w:p>
            <w:r/>
            <w:r>
              <w:t>Esclerosis valvular pulmonar. Conclusión: "Insuficiencia valvular pulmonar" (nunca solo "insuficiencia pulmonar", para no confundir con patología del pulmón).</w:t>
            </w:r>
          </w:p>
        </w:tc>
      </w:tr>
      <w:tr>
        <w:tc>
          <w:tcPr>
            <w:tcW w:type="dxa" w:w="4500"/>
            <w:tcMar>
              <w:top w:type="dxa" w:w="60"/>
              <w:left w:type="dxa" w:w="100"/>
              <w:bottom w:type="dxa" w:w="60"/>
              <w:right w:type="dxa" w:w="100"/>
            </w:tcMar>
          </w:tcPr>
          <w:p>
            <w:r/>
            <w:r>
              <w:t>SP</w:t>
            </w:r>
          </w:p>
        </w:tc>
        <w:tc>
          <w:tcPr>
            <w:tcW w:type="dxa" w:w="4500"/>
            <w:tcMar>
              <w:top w:type="dxa" w:w="60"/>
              <w:left w:type="dxa" w:w="100"/>
              <w:bottom w:type="dxa" w:w="60"/>
              <w:right w:type="dxa" w:w="100"/>
            </w:tcMar>
          </w:tcPr>
          <w:p>
            <w:r/>
            <w:r>
              <w:t>Estenosis valvular pulmonar. Según gradiente.</w:t>
            </w:r>
          </w:p>
        </w:tc>
      </w:tr>
    </w:tbl>
    <w:p>
      <w:pPr>
        <w:pStyle w:val="Heading2"/>
        <w:spacing w:after="150" w:before="300"/>
      </w:pPr>
      <w:r>
        <w:t xml:space="preserve">2.12 Diástole / Doppler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Pr>
                <w:b w:val="false"/>
                <w:bCs w:val="false"/>
                <w:color w:val="000000"/>
                <w:sz w:val="20"/>
                <w:szCs w:val="20"/>
              </w:rPr>
              <w:t xml:space="preserve">E/A ##/##</w:t>
            </w:r>
          </w:p>
        </w:tc>
        <w:tc>
          <w:tcPr>
            <w:tcW w:type="dxa" w:w="4500"/>
            <w:tcMar>
              <w:top w:type="dxa" w:w="60"/>
              <w:left w:type="dxa" w:w="100"/>
              <w:bottom w:type="dxa" w:w="60"/>
              <w:right w:type="dxa" w:w="100"/>
            </w:tcMar>
          </w:tcPr>
          <w:p>
            <w:r>
              <w:rPr>
                <w:b w:val="false"/>
                <w:bCs w:val="false"/>
                <w:color w:val="000000"/>
                <w:sz w:val="20"/>
                <w:szCs w:val="20"/>
              </w:rPr>
              <w:t xml:space="preserve">Onda E y onda A (cm/seg)</w:t>
            </w:r>
          </w:p>
        </w:tc>
      </w:tr>
      <w:tr>
        <w:tc>
          <w:tcPr>
            <w:tcW w:type="dxa" w:w="4500"/>
            <w:tcMar>
              <w:top w:type="dxa" w:w="60"/>
              <w:left w:type="dxa" w:w="100"/>
              <w:bottom w:type="dxa" w:w="60"/>
              <w:right w:type="dxa" w:w="100"/>
            </w:tcMar>
          </w:tcPr>
          <w:p>
            <w:r>
              <w:rPr>
                <w:b w:val="false"/>
                <w:bCs w:val="false"/>
                <w:color w:val="000000"/>
                <w:sz w:val="20"/>
                <w:szCs w:val="20"/>
              </w:rPr>
              <w:t xml:space="preserve">E' (sin sufijo)</w:t>
            </w:r>
          </w:p>
        </w:tc>
        <w:tc>
          <w:tcPr>
            <w:tcW w:type="dxa" w:w="4500"/>
            <w:tcMar>
              <w:top w:type="dxa" w:w="60"/>
              <w:left w:type="dxa" w:w="100"/>
              <w:bottom w:type="dxa" w:w="60"/>
              <w:right w:type="dxa" w:w="100"/>
            </w:tcMar>
          </w:tcPr>
          <w:p>
            <w:r>
              <w:rPr>
                <w:b w:val="false"/>
                <w:bCs w:val="false"/>
                <w:color w:val="000000"/>
                <w:sz w:val="20"/>
                <w:szCs w:val="20"/>
              </w:rPr>
              <w:t xml:space="preserve">Onda E' tisular LATERAL (valor por defecto)</w:t>
            </w:r>
          </w:p>
        </w:tc>
      </w:tr>
      <w:tr>
        <w:tc>
          <w:tcPr>
            <w:tcW w:type="dxa" w:w="4500"/>
            <w:tcMar>
              <w:top w:type="dxa" w:w="60"/>
              <w:left w:type="dxa" w:w="100"/>
              <w:bottom w:type="dxa" w:w="60"/>
              <w:right w:type="dxa" w:w="100"/>
            </w:tcMar>
          </w:tcPr>
          <w:p>
            <w:r>
              <w:rPr>
                <w:b w:val="false"/>
                <w:bCs w:val="false"/>
                <w:color w:val="000000"/>
                <w:sz w:val="20"/>
                <w:szCs w:val="20"/>
              </w:rPr>
              <w:t xml:space="preserve">E' sep / E' septal</w:t>
            </w:r>
          </w:p>
        </w:tc>
        <w:tc>
          <w:tcPr>
            <w:tcW w:type="dxa" w:w="4500"/>
            <w:tcMar>
              <w:top w:type="dxa" w:w="60"/>
              <w:left w:type="dxa" w:w="100"/>
              <w:bottom w:type="dxa" w:w="60"/>
              <w:right w:type="dxa" w:w="100"/>
            </w:tcMar>
          </w:tcPr>
          <w:p>
            <w:r>
              <w:rPr>
                <w:b w:val="false"/>
                <w:bCs w:val="false"/>
                <w:color w:val="000000"/>
                <w:sz w:val="20"/>
                <w:szCs w:val="20"/>
              </w:rPr>
              <w:t xml:space="preserve">Onda E' tisular SEPTAL (se especifica explícitamente)</w:t>
            </w:r>
          </w:p>
        </w:tc>
      </w:tr>
      <w:tr>
        <w:tc>
          <w:tcPr>
            <w:tcW w:type="dxa" w:w="4500"/>
            <w:tcMar>
              <w:top w:type="dxa" w:w="60"/>
              <w:left w:type="dxa" w:w="100"/>
              <w:bottom w:type="dxa" w:w="60"/>
              <w:right w:type="dxa" w:w="100"/>
            </w:tcMar>
          </w:tcPr>
          <w:p>
            <w:r>
              <w:rPr>
                <w:b w:val="false"/>
                <w:bCs w:val="false"/>
                <w:color w:val="000000"/>
                <w:sz w:val="20"/>
                <w:szCs w:val="20"/>
              </w:rPr>
              <w:t xml:space="preserve">E/e ##</w:t>
            </w:r>
          </w:p>
        </w:tc>
        <w:tc>
          <w:tcPr>
            <w:tcW w:type="dxa" w:w="4500"/>
            <w:tcMar>
              <w:top w:type="dxa" w:w="60"/>
              <w:left w:type="dxa" w:w="100"/>
              <w:bottom w:type="dxa" w:w="60"/>
              <w:right w:type="dxa" w:w="100"/>
            </w:tcMar>
          </w:tcPr>
          <w:p>
            <w:r>
              <w:rPr>
                <w:b w:val="false"/>
                <w:bCs w:val="false"/>
                <w:color w:val="000000"/>
                <w:sz w:val="20"/>
                <w:szCs w:val="20"/>
              </w:rPr>
              <w:t xml:space="preserve">Relación E/e' (presiones de llenado)</w:t>
            </w:r>
          </w:p>
        </w:tc>
      </w:tr>
      <w:tr>
        <w:tc>
          <w:tcPr>
            <w:tcW w:type="dxa" w:w="4500"/>
            <w:tcMar>
              <w:top w:type="dxa" w:w="60"/>
              <w:left w:type="dxa" w:w="100"/>
              <w:bottom w:type="dxa" w:w="60"/>
              <w:right w:type="dxa" w:w="100"/>
            </w:tcMar>
          </w:tcPr>
          <w:p>
            <w:r/>
            <w:r>
              <w:t>DT ## / TD ##</w:t>
            </w:r>
          </w:p>
        </w:tc>
        <w:tc>
          <w:tcPr>
            <w:tcW w:type="dxa" w:w="4500"/>
            <w:tcMar>
              <w:top w:type="dxa" w:w="60"/>
              <w:left w:type="dxa" w:w="100"/>
              <w:bottom w:type="dxa" w:w="60"/>
              <w:right w:type="dxa" w:w="100"/>
            </w:tcMar>
          </w:tcPr>
          <w:p>
            <w:r>
              <w:t>Tiempo de desaceleración (DT y TD son sinónimos intercambiables). Se escribe en Doppler: "Tiempo de desaceleración de la onda E de ## ms." No participa en el algoritmo ASE 2025.</w:t>
            </w:r>
          </w:p>
        </w:tc>
      </w:tr>
      <w:tr>
        <w:tc>
          <w:tcPr>
            <w:tcW w:type="dxa" w:w="4500"/>
            <w:tcMar>
              <w:top w:type="dxa" w:w="60"/>
              <w:left w:type="dxa" w:w="100"/>
              <w:bottom w:type="dxa" w:w="60"/>
              <w:right w:type="dxa" w:w="100"/>
            </w:tcMar>
          </w:tcPr>
          <w:p>
            <w:r>
              <w:rPr>
                <w:b w:val="false"/>
                <w:bCs w:val="false"/>
                <w:color w:val="000000"/>
                <w:sz w:val="20"/>
                <w:szCs w:val="20"/>
              </w:rPr>
              <w:t xml:space="preserve">TRI ##</w:t>
            </w:r>
          </w:p>
        </w:tc>
        <w:tc>
          <w:tcPr>
            <w:tcW w:type="dxa" w:w="4500"/>
            <w:tcMar>
              <w:top w:type="dxa" w:w="60"/>
              <w:left w:type="dxa" w:w="100"/>
              <w:bottom w:type="dxa" w:w="60"/>
              <w:right w:type="dxa" w:w="100"/>
            </w:tcMar>
          </w:tcPr>
          <w:p>
            <w:r>
              <w:rPr>
                <w:b w:val="false"/>
                <w:bCs w:val="false"/>
                <w:color w:val="000000"/>
                <w:sz w:val="20"/>
                <w:szCs w:val="20"/>
              </w:rPr>
              <w:t>Descripción: "Inversión de la relación de ondas E:A, con tiempo de relajación isovolumétrica de xx ms." Participa solo como variable adicional (≤70 ms indica presión de AI elevada) y en el algoritmo del anillo mitral calcificado. TRIV es sinónimo.</w:t>
            </w:r>
          </w:p>
        </w:tc>
      </w:tr>
      <w:tr>
        <w:tc>
          <w:tcPr>
            <w:tcW w:type="dxa" w:w="4500"/>
            <w:tcMar>
              <w:top w:type="dxa" w:w="60"/>
              <w:left w:type="dxa" w:w="100"/>
              <w:bottom w:type="dxa" w:w="60"/>
              <w:right w:type="dxa" w:w="100"/>
            </w:tcMar>
          </w:tcPr>
          <w:p>
            <w:r>
              <w:rPr>
                <w:b w:val="false"/>
                <w:bCs w:val="false"/>
                <w:color w:val="000000"/>
                <w:sz w:val="20"/>
                <w:szCs w:val="20"/>
              </w:rPr>
              <w:t xml:space="preserve">TAPSE</w:t>
            </w:r>
          </w:p>
        </w:tc>
        <w:tc>
          <w:tcPr>
            <w:tcW w:type="dxa" w:w="4500"/>
            <w:tcMar>
              <w:top w:type="dxa" w:w="60"/>
              <w:left w:type="dxa" w:w="100"/>
              <w:bottom w:type="dxa" w:w="60"/>
              <w:right w:type="dxa" w:w="100"/>
            </w:tcMar>
          </w:tcPr>
          <w:p>
            <w:r>
              <w:rPr>
                <w:b w:val="false"/>
                <w:bCs w:val="false"/>
                <w:color w:val="000000"/>
                <w:sz w:val="20"/>
                <w:szCs w:val="20"/>
              </w:rPr>
              <w:t xml:space="preserve">Excursión sistólica del plano anular tricuspídeo (función VD)</w:t>
            </w:r>
          </w:p>
        </w:tc>
      </w:tr>
      <w:tr>
        <w:tc>
          <w:tcPr>
            <w:tcW w:type="dxa" w:w="4500"/>
            <w:tcMar>
              <w:top w:type="dxa" w:w="60"/>
              <w:left w:type="dxa" w:w="100"/>
              <w:bottom w:type="dxa" w:w="60"/>
              <w:right w:type="dxa" w:w="100"/>
            </w:tcMar>
          </w:tcPr>
          <w:p>
            <w:r>
              <w:rPr>
                <w:b w:val="false"/>
                <w:bCs w:val="false"/>
                <w:color w:val="000000"/>
                <w:sz w:val="20"/>
                <w:szCs w:val="20"/>
              </w:rPr>
              <w:t xml:space="preserve">DD1 / DD2 / DD3 (dictado directo)</w:t>
            </w:r>
          </w:p>
        </w:tc>
        <w:tc>
          <w:tcPr>
            <w:tcW w:type="dxa" w:w="4500"/>
            <w:tcMar>
              <w:top w:type="dxa" w:w="60"/>
              <w:left w:type="dxa" w:w="100"/>
              <w:bottom w:type="dxa" w:w="60"/>
              <w:right w:type="dxa" w:w="100"/>
            </w:tcMar>
          </w:tcPr>
          <w:p>
            <w:r>
              <w:rPr>
                <w:b w:val="false"/>
                <w:bCs w:val="false"/>
                <w:color w:val="000000"/>
                <w:sz w:val="20"/>
                <w:szCs w:val="20"/>
              </w:rPr>
              <w:t xml:space="preserve">Grado de disfunción diastólica dictado manualmente por el médico. Tiene PRIORIDAD ABSOLUTA sobre el cálculo automático del algoritmo — el sistema no recalcula.</w:t>
            </w:r>
          </w:p>
        </w:tc>
      </w:tr>
      <w:tr>
        <w:tc>
          <w:tcPr>
            <w:tcW w:type="dxa" w:w="4500"/>
            <w:tcMar>
              <w:top w:type="dxa" w:w="60"/>
              <w:left w:type="dxa" w:w="100"/>
              <w:bottom w:type="dxa" w:w="60"/>
              <w:right w:type="dxa" w:w="100"/>
            </w:tcMar>
          </w:tcPr>
          <w:p>
            <w:r>
              <w:rPr>
                <w:b w:val="false"/>
                <w:bCs w:val="false"/>
                <w:color w:val="000000"/>
                <w:sz w:val="20"/>
                <w:szCs w:val="20"/>
              </w:rPr>
              <w:t>SDP ##/##</w:t>
            </w:r>
          </w:p>
        </w:tc>
        <w:tc>
          <w:tcPr>
            <w:tcW w:type="dxa" w:w="4500"/>
            <w:tcMar>
              <w:top w:type="dxa" w:w="60"/>
              <w:left w:type="dxa" w:w="100"/>
              <w:bottom w:type="dxa" w:w="60"/>
              <w:right w:type="dxa" w:w="100"/>
            </w:tcMar>
          </w:tcPr>
          <w:p>
            <w:r>
              <w:rPr>
                <w:b w:val="false"/>
                <w:bCs w:val="false"/>
                <w:color w:val="000000"/>
                <w:sz w:val="20"/>
                <w:szCs w:val="20"/>
              </w:rPr>
              <w:t>Onda S / onda D de las venas pulmonares (cm/seg). Variable adicional del algoritmo: ≤0.67 indica presión de AI elevada. No confundir con S/D (sobrecarga septal diastólica).</w:t>
            </w:r>
          </w:p>
        </w:tc>
      </w:tr>
      <w:tr>
        <w:tc>
          <w:tcPr>
            <w:tcW w:type="dxa" w:w="4500"/>
            <w:tcMar>
              <w:top w:type="dxa" w:w="60"/>
              <w:left w:type="dxa" w:w="100"/>
              <w:bottom w:type="dxa" w:w="60"/>
              <w:right w:type="dxa" w:w="100"/>
            </w:tcMar>
          </w:tcPr>
          <w:p>
            <w:r>
              <w:rPr>
                <w:b w:val="false"/>
                <w:bCs w:val="false"/>
                <w:color w:val="000000"/>
                <w:sz w:val="20"/>
                <w:szCs w:val="20"/>
              </w:rPr>
              <w:t>TRIV ##</w:t>
            </w:r>
          </w:p>
        </w:tc>
        <w:tc>
          <w:tcPr>
            <w:tcW w:type="dxa" w:w="4500"/>
            <w:tcMar>
              <w:top w:type="dxa" w:w="60"/>
              <w:left w:type="dxa" w:w="100"/>
              <w:bottom w:type="dxa" w:w="60"/>
              <w:right w:type="dxa" w:w="100"/>
            </w:tcMar>
          </w:tcPr>
          <w:p>
            <w:r>
              <w:rPr>
                <w:b w:val="false"/>
                <w:bCs w:val="false"/>
                <w:color w:val="000000"/>
                <w:sz w:val="20"/>
                <w:szCs w:val="20"/>
              </w:rPr>
              <w:t>Sinónimo de TRI ##.</w:t>
            </w:r>
          </w:p>
        </w:tc>
      </w:tr>
      <w:tr>
        <w:tc>
          <w:tcPr>
            <w:tcW w:type="dxa" w:w="4500"/>
            <w:tcMar>
              <w:top w:type="dxa" w:w="60"/>
              <w:left w:type="dxa" w:w="100"/>
              <w:bottom w:type="dxa" w:w="60"/>
              <w:right w:type="dxa" w:w="100"/>
            </w:tcMar>
          </w:tcPr>
          <w:p>
            <w:r>
              <w:rPr>
                <w:b w:val="false"/>
                <w:bCs w:val="false"/>
                <w:color w:val="000000"/>
                <w:sz w:val="20"/>
                <w:szCs w:val="20"/>
              </w:rPr>
              <w:t>H## / M## (ej. H65, M 65)</w:t>
            </w:r>
          </w:p>
        </w:tc>
        <w:tc>
          <w:tcPr>
            <w:tcW w:type="dxa" w:w="4500"/>
            <w:tcMar>
              <w:top w:type="dxa" w:w="60"/>
              <w:left w:type="dxa" w:w="100"/>
              <w:bottom w:type="dxa" w:w="60"/>
              <w:right w:type="dxa" w:w="100"/>
            </w:tcMar>
          </w:tcPr>
          <w:p>
            <w:r>
              <w:rPr>
                <w:b w:val="false"/>
                <w:bCs w:val="false"/>
                <w:color w:val="000000"/>
                <w:sz w:val="20"/>
                <w:szCs w:val="20"/>
              </w:rPr>
              <w:t>Sexo y edad en un solo código. La edad define los límites de e' reducido (Tabla 6 ASE 2025). H y M solos fijan solo el sexo.</w:t>
            </w:r>
          </w:p>
        </w:tc>
      </w:tr>
      <w:tr>
        <w:tc>
          <w:tcPr>
            <w:tcW w:type="dxa" w:w="4500"/>
            <w:tcMar>
              <w:top w:type="dxa" w:w="60"/>
              <w:left w:type="dxa" w:w="100"/>
              <w:bottom w:type="dxa" w:w="60"/>
              <w:right w:type="dxa" w:w="100"/>
            </w:tcMar>
          </w:tcPr>
          <w:p>
            <w:r>
              <w:rPr>
                <w:b w:val="false"/>
                <w:bCs w:val="false"/>
                <w:color w:val="000000"/>
                <w:sz w:val="20"/>
                <w:szCs w:val="20"/>
              </w:rPr>
              <w:t>E/e ## (variantes)</w:t>
            </w:r>
          </w:p>
        </w:tc>
        <w:tc>
          <w:tcPr>
            <w:tcW w:type="dxa" w:w="4500"/>
            <w:tcMar>
              <w:top w:type="dxa" w:w="60"/>
              <w:left w:type="dxa" w:w="100"/>
              <w:bottom w:type="dxa" w:w="60"/>
              <w:right w:type="dxa" w:w="100"/>
            </w:tcMar>
          </w:tcPr>
          <w:p>
            <w:r>
              <w:rPr>
                <w:b w:val="false"/>
                <w:bCs w:val="false"/>
                <w:color w:val="000000"/>
                <w:sz w:val="20"/>
                <w:szCs w:val="20"/>
              </w:rPr>
              <w:t>También se aceptan E/e' ##, E/E' ## y E´/e´ ##. DD ## con espacio (DD 2) equivale a DD2.</w:t>
            </w:r>
          </w:p>
        </w:tc>
      </w:tr>
      <w:tr>
        <w:tc>
          <w:tcPr>
            <w:tcW w:type="dxa" w:w="4500"/>
            <w:tcMar>
              <w:top w:type="dxa" w:w="60"/>
              <w:left w:type="dxa" w:w="100"/>
              <w:bottom w:type="dxa" w:w="60"/>
              <w:right w:type="dxa" w:w="100"/>
            </w:tcMar>
          </w:tcPr>
          <w:p>
            <w:r>
              <w:rPr>
                <w:b w:val="false"/>
                <w:bCs w:val="false"/>
                <w:color w:val="000000"/>
                <w:sz w:val="20"/>
                <w:szCs w:val="20"/>
              </w:rPr>
              <w:t>## AÑOS / EDAD ## (ej. 23 AÑOS)</w:t>
            </w:r>
          </w:p>
        </w:tc>
        <w:tc>
          <w:tcPr>
            <w:tcW w:type="dxa" w:w="4500"/>
            <w:tcMar>
              <w:top w:type="dxa" w:w="60"/>
              <w:left w:type="dxa" w:w="100"/>
              <w:bottom w:type="dxa" w:w="60"/>
              <w:right w:type="dxa" w:w="100"/>
            </w:tcMar>
          </w:tcPr>
          <w:p>
            <w:r>
              <w:rPr>
                <w:b w:val="false"/>
                <w:bCs w:val="false"/>
                <w:color w:val="000000"/>
                <w:sz w:val="20"/>
                <w:szCs w:val="20"/>
              </w:rPr>
              <w:t>Edad sola, sin sexo. Acepta AÑO, AÑOS y ANOS, en mayúscula o minúscula, y EDAD 23 sin dos puntos. La edad define los límites de e' reducido (Tabla 6 ASE 2025) y en modo ambulatorio se imprime en el encabezado. Para sexo y edad en un solo código se usa H## o M##.</w:t>
            </w:r>
          </w:p>
        </w:tc>
      </w:tr>
    </w:tbl>
    <w:p>
      <w:pPr>
        <w:pStyle w:val="Heading3"/>
        <w:spacing w:after="100" w:before="200"/>
      </w:pPr>
      <w:r>
        <w:t>Algoritmo de disfunción diastólica (ASE 2025 — Nagueh et al.)</w:t>
      </w:r>
    </w:p>
    <w:p>
      <w:pPr>
        <w:spacing w:after="120"/>
      </w:pPr>
      <w:r>
        <w:t>Este algoritmo reemplaza al de ASE/EACVI 2016 que usaba el motor. Se basa en la guía ASE de julio de 2025 (Figura 2 para el diagnóstico y Figura 3 para la presión de la aurícula izquierda y el grado) y es independiente de la FE. La guía parte de e': sin e' dictado no se concluye nada.</w:t>
      </w:r>
    </w:p>
    <w:p>
      <w:pPr>
        <w:spacing w:after="120"/>
      </w:pPr>
      <w:r>
        <w:rPr>
          <w:b/>
          <w:bCs/>
        </w:rPr>
        <w:t>Exclusiones</w:t>
      </w:r>
    </w:p>
    <w:p>
      <w:pPr>
        <w:spacing w:after="120"/>
      </w:pPr>
      <w:r>
        <w:t>No se aplica con fibrilación auricular, prótesis mitral ni estenosis mitral: en esos casos no se escribe nada. Con calcificación significativa del anillo mitral (código EM + ANILLO ↑) se usa el algoritmo de la Figura 4, que solo emplea E/A y TRI (ver más abajo). Un DD1, DD2 o DD3 dictado manda siempre sobre el cálculo.</w:t>
      </w:r>
    </w:p>
    <w:p>
      <w:pPr>
        <w:spacing w:after="120"/>
      </w:pPr>
      <w:r>
        <w:rPr>
          <w:b/>
          <w:bCs/>
        </w:rPr>
        <w:t>e' reducido (cm/s)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Situación</w:t>
            </w:r>
          </w:p>
        </w:tc>
        <w:tc>
          <w:tcPr>
            <w:tcW w:type="dxa" w:w="4500"/>
            <w:shd w:fill="1F4E79" w:val="clear"/>
            <w:tcMar>
              <w:top w:type="dxa" w:w="60"/>
              <w:left w:type="dxa" w:w="100"/>
              <w:bottom w:type="dxa" w:w="60"/>
              <w:right w:type="dxa" w:w="100"/>
            </w:tcMar>
          </w:tcPr>
          <w:p>
            <w:r>
              <w:rPr>
                <w:b/>
                <w:bCs/>
                <w:color w:val="FFFFFF"/>
                <w:sz w:val="20"/>
                <w:szCs w:val="20"/>
              </w:rPr>
              <w:t>Límite</w:t>
            </w:r>
          </w:p>
        </w:tc>
      </w:tr>
      <w:tr>
        <w:tc>
          <w:tcPr>
            <w:tcW w:type="dxa" w:w="4500"/>
            <w:tcMar>
              <w:top w:type="dxa" w:w="60"/>
              <w:left w:type="dxa" w:w="100"/>
              <w:bottom w:type="dxa" w:w="60"/>
              <w:right w:type="dxa" w:w="100"/>
            </w:tcMar>
          </w:tcPr>
          <w:p>
            <w:r>
              <w:rPr>
                <w:b w:val="false"/>
                <w:bCs w:val="false"/>
                <w:color w:val="000000"/>
                <w:sz w:val="20"/>
                <w:szCs w:val="20"/>
              </w:rPr>
              <w:t>Sin edad dictada (Figuras 2 y 3)</w:t>
            </w:r>
          </w:p>
        </w:tc>
        <w:tc>
          <w:tcPr>
            <w:tcW w:type="dxa" w:w="4500"/>
            <w:tcMar>
              <w:top w:type="dxa" w:w="60"/>
              <w:left w:type="dxa" w:w="100"/>
              <w:bottom w:type="dxa" w:w="60"/>
              <w:right w:type="dxa" w:w="100"/>
            </w:tcMar>
          </w:tcPr>
          <w:p>
            <w:r>
              <w:rPr>
                <w:b w:val="false"/>
                <w:bCs w:val="false"/>
                <w:color w:val="000000"/>
                <w:sz w:val="20"/>
                <w:szCs w:val="20"/>
              </w:rPr>
              <w:t>Septal ≤6 · lateral ≤7 · promedio ≤6.5</w:t>
            </w:r>
          </w:p>
        </w:tc>
      </w:tr>
      <w:tr>
        <w:tc>
          <w:tcPr>
            <w:tcW w:type="dxa" w:w="4500"/>
            <w:tcMar>
              <w:top w:type="dxa" w:w="60"/>
              <w:left w:type="dxa" w:w="100"/>
              <w:bottom w:type="dxa" w:w="60"/>
              <w:right w:type="dxa" w:w="100"/>
            </w:tcMar>
          </w:tcPr>
          <w:p>
            <w:r>
              <w:rPr>
                <w:b w:val="false"/>
                <w:bCs w:val="false"/>
                <w:color w:val="000000"/>
                <w:sz w:val="20"/>
                <w:szCs w:val="20"/>
              </w:rPr>
              <w:t>20-39 años (Tabla 6)</w:t>
            </w:r>
          </w:p>
        </w:tc>
        <w:tc>
          <w:tcPr>
            <w:tcW w:type="dxa" w:w="4500"/>
            <w:tcMar>
              <w:top w:type="dxa" w:w="60"/>
              <w:left w:type="dxa" w:w="100"/>
              <w:bottom w:type="dxa" w:w="60"/>
              <w:right w:type="dxa" w:w="100"/>
            </w:tcMar>
          </w:tcPr>
          <w:p>
            <w:r>
              <w:rPr>
                <w:b w:val="false"/>
                <w:bCs w:val="false"/>
                <w:color w:val="000000"/>
                <w:sz w:val="20"/>
                <w:szCs w:val="20"/>
              </w:rPr>
              <w:t>Septal &lt;7 · lateral &lt;10 · promedio &lt;9</w:t>
            </w:r>
          </w:p>
        </w:tc>
      </w:tr>
      <w:tr>
        <w:tc>
          <w:tcPr>
            <w:tcW w:type="dxa" w:w="4500"/>
            <w:tcMar>
              <w:top w:type="dxa" w:w="60"/>
              <w:left w:type="dxa" w:w="100"/>
              <w:bottom w:type="dxa" w:w="60"/>
              <w:right w:type="dxa" w:w="100"/>
            </w:tcMar>
          </w:tcPr>
          <w:p>
            <w:r>
              <w:rPr>
                <w:b w:val="false"/>
                <w:bCs w:val="false"/>
                <w:color w:val="000000"/>
                <w:sz w:val="20"/>
                <w:szCs w:val="20"/>
              </w:rPr>
              <w:t>40-65 años (Tabla 6)</w:t>
            </w:r>
          </w:p>
        </w:tc>
        <w:tc>
          <w:tcPr>
            <w:tcW w:type="dxa" w:w="4500"/>
            <w:tcMar>
              <w:top w:type="dxa" w:w="60"/>
              <w:left w:type="dxa" w:w="100"/>
              <w:bottom w:type="dxa" w:w="60"/>
              <w:right w:type="dxa" w:w="100"/>
            </w:tcMar>
          </w:tcPr>
          <w:p>
            <w:r>
              <w:rPr>
                <w:b w:val="false"/>
                <w:bCs w:val="false"/>
                <w:color w:val="000000"/>
                <w:sz w:val="20"/>
                <w:szCs w:val="20"/>
              </w:rPr>
              <w:t>Septal &lt;6 · lateral &lt;8 · promedio &lt;7</w:t>
            </w:r>
          </w:p>
        </w:tc>
      </w:tr>
      <w:tr>
        <w:tc>
          <w:tcPr>
            <w:tcW w:type="dxa" w:w="4500"/>
            <w:tcMar>
              <w:top w:type="dxa" w:w="60"/>
              <w:left w:type="dxa" w:w="100"/>
              <w:bottom w:type="dxa" w:w="60"/>
              <w:right w:type="dxa" w:w="100"/>
            </w:tcMar>
          </w:tcPr>
          <w:p>
            <w:r>
              <w:rPr>
                <w:b w:val="false"/>
                <w:bCs w:val="false"/>
                <w:color w:val="000000"/>
                <w:sz w:val="20"/>
                <w:szCs w:val="20"/>
              </w:rPr>
              <w:t>Más de 65 años (Tabla 6)</w:t>
            </w:r>
          </w:p>
        </w:tc>
        <w:tc>
          <w:tcPr>
            <w:tcW w:type="dxa" w:w="4500"/>
            <w:tcMar>
              <w:top w:type="dxa" w:w="60"/>
              <w:left w:type="dxa" w:w="100"/>
              <w:bottom w:type="dxa" w:w="60"/>
              <w:right w:type="dxa" w:w="100"/>
            </w:tcMar>
          </w:tcPr>
          <w:p>
            <w:r>
              <w:rPr>
                <w:b w:val="false"/>
                <w:bCs w:val="false"/>
                <w:color w:val="000000"/>
                <w:sz w:val="20"/>
                <w:szCs w:val="20"/>
              </w:rPr>
              <w:t>Septal &lt;6 · lateral &lt;7 · promedio &lt;6.5</w:t>
            </w:r>
          </w:p>
        </w:tc>
      </w:tr>
    </w:tbl>
    <w:p>
      <w:pPr>
        <w:spacing w:after="120"/>
      </w:pPr>
      <w:r>
        <w:t>La edad se dicta con H## o M## (ejemplo H65, M 65), con ## AÑOS (ejemplo 23 AÑOS) o con EDAD:##. La guía escribe el límite como ≤ en las figuras y como &lt; en la Tabla 6 y en sus puntos clave; sin edad el motor usa ≤ y con edad usa &lt;.</w:t>
      </w:r>
    </w:p>
    <w:p>
      <w:pPr>
        <w:spacing w:after="120"/>
      </w:pPr>
      <w:r>
        <w:rPr>
          <w:b/>
          <w:bCs/>
        </w:rPr>
        <w:t>Variables y cortes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Variable</w:t>
            </w:r>
          </w:p>
        </w:tc>
        <w:tc>
          <w:tcPr>
            <w:tcW w:type="dxa" w:w="4500"/>
            <w:shd w:fill="1F4E79" w:val="clear"/>
            <w:tcMar>
              <w:top w:type="dxa" w:w="60"/>
              <w:left w:type="dxa" w:w="100"/>
              <w:bottom w:type="dxa" w:w="60"/>
              <w:right w:type="dxa" w:w="100"/>
            </w:tcMar>
          </w:tcPr>
          <w:p>
            <w:r>
              <w:rPr>
                <w:b/>
                <w:bCs/>
                <w:color w:val="FFFFFF"/>
                <w:sz w:val="20"/>
                <w:szCs w:val="20"/>
              </w:rPr>
              <w:t>Corte</w:t>
            </w:r>
          </w:p>
        </w:tc>
      </w:tr>
      <w:tr>
        <w:tc>
          <w:tcPr>
            <w:tcW w:type="dxa" w:w="4500"/>
            <w:tcMar>
              <w:top w:type="dxa" w:w="60"/>
              <w:left w:type="dxa" w:w="100"/>
              <w:bottom w:type="dxa" w:w="60"/>
              <w:right w:type="dxa" w:w="100"/>
            </w:tcMar>
          </w:tcPr>
          <w:p>
            <w:r>
              <w:rPr>
                <w:b w:val="false"/>
                <w:bCs w:val="false"/>
                <w:color w:val="000000"/>
                <w:sz w:val="20"/>
                <w:szCs w:val="20"/>
              </w:rPr>
              <w:t>E/e' aumentado</w:t>
            </w:r>
          </w:p>
        </w:tc>
        <w:tc>
          <w:tcPr>
            <w:tcW w:type="dxa" w:w="4500"/>
            <w:tcMar>
              <w:top w:type="dxa" w:w="60"/>
              <w:left w:type="dxa" w:w="100"/>
              <w:bottom w:type="dxa" w:w="60"/>
              <w:right w:type="dxa" w:w="100"/>
            </w:tcMar>
          </w:tcPr>
          <w:p>
            <w:r>
              <w:rPr>
                <w:b w:val="false"/>
                <w:bCs w:val="false"/>
                <w:color w:val="000000"/>
                <w:sz w:val="20"/>
                <w:szCs w:val="20"/>
              </w:rPr>
              <w:t>Promedio ≥14 · lateral ≥13 · septal ≥15 (calculado con la E de E/A y e' lateral, o dictado como E/e ##)</w:t>
            </w:r>
          </w:p>
        </w:tc>
      </w:tr>
      <w:tr>
        <w:tc>
          <w:tcPr>
            <w:tcW w:type="dxa" w:w="4500"/>
            <w:tcMar>
              <w:top w:type="dxa" w:w="60"/>
              <w:left w:type="dxa" w:w="100"/>
              <w:bottom w:type="dxa" w:w="60"/>
              <w:right w:type="dxa" w:w="100"/>
            </w:tcMar>
          </w:tcPr>
          <w:p>
            <w:r>
              <w:rPr>
                <w:b w:val="false"/>
                <w:bCs w:val="false"/>
                <w:color w:val="000000"/>
                <w:sz w:val="20"/>
                <w:szCs w:val="20"/>
              </w:rPr>
              <w:t>Velocidad de IT aumentada</w:t>
            </w:r>
          </w:p>
        </w:tc>
        <w:tc>
          <w:tcPr>
            <w:tcW w:type="dxa" w:w="4500"/>
            <w:tcMar>
              <w:top w:type="dxa" w:w="60"/>
              <w:left w:type="dxa" w:w="100"/>
              <w:bottom w:type="dxa" w:w="60"/>
              <w:right w:type="dxa" w:w="100"/>
            </w:tcMar>
          </w:tcPr>
          <w:p>
            <w:r>
              <w:rPr>
                <w:b w:val="false"/>
                <w:bCs w:val="false"/>
                <w:color w:val="000000"/>
                <w:sz w:val="20"/>
                <w:szCs w:val="20"/>
              </w:rPr>
              <w:t>S## mayor de 31 mmHg (corte único; equivale a los 2.8 m/s de la guía)</w:t>
            </w:r>
          </w:p>
        </w:tc>
      </w:tr>
      <w:tr>
        <w:tc>
          <w:tcPr>
            <w:tcW w:type="dxa" w:w="4500"/>
            <w:tcMar>
              <w:top w:type="dxa" w:w="60"/>
              <w:left w:type="dxa" w:w="100"/>
              <w:bottom w:type="dxa" w:w="60"/>
              <w:right w:type="dxa" w:w="100"/>
            </w:tcMar>
          </w:tcPr>
          <w:p>
            <w:r>
              <w:rPr>
                <w:b w:val="false"/>
                <w:bCs w:val="false"/>
                <w:color w:val="000000"/>
                <w:sz w:val="20"/>
                <w:szCs w:val="20"/>
              </w:rPr>
              <w:t>Marcador de E/A</w:t>
            </w:r>
          </w:p>
        </w:tc>
        <w:tc>
          <w:tcPr>
            <w:tcW w:type="dxa" w:w="4500"/>
            <w:tcMar>
              <w:top w:type="dxa" w:w="60"/>
              <w:left w:type="dxa" w:w="100"/>
              <w:bottom w:type="dxa" w:w="60"/>
              <w:right w:type="dxa" w:w="100"/>
            </w:tcMar>
          </w:tcPr>
          <w:p>
            <w:r>
              <w:rPr>
                <w:b w:val="false"/>
                <w:bCs w:val="false"/>
                <w:color w:val="000000"/>
                <w:sz w:val="20"/>
                <w:szCs w:val="20"/>
              </w:rPr>
              <w:t>≤0.8 o ≥2</w:t>
            </w:r>
          </w:p>
        </w:tc>
      </w:tr>
      <w:tr>
        <w:tc>
          <w:tcPr>
            <w:tcW w:type="dxa" w:w="4500"/>
            <w:tcMar>
              <w:top w:type="dxa" w:w="60"/>
              <w:left w:type="dxa" w:w="100"/>
              <w:bottom w:type="dxa" w:w="60"/>
              <w:right w:type="dxa" w:w="100"/>
            </w:tcMar>
          </w:tcPr>
          <w:p>
            <w:r>
              <w:rPr>
                <w:b w:val="false"/>
                <w:bCs w:val="false"/>
                <w:color w:val="000000"/>
                <w:sz w:val="20"/>
                <w:szCs w:val="20"/>
              </w:rPr>
              <w:t>Volumen indexado de AI</w:t>
            </w:r>
          </w:p>
        </w:tc>
        <w:tc>
          <w:tcPr>
            <w:tcW w:type="dxa" w:w="4500"/>
            <w:tcMar>
              <w:top w:type="dxa" w:w="60"/>
              <w:left w:type="dxa" w:w="100"/>
              <w:bottom w:type="dxa" w:w="60"/>
              <w:right w:type="dxa" w:w="100"/>
            </w:tcMar>
          </w:tcPr>
          <w:p>
            <w:r>
              <w:rPr>
                <w:b w:val="false"/>
                <w:bCs w:val="false"/>
                <w:color w:val="000000"/>
                <w:sz w:val="20"/>
                <w:szCs w:val="20"/>
              </w:rPr>
              <w:t>Mayor de 34 ml/m²</w:t>
            </w:r>
          </w:p>
        </w:tc>
      </w:tr>
      <w:tr>
        <w:tc>
          <w:tcPr>
            <w:tcW w:type="dxa" w:w="4500"/>
            <w:tcMar>
              <w:top w:type="dxa" w:w="60"/>
              <w:left w:type="dxa" w:w="100"/>
              <w:bottom w:type="dxa" w:w="60"/>
              <w:right w:type="dxa" w:w="100"/>
            </w:tcMar>
          </w:tcPr>
          <w:p>
            <w:r>
              <w:rPr>
                <w:b w:val="false"/>
                <w:bCs w:val="false"/>
                <w:color w:val="000000"/>
                <w:sz w:val="20"/>
                <w:szCs w:val="20"/>
              </w:rPr>
              <w:t>Variables adicionales</w:t>
            </w:r>
          </w:p>
        </w:tc>
        <w:tc>
          <w:tcPr>
            <w:tcW w:type="dxa" w:w="4500"/>
            <w:tcMar>
              <w:top w:type="dxa" w:w="60"/>
              <w:left w:type="dxa" w:w="100"/>
              <w:bottom w:type="dxa" w:w="60"/>
              <w:right w:type="dxa" w:w="100"/>
            </w:tcMar>
          </w:tcPr>
          <w:p>
            <w:r>
              <w:rPr>
                <w:b w:val="false"/>
                <w:bCs w:val="false"/>
                <w:color w:val="000000"/>
                <w:sz w:val="20"/>
                <w:szCs w:val="20"/>
              </w:rPr>
              <w:t>Volumen indexado de AI &gt;34 ml/m² · TRI ≤70 ms · SDP ≤0.67</w:t>
            </w:r>
          </w:p>
        </w:tc>
      </w:tr>
    </w:tbl>
    <w:p>
      <w:pPr>
        <w:spacing w:after="120"/>
      </w:pPr>
      <w:r>
        <w:rPr>
          <w:b/>
          <w:bCs/>
        </w:rPr>
        <w:t>Paso 1 — ¿hay disfunción diastólica? (Figura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Situación</w:t>
            </w:r>
          </w:p>
        </w:tc>
        <w:tc>
          <w:tcPr>
            <w:tcW w:type="dxa" w:w="4500"/>
            <w:shd w:fill="1F4E79" w:val="clear"/>
            <w:tcMar>
              <w:top w:type="dxa" w:w="60"/>
              <w:left w:type="dxa" w:w="100"/>
              <w:bottom w:type="dxa" w:w="60"/>
              <w:right w:type="dxa" w:w="100"/>
            </w:tcMar>
          </w:tcPr>
          <w:p>
            <w:r>
              <w:rPr>
                <w:b/>
                <w:bCs/>
                <w:color w:val="FFFFFF"/>
                <w:sz w:val="20"/>
                <w:szCs w:val="20"/>
              </w:rPr>
              <w:t>Resultado</w:t>
            </w:r>
          </w:p>
        </w:tc>
      </w:tr>
      <w:tr>
        <w:tc>
          <w:tcPr>
            <w:tcW w:type="dxa" w:w="4500"/>
            <w:tcMar>
              <w:top w:type="dxa" w:w="60"/>
              <w:left w:type="dxa" w:w="100"/>
              <w:bottom w:type="dxa" w:w="60"/>
              <w:right w:type="dxa" w:w="100"/>
            </w:tcMar>
          </w:tcPr>
          <w:p>
            <w:r>
              <w:rPr>
                <w:b w:val="false"/>
                <w:bCs w:val="false"/>
                <w:color w:val="000000"/>
                <w:sz w:val="20"/>
                <w:szCs w:val="20"/>
              </w:rPr>
              <w:t>e' reducido y al menos 1 marcador (E/e' aumentado, E/A ≤0.8 o ≥2, volumen de AI &gt;34)</w:t>
            </w:r>
          </w:p>
        </w:tc>
        <w:tc>
          <w:tcPr>
            <w:tcW w:type="dxa" w:w="4500"/>
            <w:tcMar>
              <w:top w:type="dxa" w:w="60"/>
              <w:left w:type="dxa" w:w="100"/>
              <w:bottom w:type="dxa" w:w="60"/>
              <w:right w:type="dxa" w:w="100"/>
            </w:tcMar>
          </w:tcPr>
          <w:p>
            <w:r>
              <w:rPr>
                <w:b w:val="false"/>
                <w:bCs w:val="false"/>
                <w:color w:val="000000"/>
                <w:sz w:val="20"/>
                <w:szCs w:val="20"/>
              </w:rPr>
              <w:t>Disfunción diastólica</w:t>
            </w:r>
          </w:p>
        </w:tc>
      </w:tr>
      <w:tr>
        <w:tc>
          <w:tcPr>
            <w:tcW w:type="dxa" w:w="4500"/>
            <w:tcMar>
              <w:top w:type="dxa" w:w="60"/>
              <w:left w:type="dxa" w:w="100"/>
              <w:bottom w:type="dxa" w:w="60"/>
              <w:right w:type="dxa" w:w="100"/>
            </w:tcMar>
          </w:tcPr>
          <w:p>
            <w:r>
              <w:rPr>
                <w:b w:val="false"/>
                <w:bCs w:val="false"/>
                <w:color w:val="000000"/>
                <w:sz w:val="20"/>
                <w:szCs w:val="20"/>
              </w:rPr>
              <w:t>e' no reducido y al menos 2 marcadores</w:t>
            </w:r>
          </w:p>
        </w:tc>
        <w:tc>
          <w:tcPr>
            <w:tcW w:type="dxa" w:w="4500"/>
            <w:tcMar>
              <w:top w:type="dxa" w:w="60"/>
              <w:left w:type="dxa" w:w="100"/>
              <w:bottom w:type="dxa" w:w="60"/>
              <w:right w:type="dxa" w:w="100"/>
            </w:tcMar>
          </w:tcPr>
          <w:p>
            <w:r>
              <w:rPr>
                <w:b w:val="false"/>
                <w:bCs w:val="false"/>
                <w:color w:val="000000"/>
                <w:sz w:val="20"/>
                <w:szCs w:val="20"/>
              </w:rPr>
              <w:t>Disfunción diastólica</w:t>
            </w:r>
          </w:p>
        </w:tc>
      </w:tr>
      <w:tr>
        <w:tc>
          <w:tcPr>
            <w:tcW w:type="dxa" w:w="4500"/>
            <w:tcMar>
              <w:top w:type="dxa" w:w="60"/>
              <w:left w:type="dxa" w:w="100"/>
              <w:bottom w:type="dxa" w:w="60"/>
              <w:right w:type="dxa" w:w="100"/>
            </w:tcMar>
          </w:tcPr>
          <w:p>
            <w:r>
              <w:rPr>
                <w:b w:val="false"/>
                <w:bCs w:val="false"/>
                <w:color w:val="000000"/>
                <w:sz w:val="20"/>
                <w:szCs w:val="20"/>
              </w:rPr>
              <w:t>Cualquier otra combinación</w:t>
            </w:r>
          </w:p>
        </w:tc>
        <w:tc>
          <w:tcPr>
            <w:tcW w:type="dxa" w:w="4500"/>
            <w:tcMar>
              <w:top w:type="dxa" w:w="60"/>
              <w:left w:type="dxa" w:w="100"/>
              <w:bottom w:type="dxa" w:w="60"/>
              <w:right w:type="dxa" w:w="100"/>
            </w:tcMar>
          </w:tcPr>
          <w:p>
            <w:r>
              <w:rPr>
                <w:b w:val="false"/>
                <w:bCs w:val="false"/>
                <w:color w:val="000000"/>
                <w:sz w:val="20"/>
                <w:szCs w:val="20"/>
              </w:rPr>
              <w:t>Sin disfunción</w:t>
            </w:r>
          </w:p>
        </w:tc>
      </w:tr>
    </w:tbl>
    <w:p>
      <w:pPr>
        <w:spacing w:after="120"/>
      </w:pPr>
      <w:r>
        <w:rPr>
          <w:b/>
          <w:bCs/>
        </w:rPr>
        <w:t>Paso 2 — grado (Figura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Hallazgo</w:t>
            </w:r>
          </w:p>
        </w:tc>
        <w:tc>
          <w:tcPr>
            <w:tcW w:type="dxa" w:w="4500"/>
            <w:shd w:fill="1F4E79" w:val="clear"/>
            <w:tcMar>
              <w:top w:type="dxa" w:w="60"/>
              <w:left w:type="dxa" w:w="100"/>
              <w:bottom w:type="dxa" w:w="60"/>
              <w:right w:type="dxa" w:w="100"/>
            </w:tcMar>
          </w:tcPr>
          <w:p>
            <w:r>
              <w:rPr>
                <w:b/>
                <w:bCs/>
                <w:color w:val="FFFFFF"/>
                <w:sz w:val="20"/>
                <w:szCs w:val="20"/>
              </w:rPr>
              <w:t>Resultado</w:t>
            </w:r>
          </w:p>
        </w:tc>
      </w:tr>
      <w:tr>
        <w:tc>
          <w:tcPr>
            <w:tcW w:type="dxa" w:w="4500"/>
            <w:tcMar>
              <w:top w:type="dxa" w:w="60"/>
              <w:left w:type="dxa" w:w="100"/>
              <w:bottom w:type="dxa" w:w="60"/>
              <w:right w:type="dxa" w:w="100"/>
            </w:tcMar>
          </w:tcPr>
          <w:p>
            <w:r>
              <w:rPr>
                <w:b w:val="false"/>
                <w:bCs w:val="false"/>
                <w:color w:val="000000"/>
                <w:sz w:val="20"/>
                <w:szCs w:val="20"/>
              </w:rPr>
              <w:t>e' reducido + E/e' aumentado + IT aumentada (S## &gt;31 mmHg)</w:t>
            </w:r>
          </w:p>
        </w:tc>
        <w:tc>
          <w:tcPr>
            <w:tcW w:type="dxa" w:w="4500"/>
            <w:tcMar>
              <w:top w:type="dxa" w:w="60"/>
              <w:left w:type="dxa" w:w="100"/>
              <w:bottom w:type="dxa" w:w="60"/>
              <w:right w:type="dxa" w:w="100"/>
            </w:tcMar>
          </w:tcPr>
          <w:p>
            <w:r>
              <w:rPr>
                <w:b w:val="false"/>
                <w:bCs w:val="false"/>
                <w:color w:val="000000"/>
                <w:sz w:val="20"/>
                <w:szCs w:val="20"/>
              </w:rPr>
              <w:t>Presión de AI elevada: grado 2 si E/A &lt;2; grado 3 si E/A ≥2</w:t>
            </w:r>
          </w:p>
        </w:tc>
      </w:tr>
      <w:tr>
        <w:tc>
          <w:tcPr>
            <w:tcW w:type="dxa" w:w="4500"/>
            <w:tcMar>
              <w:top w:type="dxa" w:w="60"/>
              <w:left w:type="dxa" w:w="100"/>
              <w:bottom w:type="dxa" w:w="60"/>
              <w:right w:type="dxa" w:w="100"/>
            </w:tcMar>
          </w:tcPr>
          <w:p>
            <w:r>
              <w:rPr>
                <w:b w:val="false"/>
                <w:bCs w:val="false"/>
                <w:color w:val="000000"/>
                <w:sz w:val="20"/>
                <w:szCs w:val="20"/>
              </w:rPr>
              <w:t>Solo e' reducido y E/A ≤0.8</w:t>
            </w:r>
          </w:p>
        </w:tc>
        <w:tc>
          <w:tcPr>
            <w:tcW w:type="dxa" w:w="4500"/>
            <w:tcMar>
              <w:top w:type="dxa" w:w="60"/>
              <w:left w:type="dxa" w:w="100"/>
              <w:bottom w:type="dxa" w:w="60"/>
              <w:right w:type="dxa" w:w="100"/>
            </w:tcMar>
          </w:tcPr>
          <w:p>
            <w:r>
              <w:rPr>
                <w:b w:val="false"/>
                <w:bCs w:val="false"/>
                <w:color w:val="000000"/>
                <w:sz w:val="20"/>
                <w:szCs w:val="20"/>
              </w:rPr>
              <w:t>Grado 1</w:t>
            </w:r>
          </w:p>
        </w:tc>
      </w:tr>
      <w:tr>
        <w:tc>
          <w:tcPr>
            <w:tcW w:type="dxa" w:w="4500"/>
            <w:tcMar>
              <w:top w:type="dxa" w:w="60"/>
              <w:left w:type="dxa" w:w="100"/>
              <w:bottom w:type="dxa" w:w="60"/>
              <w:right w:type="dxa" w:w="100"/>
            </w:tcMar>
          </w:tcPr>
          <w:p>
            <w:r>
              <w:rPr>
                <w:b w:val="false"/>
                <w:bCs w:val="false"/>
                <w:color w:val="000000"/>
                <w:sz w:val="20"/>
                <w:szCs w:val="20"/>
              </w:rPr>
              <w:t>Casos intermedios (solo E/e', solo IT, o dos variables alteradas)</w:t>
            </w:r>
          </w:p>
        </w:tc>
        <w:tc>
          <w:tcPr>
            <w:tcW w:type="dxa" w:w="4500"/>
            <w:tcMar>
              <w:top w:type="dxa" w:w="60"/>
              <w:left w:type="dxa" w:w="100"/>
              <w:bottom w:type="dxa" w:w="60"/>
              <w:right w:type="dxa" w:w="100"/>
            </w:tcMar>
          </w:tcPr>
          <w:p>
            <w:r>
              <w:rPr>
                <w:b w:val="false"/>
                <w:bCs w:val="false"/>
                <w:color w:val="000000"/>
                <w:sz w:val="20"/>
                <w:szCs w:val="20"/>
              </w:rPr>
              <w:t>Se evalúa una variable adicional. Si alguna indica presión elevada: grado 2 o 3 según E/A. Si ninguna lo indica y e' está reducido con E/A ≤0.8: grado 1. Sin variables adicionales: disfunción sin grado</w:t>
            </w:r>
          </w:p>
        </w:tc>
      </w:tr>
    </w:tbl>
    <w:p>
      <w:pPr>
        <w:spacing w:after="120"/>
      </w:pPr>
      <w:r>
        <w:rPr>
          <w:b/>
          <w:bCs/>
        </w:rPr>
        <w:t>Función diastólica normal</w:t>
      </w:r>
    </w:p>
    <w:p>
      <w:pPr>
        <w:spacing w:after="120"/>
      </w:pPr>
      <w:r>
        <w:t>El motor escribe "FUNCION DIASTOLICA NORMAL" cuando no hay disfunción según la Figura 2, e' no está reducido, E/e' es normal y S## es de 31 mmHg o menos. Se usa un corte único de 31 mmHg para la IT, que equivale a los 2.8 m/s de la guía: por encima de 31 la IT cuenta como aumentada y con 31 o menos como normal. Esta conclusión no coexiste con "ECOCARDIOGRAMA NORMAL", porque S## genera la línea de regurgitación tricuspídea.</w:t>
      </w:r>
    </w:p>
    <w:p>
      <w:pPr>
        <w:spacing w:after="120"/>
      </w:pPr>
      <w:r>
        <w:rPr>
          <w:b/>
          <w:bCs/>
        </w:rPr>
        <w:t>Anillo mitral calcificado — EM + ANILLO ↑ (Figura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Condición</w:t>
            </w:r>
          </w:p>
        </w:tc>
        <w:tc>
          <w:tcPr>
            <w:tcW w:type="dxa" w:w="4500"/>
            <w:shd w:fill="1F4E79" w:val="clear"/>
            <w:tcMar>
              <w:top w:type="dxa" w:w="60"/>
              <w:left w:type="dxa" w:w="100"/>
              <w:bottom w:type="dxa" w:w="60"/>
              <w:right w:type="dxa" w:w="100"/>
            </w:tcMar>
          </w:tcPr>
          <w:p>
            <w:r>
              <w:rPr>
                <w:b/>
                <w:bCs/>
                <w:color w:val="FFFFFF"/>
                <w:sz w:val="20"/>
                <w:szCs w:val="20"/>
              </w:rPr>
              <w:t>Resultado</w:t>
            </w:r>
          </w:p>
        </w:tc>
      </w:tr>
      <w:tr>
        <w:tc>
          <w:tcPr>
            <w:tcW w:type="dxa" w:w="4500"/>
            <w:tcMar>
              <w:top w:type="dxa" w:w="60"/>
              <w:left w:type="dxa" w:w="100"/>
              <w:bottom w:type="dxa" w:w="60"/>
              <w:right w:type="dxa" w:w="100"/>
            </w:tcMar>
          </w:tcPr>
          <w:p>
            <w:r>
              <w:rPr>
                <w:b w:val="false"/>
                <w:bCs w:val="false"/>
                <w:color w:val="000000"/>
                <w:sz w:val="20"/>
                <w:szCs w:val="20"/>
              </w:rPr>
              <w:t>E/A &lt;0.8</w:t>
            </w:r>
          </w:p>
        </w:tc>
        <w:tc>
          <w:tcPr>
            <w:tcW w:type="dxa" w:w="4500"/>
            <w:tcMar>
              <w:top w:type="dxa" w:w="60"/>
              <w:left w:type="dxa" w:w="100"/>
              <w:bottom w:type="dxa" w:w="60"/>
              <w:right w:type="dxa" w:w="100"/>
            </w:tcMar>
          </w:tcPr>
          <w:p>
            <w:r>
              <w:rPr>
                <w:b w:val="false"/>
                <w:bCs w:val="false"/>
                <w:color w:val="000000"/>
                <w:sz w:val="20"/>
                <w:szCs w:val="20"/>
              </w:rPr>
              <w:t>Presión de AI normal: no se escribe nada</w:t>
            </w:r>
          </w:p>
        </w:tc>
      </w:tr>
      <w:tr>
        <w:tc>
          <w:tcPr>
            <w:tcW w:type="dxa" w:w="4500"/>
            <w:tcMar>
              <w:top w:type="dxa" w:w="60"/>
              <w:left w:type="dxa" w:w="100"/>
              <w:bottom w:type="dxa" w:w="60"/>
              <w:right w:type="dxa" w:w="100"/>
            </w:tcMar>
          </w:tcPr>
          <w:p>
            <w:r>
              <w:rPr>
                <w:b w:val="false"/>
                <w:bCs w:val="false"/>
                <w:color w:val="000000"/>
                <w:sz w:val="20"/>
                <w:szCs w:val="20"/>
              </w:rPr>
              <w:t>E/A &gt;1.8</w:t>
            </w:r>
          </w:p>
        </w:tc>
        <w:tc>
          <w:tcPr>
            <w:tcW w:type="dxa" w:w="4500"/>
            <w:tcMar>
              <w:top w:type="dxa" w:w="60"/>
              <w:left w:type="dxa" w:w="100"/>
              <w:bottom w:type="dxa" w:w="60"/>
              <w:right w:type="dxa" w:w="100"/>
            </w:tcMar>
          </w:tcPr>
          <w:p>
            <w:r>
              <w:rPr>
                <w:b w:val="false"/>
                <w:bCs w:val="false"/>
                <w:color w:val="000000"/>
                <w:sz w:val="20"/>
                <w:szCs w:val="20"/>
              </w:rPr>
              <w:t>ELEVACION DE LA PRESION DE LLENADO DEL VENTRICULO IZQUIERDO</w:t>
            </w:r>
          </w:p>
        </w:tc>
      </w:tr>
      <w:tr>
        <w:tc>
          <w:tcPr>
            <w:tcW w:type="dxa" w:w="4500"/>
            <w:tcMar>
              <w:top w:type="dxa" w:w="60"/>
              <w:left w:type="dxa" w:w="100"/>
              <w:bottom w:type="dxa" w:w="60"/>
              <w:right w:type="dxa" w:w="100"/>
            </w:tcMar>
          </w:tcPr>
          <w:p>
            <w:r>
              <w:rPr>
                <w:b w:val="false"/>
                <w:bCs w:val="false"/>
                <w:color w:val="000000"/>
                <w:sz w:val="20"/>
                <w:szCs w:val="20"/>
              </w:rPr>
              <w:t>E/A de 0.8 a 1.8</w:t>
            </w:r>
          </w:p>
        </w:tc>
        <w:tc>
          <w:tcPr>
            <w:tcW w:type="dxa" w:w="4500"/>
            <w:tcMar>
              <w:top w:type="dxa" w:w="60"/>
              <w:left w:type="dxa" w:w="100"/>
              <w:bottom w:type="dxa" w:w="60"/>
              <w:right w:type="dxa" w:w="100"/>
            </w:tcMar>
          </w:tcPr>
          <w:p>
            <w:r>
              <w:rPr>
                <w:b w:val="false"/>
                <w:bCs w:val="false"/>
                <w:color w:val="000000"/>
                <w:sz w:val="20"/>
                <w:szCs w:val="20"/>
              </w:rPr>
              <w:t>TRI ≥80 ms: normal (no se escribe nada) · TRI &lt;80 ms: elevada · sin TRI: no se escribe nada</w:t>
            </w:r>
          </w:p>
        </w:tc>
      </w:tr>
    </w:tbl>
    <w:p>
      <w:pPr>
        <w:spacing w:after="120"/>
      </w:pPr>
      <w:r>
        <w:rPr>
          <w:b/>
          <w:bCs/>
        </w:rPr>
        <w:t>Interpretaciones del desarrollador (no literales en la guía)</w:t>
      </w:r>
    </w:p>
    <w:p>
      <w:pPr>
        <w:spacing w:after="120"/>
      </w:pPr>
      <w:r>
        <w:t>1) Con IT alta y e' reducido, un TRI mayor de 70 ms se toma como variable adicional normal (presión de AI probablemente normal) y permite el grado 1. 2) Las variables que no se dictan se consideran no disponibles, no anormales. 3) La IT elevada no se discrimina en hipertensión pulmonar no cardíaca (no se implementa la Figura 6). 4) No se implementan las exclusiones de insuficiencia mitral primaria severa, TEER, trasplante cardíaco, constricción pericárdica ni asistencia ventricular.</w:t>
      </w:r>
    </w:p>
    <w:p>
      <w:pPr>
        <w:spacing w:after="120"/>
      </w:pPr>
      <w:r>
        <w:t>Fuente: Nagueh SF, Sanborn DY, Oh JK, et al. Recommendations for the Evaluation of Left Ventricular Diastolic Function by Echocardiography and for Heart Failure With Preserved Ejection Fraction Diagnosis: An Update From the American Society of Echocardiography. J Am Soc Echocardiogr 2025;38(7):537-569. doi:10.1016/j.echo.2025.03.011.</w:t>
      </w:r>
    </w:p>
    <w:p>
      <w:pPr>
        <w:spacing w:after="120"/>
      </w:pPr>
      <w:r>
        <w:t>Regla general: el sistema solo concluye un grado de disfunción diastólica cuando el algoritmo (o el dictado directo DD1/DD2/DD3) lo permite. Si los datos no alcanzan para aplicar el algoritmo, no se genera ninguna conclusión sobre función diastólica. Sin e' dictado tampoco se concluye nada.</w:t>
      </w:r>
    </w:p>
    <w:p>
      <w:pPr>
        <w:pStyle w:val="Heading2"/>
        <w:spacing w:after="150" w:before="300"/>
      </w:pPr>
      <w:r>
        <w:t xml:space="preserve">2.13 Hipertensión pulmonar</w:t>
      </w:r>
    </w:p>
    <w:p>
      <w:pPr>
        <w:spacing w:after="120"/>
      </w:pPr>
      <w:r>
        <w:t xml:space="preserve">El sistema integra automáticamente: Sxx (gradiente pico de IT), CAV/CAVA (vena cava), TAPSE, D↑ (cavidades derechas dilatadas), AD↑, S/S, S/D, S/SD (sobrecarga septal) e IT.</w:t>
      </w:r>
    </w:p>
    <w:p>
      <w:pPr>
        <w:spacing w:after="120"/>
      </w:pPr>
      <w:r>
        <w:t xml:space="preserve">Regla clave: el gradiente Sxx, por sí solo (sin otros hallazgos de sobrecarga derecha), YA es suficiente para concluir un nivel de probabilidad de hipertensión pulmonar: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shd w:fill="1F4E79" w:val="clear"/>
            <w:tcMar>
              <w:top w:type="dxa" w:w="60"/>
              <w:left w:type="dxa" w:w="100"/>
              <w:bottom w:type="dxa" w:w="60"/>
              <w:right w:type="dxa" w:w="100"/>
            </w:tcMar>
          </w:tcPr>
          <w:p>
            <w:r>
              <w:rPr>
                <w:b/>
                <w:bCs/>
                <w:color w:val="FFFFFF"/>
                <w:sz w:val="20"/>
                <w:szCs w:val="20"/>
              </w:rPr>
              <w:t xml:space="preserve">Sxx (mmHg)</w:t>
            </w:r>
          </w:p>
        </w:tc>
        <w:tc>
          <w:tcPr>
            <w:tcW w:type="dxa" w:w="3600"/>
            <w:shd w:fill="1F4E79" w:val="clear"/>
            <w:tcMar>
              <w:top w:type="dxa" w:w="60"/>
              <w:left w:type="dxa" w:w="100"/>
              <w:bottom w:type="dxa" w:w="60"/>
              <w:right w:type="dxa" w:w="100"/>
            </w:tcMar>
          </w:tcPr>
          <w:p>
            <w:r>
              <w:rPr>
                <w:b/>
                <w:bCs/>
                <w:color w:val="FFFFFF"/>
                <w:sz w:val="20"/>
                <w:szCs w:val="20"/>
              </w:rPr>
              <w:t xml:space="preserve">Probabilidad de HP (aislado)</w:t>
            </w:r>
          </w:p>
        </w:tc>
        <w:tc>
          <w:tcPr>
            <w:tcW w:type="dxa" w:w="3200"/>
            <w:shd w:fill="1F4E79" w:val="clear"/>
            <w:tcMar>
              <w:top w:type="dxa" w:w="60"/>
              <w:left w:type="dxa" w:w="100"/>
              <w:bottom w:type="dxa" w:w="60"/>
              <w:right w:type="dxa" w:w="100"/>
            </w:tcMar>
          </w:tcPr>
          <w:p>
            <w:r>
              <w:rPr>
                <w:b/>
                <w:bCs/>
                <w:color w:val="FFFFFF"/>
                <w:sz w:val="20"/>
                <w:szCs w:val="20"/>
              </w:rPr>
              <w:t xml:space="preserve">Con dilatación de cavidades derechas / AD↑ / S-S,S-D,S-SD / TAPSE bajo, etc.</w:t>
            </w:r>
          </w:p>
        </w:tc>
      </w:tr>
      <w:tr>
        <w:tc>
          <w:tcPr>
            <w:tcW w:type="dxa" w:w="2200"/>
            <w:tcMar>
              <w:top w:type="dxa" w:w="60"/>
              <w:left w:type="dxa" w:w="100"/>
              <w:bottom w:type="dxa" w:w="60"/>
              <w:right w:type="dxa" w:w="100"/>
            </w:tcMar>
          </w:tcPr>
          <w:p>
            <w:r>
              <w:rPr>
                <w:b w:val="false"/>
                <w:bCs w:val="false"/>
                <w:color w:val="000000"/>
                <w:sz w:val="20"/>
                <w:szCs w:val="20"/>
              </w:rPr>
              <w:t xml:space="preserve">≤ 40</w:t>
            </w:r>
          </w:p>
        </w:tc>
        <w:tc>
          <w:tcPr>
            <w:tcW w:type="dxa" w:w="3600"/>
            <w:tcMar>
              <w:top w:type="dxa" w:w="60"/>
              <w:left w:type="dxa" w:w="100"/>
              <w:bottom w:type="dxa" w:w="60"/>
              <w:right w:type="dxa" w:w="100"/>
            </w:tcMar>
          </w:tcPr>
          <w:p>
            <w:r>
              <w:rPr>
                <w:b w:val="false"/>
                <w:bCs w:val="false"/>
                <w:color w:val="000000"/>
                <w:sz w:val="20"/>
                <w:szCs w:val="20"/>
              </w:rPr>
              <w:t xml:space="preserve">Baja</w:t>
            </w:r>
          </w:p>
        </w:tc>
        <w:tc>
          <w:tcPr>
            <w:tcW w:type="dxa" w:w="3200"/>
            <w:tcMar>
              <w:top w:type="dxa" w:w="60"/>
              <w:left w:type="dxa" w:w="100"/>
              <w:bottom w:type="dxa" w:w="60"/>
              <w:right w:type="dxa" w:w="100"/>
            </w:tcMar>
          </w:tcPr>
          <w:p>
            <w:r>
              <w:rPr>
                <w:b w:val="false"/>
                <w:bCs w:val="false"/>
                <w:color w:val="000000"/>
                <w:sz w:val="20"/>
                <w:szCs w:val="20"/>
              </w:rPr>
              <w:t xml:space="preserve">—</w:t>
            </w:r>
          </w:p>
        </w:tc>
      </w:tr>
      <w:tr>
        <w:tc>
          <w:tcPr>
            <w:tcW w:type="dxa" w:w="2200"/>
            <w:tcMar>
              <w:top w:type="dxa" w:w="60"/>
              <w:left w:type="dxa" w:w="100"/>
              <w:bottom w:type="dxa" w:w="60"/>
              <w:right w:type="dxa" w:w="100"/>
            </w:tcMar>
          </w:tcPr>
          <w:p>
            <w:r>
              <w:rPr>
                <w:b w:val="false"/>
                <w:bCs w:val="false"/>
                <w:color w:val="000000"/>
                <w:sz w:val="20"/>
                <w:szCs w:val="20"/>
              </w:rPr>
              <w:t xml:space="preserve">&gt; 40</w:t>
            </w:r>
          </w:p>
        </w:tc>
        <w:tc>
          <w:tcPr>
            <w:tcW w:type="dxa" w:w="3600"/>
            <w:tcMar>
              <w:top w:type="dxa" w:w="60"/>
              <w:left w:type="dxa" w:w="100"/>
              <w:bottom w:type="dxa" w:w="60"/>
              <w:right w:type="dxa" w:w="100"/>
            </w:tcMar>
          </w:tcPr>
          <w:p>
            <w:r>
              <w:rPr>
                <w:b w:val="false"/>
                <w:bCs w:val="false"/>
                <w:color w:val="000000"/>
                <w:sz w:val="20"/>
                <w:szCs w:val="20"/>
              </w:rPr>
              <w:t xml:space="preserve">Intermedia</w:t>
            </w:r>
          </w:p>
        </w:tc>
        <w:tc>
          <w:tcPr>
            <w:tcW w:type="dxa" w:w="3200"/>
            <w:tcMar>
              <w:top w:type="dxa" w:w="60"/>
              <w:left w:type="dxa" w:w="100"/>
              <w:bottom w:type="dxa" w:w="60"/>
              <w:right w:type="dxa" w:w="100"/>
            </w:tcMar>
          </w:tcPr>
          <w:p>
            <w:r>
              <w:rPr>
                <w:b w:val="false"/>
                <w:bCs w:val="false"/>
                <w:color w:val="000000"/>
                <w:sz w:val="20"/>
                <w:szCs w:val="20"/>
              </w:rPr>
              <w:t xml:space="preserve">Alta</w:t>
            </w:r>
          </w:p>
        </w:tc>
      </w:tr>
    </w:tbl>
    <w:p>
      <w:pPr>
        <w:spacing w:after="120"/>
      </w:pPr>
      <w:r>
        <w:t xml:space="preserve">Regla fundamental: la probabilidad de hipertensión pulmonar (baja/intermedia/alta) es INDEPENDIENTE del grado de severidad de la insuficiencia tricuspídea. La conclusión de HP nunca repite el grado de la IT — son dos informaciones distintas que no se mezclan en una sola frase.</w:t>
      </w:r>
    </w:p>
    <w:p>
      <w:pPr>
        <w:pStyle w:val="Heading2"/>
        <w:spacing w:after="150" w:before="300"/>
      </w:pPr>
      <w:r>
        <w:t xml:space="preserve">2.14 Masas intracardíacas y dispositivos</w:t>
      </w:r>
    </w:p>
    <w:p>
      <w:pPr>
        <w:spacing w:after="120"/>
      </w:pPr>
      <w:r>
        <w:t xml:space="preserve">Bloque con prioridad diagnóstica máxima dentro del informe.</w:t>
      </w:r>
    </w:p>
    <w:p>
      <w:pPr>
        <w:pStyle w:val="Heading3"/>
        <w:spacing w:after="100" w:before="200"/>
      </w:pPr>
      <w:r>
        <w:t xml:space="preserve">Trombo — código general TX</w:t>
      </w:r>
    </w:p>
    <w:p>
      <w:pPr>
        <w:spacing w:after="120"/>
      </w:pPr>
      <w:r>
        <w:t xml:space="preserve">Formato oficial: TX diámetro mayor × diámetro menor localización (mm). Ejemplos: TX 18x12 VI, TX 22x14 AI, TX 15x9 OI.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Interpretación</w:t>
            </w:r>
          </w:p>
        </w:tc>
      </w:tr>
      <w:tr>
        <w:tc>
          <w:tcPr>
            <w:tcW w:type="dxa" w:w="4500"/>
            <w:tcMar>
              <w:top w:type="dxa" w:w="60"/>
              <w:left w:type="dxa" w:w="100"/>
              <w:bottom w:type="dxa" w:w="60"/>
              <w:right w:type="dxa" w:w="100"/>
            </w:tcMar>
          </w:tcPr>
          <w:p>
            <w:r>
              <w:rPr>
                <w:b w:val="false"/>
                <w:bCs w:val="false"/>
                <w:color w:val="000000"/>
                <w:sz w:val="20"/>
                <w:szCs w:val="20"/>
              </w:rPr>
              <w:t xml:space="preserve">TX</w:t>
            </w:r>
          </w:p>
        </w:tc>
        <w:tc>
          <w:tcPr>
            <w:tcW w:type="dxa" w:w="4500"/>
            <w:tcMar>
              <w:top w:type="dxa" w:w="60"/>
              <w:left w:type="dxa" w:w="100"/>
              <w:bottom w:type="dxa" w:w="60"/>
              <w:right w:type="dxa" w:w="100"/>
            </w:tcMar>
          </w:tcPr>
          <w:p>
            <w:r>
              <w:rPr>
                <w:b w:val="false"/>
                <w:bCs w:val="false"/>
                <w:color w:val="000000"/>
                <w:sz w:val="20"/>
                <w:szCs w:val="20"/>
              </w:rPr>
              <w:t xml:space="preserve">Trombo</w:t>
            </w:r>
          </w:p>
        </w:tc>
      </w:tr>
      <w:tr>
        <w:tc>
          <w:tcPr>
            <w:tcW w:type="dxa" w:w="4500"/>
            <w:tcMar>
              <w:top w:type="dxa" w:w="60"/>
              <w:left w:type="dxa" w:w="100"/>
              <w:bottom w:type="dxa" w:w="60"/>
              <w:right w:type="dxa" w:w="100"/>
            </w:tcMar>
          </w:tcPr>
          <w:p>
            <w:r>
              <w:rPr>
                <w:b w:val="false"/>
                <w:bCs w:val="false"/>
                <w:color w:val="000000"/>
                <w:sz w:val="20"/>
                <w:szCs w:val="20"/>
              </w:rPr>
              <w:t xml:space="preserve">TXM</w:t>
            </w:r>
          </w:p>
        </w:tc>
        <w:tc>
          <w:tcPr>
            <w:tcW w:type="dxa" w:w="4500"/>
            <w:tcMar>
              <w:top w:type="dxa" w:w="60"/>
              <w:left w:type="dxa" w:w="100"/>
              <w:bottom w:type="dxa" w:w="60"/>
              <w:right w:type="dxa" w:w="100"/>
            </w:tcMar>
          </w:tcPr>
          <w:p>
            <w:r>
              <w:rPr>
                <w:b w:val="false"/>
                <w:bCs w:val="false"/>
                <w:color w:val="000000"/>
                <w:sz w:val="20"/>
                <w:szCs w:val="20"/>
              </w:rPr>
              <w:t xml:space="preserve">Trombo móvil</w:t>
            </w:r>
          </w:p>
        </w:tc>
      </w:tr>
      <w:tr>
        <w:tc>
          <w:tcPr>
            <w:tcW w:type="dxa" w:w="4500"/>
            <w:tcMar>
              <w:top w:type="dxa" w:w="60"/>
              <w:left w:type="dxa" w:w="100"/>
              <w:bottom w:type="dxa" w:w="60"/>
              <w:right w:type="dxa" w:w="100"/>
            </w:tcMar>
          </w:tcPr>
          <w:p>
            <w:r>
              <w:rPr>
                <w:b w:val="false"/>
                <w:bCs w:val="false"/>
                <w:color w:val="000000"/>
                <w:sz w:val="20"/>
                <w:szCs w:val="20"/>
              </w:rPr>
              <w:t xml:space="preserve">TXMU</w:t>
            </w:r>
          </w:p>
        </w:tc>
        <w:tc>
          <w:tcPr>
            <w:tcW w:type="dxa" w:w="4500"/>
            <w:tcMar>
              <w:top w:type="dxa" w:w="60"/>
              <w:left w:type="dxa" w:w="100"/>
              <w:bottom w:type="dxa" w:w="60"/>
              <w:right w:type="dxa" w:w="100"/>
            </w:tcMar>
          </w:tcPr>
          <w:p>
            <w:r>
              <w:rPr>
                <w:b w:val="false"/>
                <w:bCs w:val="false"/>
                <w:color w:val="000000"/>
                <w:sz w:val="20"/>
                <w:szCs w:val="20"/>
              </w:rPr>
              <w:t xml:space="preserve">Trombo mural</w:t>
            </w:r>
          </w:p>
        </w:tc>
      </w:tr>
      <w:tr>
        <w:tc>
          <w:tcPr>
            <w:tcW w:type="dxa" w:w="4500"/>
            <w:tcMar>
              <w:top w:type="dxa" w:w="60"/>
              <w:left w:type="dxa" w:w="100"/>
              <w:bottom w:type="dxa" w:w="60"/>
              <w:right w:type="dxa" w:w="100"/>
            </w:tcMar>
          </w:tcPr>
          <w:p>
            <w:r>
              <w:rPr>
                <w:b w:val="false"/>
                <w:bCs w:val="false"/>
                <w:color w:val="000000"/>
                <w:sz w:val="20"/>
                <w:szCs w:val="20"/>
              </w:rPr>
              <w:t xml:space="preserve">TXP</w:t>
            </w:r>
          </w:p>
        </w:tc>
        <w:tc>
          <w:tcPr>
            <w:tcW w:type="dxa" w:w="4500"/>
            <w:tcMar>
              <w:top w:type="dxa" w:w="60"/>
              <w:left w:type="dxa" w:w="100"/>
              <w:bottom w:type="dxa" w:w="60"/>
              <w:right w:type="dxa" w:w="100"/>
            </w:tcMar>
          </w:tcPr>
          <w:p>
            <w:r>
              <w:rPr>
                <w:b w:val="false"/>
                <w:bCs w:val="false"/>
                <w:color w:val="000000"/>
                <w:sz w:val="20"/>
                <w:szCs w:val="20"/>
              </w:rPr>
              <w:t xml:space="preserve">Trombo pediculado</w:t>
            </w:r>
          </w:p>
        </w:tc>
      </w:tr>
      <w:tr>
        <w:tc>
          <w:tcPr>
            <w:tcW w:type="dxa" w:w="4500"/>
            <w:tcMar>
              <w:top w:type="dxa" w:w="60"/>
              <w:left w:type="dxa" w:w="100"/>
              <w:bottom w:type="dxa" w:w="60"/>
              <w:right w:type="dxa" w:w="100"/>
            </w:tcMar>
          </w:tcPr>
          <w:p>
            <w:r>
              <w:rPr>
                <w:b w:val="false"/>
                <w:bCs w:val="false"/>
                <w:color w:val="000000"/>
                <w:sz w:val="20"/>
                <w:szCs w:val="20"/>
              </w:rPr>
              <w:t xml:space="preserve">TXO</w:t>
            </w:r>
          </w:p>
        </w:tc>
        <w:tc>
          <w:tcPr>
            <w:tcW w:type="dxa" w:w="4500"/>
            <w:tcMar>
              <w:top w:type="dxa" w:w="60"/>
              <w:left w:type="dxa" w:w="100"/>
              <w:bottom w:type="dxa" w:w="60"/>
              <w:right w:type="dxa" w:w="100"/>
            </w:tcMar>
          </w:tcPr>
          <w:p>
            <w:r>
              <w:rPr>
                <w:b w:val="false"/>
                <w:bCs w:val="false"/>
                <w:color w:val="000000"/>
                <w:sz w:val="20"/>
                <w:szCs w:val="20"/>
              </w:rPr>
              <w:t xml:space="preserve">Trombo organizado</w:t>
            </w:r>
          </w:p>
        </w:tc>
      </w:tr>
    </w:tbl>
    <w:p>
      <w:pPr>
        <w:spacing w:after="120"/>
      </w:pPr>
      <w:r>
        <w:t xml:space="preserve">Siempre ocupa el primer lugar en conclusiones. TX en VI → asociar a infarto previo o miocardiopatía; TX en AI/OI → asociar a trombosis por fibrilación auricular.</w:t>
      </w:r>
    </w:p>
    <w:p>
      <w:pPr>
        <w:pStyle w:val="Heading3"/>
        <w:spacing w:after="100" w:before="200"/>
      </w:pPr>
      <w:r>
        <w:t xml:space="preserve">Contraste espontáneo</w:t>
      </w:r>
    </w:p>
    <w:p>
      <w:pPr>
        <w:spacing w:after="120"/>
      </w:pPr>
      <w:r>
        <w:t xml:space="preserve">Sinónimos: CE, HUMO, SMOK, SMOCK → "Contraste espontáneo intracavitario". Grados: CE1 (leve), CE2 (moderado), CE3 (severo).</w:t>
      </w:r>
    </w:p>
    <w:p>
      <w:pPr>
        <w:pStyle w:val="Heading3"/>
        <w:spacing w:after="100" w:before="200"/>
      </w:pPr>
      <w:r>
        <w:t xml:space="preserve">Otras masas intracardíacas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F4E79" w:val="clear"/>
            <w:tcMar>
              <w:top w:type="dxa" w:w="60"/>
              <w:left w:type="dxa" w:w="100"/>
              <w:bottom w:type="dxa" w:w="60"/>
              <w:right w:type="dxa" w:w="100"/>
            </w:tcMar>
          </w:tcPr>
          <w:p>
            <w:r>
              <w:rPr>
                <w:b/>
                <w:bCs/>
                <w:color w:val="FFFFFF"/>
                <w:sz w:val="20"/>
                <w:szCs w:val="20"/>
              </w:rPr>
              <w:t xml:space="preserve">Código</w:t>
            </w:r>
          </w:p>
        </w:tc>
        <w:tc>
          <w:tcPr>
            <w:tcW w:type="dxa" w:w="7200"/>
            <w:shd w:fill="1F4E79" w:val="clear"/>
            <w:tcMar>
              <w:top w:type="dxa" w:w="60"/>
              <w:left w:type="dxa" w:w="100"/>
              <w:bottom w:type="dxa" w:w="60"/>
              <w:right w:type="dxa" w:w="100"/>
            </w:tcMar>
          </w:tcPr>
          <w:p>
            <w:r>
              <w:rPr>
                <w:b/>
                <w:bCs/>
                <w:color w:val="FFFFFF"/>
                <w:sz w:val="20"/>
                <w:szCs w:val="20"/>
              </w:rPr>
              <w:t xml:space="preserve">Significado</w:t>
            </w:r>
          </w:p>
        </w:tc>
      </w:tr>
      <w:tr>
        <w:tc>
          <w:tcPr>
            <w:tcW w:type="dxa" w:w="1800"/>
            <w:tcMar>
              <w:top w:type="dxa" w:w="60"/>
              <w:left w:type="dxa" w:w="100"/>
              <w:bottom w:type="dxa" w:w="60"/>
              <w:right w:type="dxa" w:w="100"/>
            </w:tcMar>
          </w:tcPr>
          <w:p>
            <w:r>
              <w:rPr>
                <w:b w:val="false"/>
                <w:bCs w:val="false"/>
                <w:color w:val="000000"/>
                <w:sz w:val="20"/>
                <w:szCs w:val="20"/>
              </w:rPr>
              <w:t xml:space="preserve">VEG</w:t>
            </w:r>
          </w:p>
        </w:tc>
        <w:tc>
          <w:tcPr>
            <w:tcW w:type="dxa" w:w="7200"/>
            <w:tcMar>
              <w:top w:type="dxa" w:w="60"/>
              <w:left w:type="dxa" w:w="100"/>
              <w:bottom w:type="dxa" w:w="60"/>
              <w:right w:type="dxa" w:w="100"/>
            </w:tcMar>
          </w:tcPr>
          <w:p>
            <w:r>
              <w:rPr>
                <w:b w:val="false"/>
                <w:bCs w:val="false"/>
                <w:color w:val="000000"/>
                <w:sz w:val="20"/>
                <w:szCs w:val="20"/>
              </w:rPr>
              <w:t xml:space="preserve">Vegetación</w:t>
            </w:r>
          </w:p>
        </w:tc>
      </w:tr>
      <w:tr>
        <w:tc>
          <w:tcPr>
            <w:tcW w:type="dxa" w:w="1800"/>
            <w:tcMar>
              <w:top w:type="dxa" w:w="60"/>
              <w:left w:type="dxa" w:w="100"/>
              <w:bottom w:type="dxa" w:w="60"/>
              <w:right w:type="dxa" w:w="100"/>
            </w:tcMar>
          </w:tcPr>
          <w:p>
            <w:r>
              <w:rPr>
                <w:b w:val="false"/>
                <w:bCs w:val="false"/>
                <w:color w:val="000000"/>
                <w:sz w:val="20"/>
                <w:szCs w:val="20"/>
              </w:rPr>
              <w:t xml:space="preserve">MIX</w:t>
            </w:r>
          </w:p>
        </w:tc>
        <w:tc>
          <w:tcPr>
            <w:tcW w:type="dxa" w:w="7200"/>
            <w:tcMar>
              <w:top w:type="dxa" w:w="60"/>
              <w:left w:type="dxa" w:w="100"/>
              <w:bottom w:type="dxa" w:w="60"/>
              <w:right w:type="dxa" w:w="100"/>
            </w:tcMar>
          </w:tcPr>
          <w:p>
            <w:r>
              <w:rPr>
                <w:b w:val="false"/>
                <w:bCs w:val="false"/>
                <w:color w:val="000000"/>
                <w:sz w:val="20"/>
                <w:szCs w:val="20"/>
              </w:rPr>
              <w:t xml:space="preserve">Mixoma</w:t>
            </w:r>
          </w:p>
        </w:tc>
      </w:tr>
      <w:tr>
        <w:tc>
          <w:tcPr>
            <w:tcW w:type="dxa" w:w="1800"/>
            <w:tcMar>
              <w:top w:type="dxa" w:w="60"/>
              <w:left w:type="dxa" w:w="100"/>
              <w:bottom w:type="dxa" w:w="60"/>
              <w:right w:type="dxa" w:w="100"/>
            </w:tcMar>
          </w:tcPr>
          <w:p>
            <w:r>
              <w:rPr>
                <w:b w:val="false"/>
                <w:bCs w:val="false"/>
                <w:color w:val="000000"/>
                <w:sz w:val="20"/>
                <w:szCs w:val="20"/>
              </w:rPr>
              <w:t xml:space="preserve">TUM</w:t>
            </w:r>
          </w:p>
        </w:tc>
        <w:tc>
          <w:tcPr>
            <w:tcW w:type="dxa" w:w="7200"/>
            <w:tcMar>
              <w:top w:type="dxa" w:w="60"/>
              <w:left w:type="dxa" w:w="100"/>
              <w:bottom w:type="dxa" w:w="60"/>
              <w:right w:type="dxa" w:w="100"/>
            </w:tcMar>
          </w:tcPr>
          <w:p>
            <w:r>
              <w:rPr>
                <w:b w:val="false"/>
                <w:bCs w:val="false"/>
                <w:color w:val="000000"/>
                <w:sz w:val="20"/>
                <w:szCs w:val="20"/>
              </w:rPr>
              <w:t xml:space="preserve">Tumor intracardíaco</w:t>
            </w:r>
          </w:p>
        </w:tc>
      </w:tr>
      <w:tr>
        <w:tc>
          <w:tcPr>
            <w:tcW w:type="dxa" w:w="1800"/>
            <w:tcMar>
              <w:top w:type="dxa" w:w="60"/>
              <w:left w:type="dxa" w:w="100"/>
              <w:bottom w:type="dxa" w:w="60"/>
              <w:right w:type="dxa" w:w="100"/>
            </w:tcMar>
          </w:tcPr>
          <w:p>
            <w:r>
              <w:rPr>
                <w:b w:val="false"/>
                <w:bCs w:val="false"/>
                <w:color w:val="000000"/>
                <w:sz w:val="20"/>
                <w:szCs w:val="20"/>
              </w:rPr>
              <w:t xml:space="preserve">FIB</w:t>
            </w:r>
          </w:p>
        </w:tc>
        <w:tc>
          <w:tcPr>
            <w:tcW w:type="dxa" w:w="7200"/>
            <w:tcMar>
              <w:top w:type="dxa" w:w="60"/>
              <w:left w:type="dxa" w:w="100"/>
              <w:bottom w:type="dxa" w:w="60"/>
              <w:right w:type="dxa" w:w="100"/>
            </w:tcMar>
          </w:tcPr>
          <w:p>
            <w:r>
              <w:rPr>
                <w:b w:val="false"/>
                <w:bCs w:val="false"/>
                <w:color w:val="000000"/>
                <w:sz w:val="20"/>
                <w:szCs w:val="20"/>
              </w:rPr>
              <w:t xml:space="preserve">Fibroelastoma</w:t>
            </w:r>
          </w:p>
        </w:tc>
      </w:tr>
      <w:tr>
        <w:tc>
          <w:tcPr>
            <w:tcW w:type="dxa" w:w="1800"/>
            <w:tcMar>
              <w:top w:type="dxa" w:w="60"/>
              <w:left w:type="dxa" w:w="100"/>
              <w:bottom w:type="dxa" w:w="60"/>
              <w:right w:type="dxa" w:w="100"/>
            </w:tcMar>
          </w:tcPr>
          <w:p>
            <w:r>
              <w:rPr>
                <w:b w:val="false"/>
                <w:bCs w:val="false"/>
                <w:color w:val="000000"/>
                <w:sz w:val="20"/>
                <w:szCs w:val="20"/>
              </w:rPr>
              <w:t xml:space="preserve">LIP</w:t>
            </w:r>
          </w:p>
        </w:tc>
        <w:tc>
          <w:tcPr>
            <w:tcW w:type="dxa" w:w="7200"/>
            <w:tcMar>
              <w:top w:type="dxa" w:w="60"/>
              <w:left w:type="dxa" w:w="100"/>
              <w:bottom w:type="dxa" w:w="60"/>
              <w:right w:type="dxa" w:w="100"/>
            </w:tcMar>
          </w:tcPr>
          <w:p>
            <w:r>
              <w:rPr>
                <w:b w:val="false"/>
                <w:bCs w:val="false"/>
                <w:color w:val="000000"/>
                <w:sz w:val="20"/>
                <w:szCs w:val="20"/>
              </w:rPr>
              <w:t xml:space="preserve">Lipoma</w:t>
            </w:r>
          </w:p>
        </w:tc>
      </w:tr>
      <w:tr>
        <w:tc>
          <w:tcPr>
            <w:tcW w:type="dxa" w:w="1800"/>
            <w:tcMar>
              <w:top w:type="dxa" w:w="60"/>
              <w:left w:type="dxa" w:w="100"/>
              <w:bottom w:type="dxa" w:w="60"/>
              <w:right w:type="dxa" w:w="100"/>
            </w:tcMar>
          </w:tcPr>
          <w:p>
            <w:r>
              <w:rPr>
                <w:b w:val="false"/>
                <w:bCs w:val="false"/>
                <w:color w:val="000000"/>
                <w:sz w:val="20"/>
                <w:szCs w:val="20"/>
              </w:rPr>
              <w:t xml:space="preserve">CALC</w:t>
            </w:r>
          </w:p>
        </w:tc>
        <w:tc>
          <w:tcPr>
            <w:tcW w:type="dxa" w:w="7200"/>
            <w:tcMar>
              <w:top w:type="dxa" w:w="60"/>
              <w:left w:type="dxa" w:w="100"/>
              <w:bottom w:type="dxa" w:w="60"/>
              <w:right w:type="dxa" w:w="100"/>
            </w:tcMar>
          </w:tcPr>
          <w:p>
            <w:r>
              <w:rPr>
                <w:b w:val="false"/>
                <w:bCs w:val="false"/>
                <w:color w:val="000000"/>
                <w:sz w:val="20"/>
                <w:szCs w:val="20"/>
              </w:rPr>
              <w:t xml:space="preserve">Masa calcificada</w:t>
            </w:r>
          </w:p>
        </w:tc>
      </w:tr>
      <w:tr>
        <w:tc>
          <w:tcPr>
            <w:tcW w:type="dxa" w:w="1800"/>
            <w:tcMar>
              <w:top w:type="dxa" w:w="60"/>
              <w:left w:type="dxa" w:w="100"/>
              <w:bottom w:type="dxa" w:w="60"/>
              <w:right w:type="dxa" w:w="100"/>
            </w:tcMar>
          </w:tcPr>
          <w:p>
            <w:r>
              <w:rPr>
                <w:b w:val="false"/>
                <w:bCs w:val="false"/>
                <w:color w:val="000000"/>
                <w:sz w:val="20"/>
                <w:szCs w:val="20"/>
              </w:rPr>
              <w:t xml:space="preserve">CAT</w:t>
            </w:r>
          </w:p>
        </w:tc>
        <w:tc>
          <w:tcPr>
            <w:tcW w:type="dxa" w:w="7200"/>
            <w:tcMar>
              <w:top w:type="dxa" w:w="60"/>
              <w:left w:type="dxa" w:w="100"/>
              <w:bottom w:type="dxa" w:w="60"/>
              <w:right w:type="dxa" w:w="100"/>
            </w:tcMar>
          </w:tcPr>
          <w:p>
            <w:r>
              <w:rPr>
                <w:b w:val="false"/>
                <w:bCs w:val="false"/>
                <w:color w:val="000000"/>
                <w:sz w:val="20"/>
                <w:szCs w:val="20"/>
              </w:rPr>
              <w:t xml:space="preserve">Catéter</w:t>
            </w:r>
          </w:p>
        </w:tc>
      </w:tr>
      <w:tr>
        <w:tc>
          <w:tcPr>
            <w:tcW w:type="dxa" w:w="1800"/>
            <w:tcMar>
              <w:top w:type="dxa" w:w="60"/>
              <w:left w:type="dxa" w:w="100"/>
              <w:bottom w:type="dxa" w:w="60"/>
              <w:right w:type="dxa" w:w="100"/>
            </w:tcMar>
          </w:tcPr>
          <w:p>
            <w:r/>
            <w:r>
              <w:t>ELEC / ELECT</w:t>
            </w:r>
          </w:p>
        </w:tc>
        <w:tc>
          <w:tcPr>
            <w:tcW w:type="dxa" w:w="7200"/>
            <w:tcMar>
              <w:top w:type="dxa" w:w="60"/>
              <w:left w:type="dxa" w:w="100"/>
              <w:bottom w:type="dxa" w:w="60"/>
              <w:right w:type="dxa" w:w="100"/>
            </w:tcMar>
          </w:tcPr>
          <w:p>
            <w:r/>
            <w:r>
              <w:t>Electrodo de estimulación (ELECT es sinónimo por autocorrector de iPhone). Descripción y conclusión SIEMPRE genéricas: "Presencia de electrodo de estimulación en cavidades derechas", sin importar si se especifica localización o medidas.</w:t>
            </w:r>
          </w:p>
        </w:tc>
      </w:tr>
      <w:tr>
        <w:tc>
          <w:tcPr>
            <w:tcW w:type="dxa" w:w="1800"/>
            <w:tcMar>
              <w:top w:type="dxa" w:w="60"/>
              <w:left w:type="dxa" w:w="100"/>
              <w:bottom w:type="dxa" w:w="60"/>
              <w:right w:type="dxa" w:w="100"/>
            </w:tcMar>
          </w:tcPr>
          <w:p>
            <w:r>
              <w:rPr>
                <w:b w:val="false"/>
                <w:bCs w:val="false"/>
                <w:color w:val="000000"/>
                <w:sz w:val="20"/>
                <w:szCs w:val="20"/>
              </w:rPr>
              <w:t xml:space="preserve">DIS</w:t>
            </w:r>
          </w:p>
        </w:tc>
        <w:tc>
          <w:tcPr>
            <w:tcW w:type="dxa" w:w="7200"/>
            <w:tcMar>
              <w:top w:type="dxa" w:w="60"/>
              <w:left w:type="dxa" w:w="100"/>
              <w:bottom w:type="dxa" w:w="60"/>
              <w:right w:type="dxa" w:w="100"/>
            </w:tcMar>
          </w:tcPr>
          <w:p>
            <w:r>
              <w:rPr>
                <w:b w:val="false"/>
                <w:bCs w:val="false"/>
                <w:color w:val="000000"/>
                <w:sz w:val="20"/>
                <w:szCs w:val="20"/>
              </w:rPr>
              <w:t xml:space="preserve">Dispositivo</w:t>
            </w:r>
          </w:p>
        </w:tc>
      </w:tr>
      <w:tr>
        <w:tc>
          <w:tcPr>
            <w:tcW w:type="dxa" w:w="1800"/>
            <w:tcMar>
              <w:top w:type="dxa" w:w="60"/>
              <w:left w:type="dxa" w:w="100"/>
              <w:bottom w:type="dxa" w:w="60"/>
              <w:right w:type="dxa" w:w="100"/>
            </w:tcMar>
          </w:tcPr>
          <w:p>
            <w:r>
              <w:rPr>
                <w:b w:val="false"/>
                <w:bCs w:val="false"/>
                <w:color w:val="000000"/>
                <w:sz w:val="20"/>
                <w:szCs w:val="20"/>
              </w:rPr>
              <w:t xml:space="preserve">CHI</w:t>
            </w:r>
          </w:p>
        </w:tc>
        <w:tc>
          <w:tcPr>
            <w:tcW w:type="dxa" w:w="7200"/>
            <w:tcMar>
              <w:top w:type="dxa" w:w="60"/>
              <w:left w:type="dxa" w:w="100"/>
              <w:bottom w:type="dxa" w:w="60"/>
              <w:right w:type="dxa" w:w="100"/>
            </w:tcMar>
          </w:tcPr>
          <w:p>
            <w:r>
              <w:rPr>
                <w:b w:val="false"/>
                <w:bCs w:val="false"/>
                <w:color w:val="000000"/>
                <w:sz w:val="20"/>
                <w:szCs w:val="20"/>
              </w:rPr>
              <w:t xml:space="preserve">Red de Chiari</w:t>
            </w:r>
          </w:p>
        </w:tc>
      </w:tr>
      <w:tr>
        <w:tc>
          <w:tcPr>
            <w:tcW w:type="dxa" w:w="1800"/>
            <w:tcMar>
              <w:top w:type="dxa" w:w="60"/>
              <w:left w:type="dxa" w:w="100"/>
              <w:bottom w:type="dxa" w:w="60"/>
              <w:right w:type="dxa" w:w="100"/>
            </w:tcMar>
          </w:tcPr>
          <w:p>
            <w:r>
              <w:rPr>
                <w:b w:val="false"/>
                <w:bCs w:val="false"/>
                <w:color w:val="000000"/>
                <w:sz w:val="20"/>
                <w:szCs w:val="20"/>
              </w:rPr>
              <w:t xml:space="preserve">EUS</w:t>
            </w:r>
          </w:p>
        </w:tc>
        <w:tc>
          <w:tcPr>
            <w:tcW w:type="dxa" w:w="7200"/>
            <w:tcMar>
              <w:top w:type="dxa" w:w="60"/>
              <w:left w:type="dxa" w:w="100"/>
              <w:bottom w:type="dxa" w:w="60"/>
              <w:right w:type="dxa" w:w="100"/>
            </w:tcMar>
          </w:tcPr>
          <w:p>
            <w:r>
              <w:rPr>
                <w:b w:val="false"/>
                <w:bCs w:val="false"/>
                <w:color w:val="000000"/>
                <w:sz w:val="20"/>
                <w:szCs w:val="20"/>
              </w:rPr>
              <w:t xml:space="preserve">Válvula de Eustaquio prominente</w:t>
            </w:r>
          </w:p>
        </w:tc>
      </w:tr>
    </w:tbl>
    <w:p>
      <w:pPr>
        <w:pStyle w:val="Heading3"/>
        <w:spacing w:after="100" w:before="200"/>
      </w:pPr>
      <w:r>
        <w:t xml:space="preserve">Localizaciones estándar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F4E79" w:val="clear"/>
            <w:tcMar>
              <w:top w:type="dxa" w:w="60"/>
              <w:left w:type="dxa" w:w="100"/>
              <w:bottom w:type="dxa" w:w="60"/>
              <w:right w:type="dxa" w:w="100"/>
            </w:tcMar>
          </w:tcPr>
          <w:p>
            <w:r>
              <w:rPr>
                <w:b/>
                <w:bCs/>
                <w:color w:val="FFFFFF"/>
                <w:sz w:val="20"/>
                <w:szCs w:val="20"/>
              </w:rPr>
              <w:t xml:space="preserve">Código</w:t>
            </w:r>
          </w:p>
        </w:tc>
        <w:tc>
          <w:tcPr>
            <w:tcW w:type="dxa" w:w="7200"/>
            <w:shd w:fill="1F4E79" w:val="clear"/>
            <w:tcMar>
              <w:top w:type="dxa" w:w="60"/>
              <w:left w:type="dxa" w:w="100"/>
              <w:bottom w:type="dxa" w:w="60"/>
              <w:right w:type="dxa" w:w="100"/>
            </w:tcMar>
          </w:tcPr>
          <w:p>
            <w:r>
              <w:rPr>
                <w:b/>
                <w:bCs/>
                <w:color w:val="FFFFFF"/>
                <w:sz w:val="20"/>
                <w:szCs w:val="20"/>
              </w:rPr>
              <w:t xml:space="preserve">Localización</w:t>
            </w:r>
          </w:p>
        </w:tc>
      </w:tr>
      <w:tr>
        <w:tc>
          <w:tcPr>
            <w:tcW w:type="dxa" w:w="1800"/>
            <w:tcMar>
              <w:top w:type="dxa" w:w="60"/>
              <w:left w:type="dxa" w:w="100"/>
              <w:bottom w:type="dxa" w:w="60"/>
              <w:right w:type="dxa" w:w="100"/>
            </w:tcMar>
          </w:tcPr>
          <w:p>
            <w:r>
              <w:rPr>
                <w:b w:val="false"/>
                <w:bCs w:val="false"/>
                <w:color w:val="000000"/>
                <w:sz w:val="20"/>
                <w:szCs w:val="20"/>
              </w:rPr>
              <w:t xml:space="preserve">AI</w:t>
            </w:r>
          </w:p>
        </w:tc>
        <w:tc>
          <w:tcPr>
            <w:tcW w:type="dxa" w:w="7200"/>
            <w:tcMar>
              <w:top w:type="dxa" w:w="60"/>
              <w:left w:type="dxa" w:w="100"/>
              <w:bottom w:type="dxa" w:w="60"/>
              <w:right w:type="dxa" w:w="100"/>
            </w:tcMar>
          </w:tcPr>
          <w:p>
            <w:r>
              <w:rPr>
                <w:b w:val="false"/>
                <w:bCs w:val="false"/>
                <w:color w:val="000000"/>
                <w:sz w:val="20"/>
                <w:szCs w:val="20"/>
              </w:rPr>
              <w:t xml:space="preserve">Aurícula izquierda</w:t>
            </w:r>
          </w:p>
        </w:tc>
      </w:tr>
      <w:tr>
        <w:tc>
          <w:tcPr>
            <w:tcW w:type="dxa" w:w="1800"/>
            <w:tcMar>
              <w:top w:type="dxa" w:w="60"/>
              <w:left w:type="dxa" w:w="100"/>
              <w:bottom w:type="dxa" w:w="60"/>
              <w:right w:type="dxa" w:w="100"/>
            </w:tcMar>
          </w:tcPr>
          <w:p>
            <w:r>
              <w:rPr>
                <w:b w:val="false"/>
                <w:bCs w:val="false"/>
                <w:color w:val="000000"/>
                <w:sz w:val="20"/>
                <w:szCs w:val="20"/>
              </w:rPr>
              <w:t xml:space="preserve">AD</w:t>
            </w:r>
          </w:p>
        </w:tc>
        <w:tc>
          <w:tcPr>
            <w:tcW w:type="dxa" w:w="7200"/>
            <w:tcMar>
              <w:top w:type="dxa" w:w="60"/>
              <w:left w:type="dxa" w:w="100"/>
              <w:bottom w:type="dxa" w:w="60"/>
              <w:right w:type="dxa" w:w="100"/>
            </w:tcMar>
          </w:tcPr>
          <w:p>
            <w:r>
              <w:rPr>
                <w:b w:val="false"/>
                <w:bCs w:val="false"/>
                <w:color w:val="000000"/>
                <w:sz w:val="20"/>
                <w:szCs w:val="20"/>
              </w:rPr>
              <w:t xml:space="preserve">Aurícula derecha</w:t>
            </w:r>
          </w:p>
        </w:tc>
      </w:tr>
      <w:tr>
        <w:tc>
          <w:tcPr>
            <w:tcW w:type="dxa" w:w="1800"/>
            <w:tcMar>
              <w:top w:type="dxa" w:w="60"/>
              <w:left w:type="dxa" w:w="100"/>
              <w:bottom w:type="dxa" w:w="60"/>
              <w:right w:type="dxa" w:w="100"/>
            </w:tcMar>
          </w:tcPr>
          <w:p>
            <w:r>
              <w:rPr>
                <w:b w:val="false"/>
                <w:bCs w:val="false"/>
                <w:color w:val="000000"/>
                <w:sz w:val="20"/>
                <w:szCs w:val="20"/>
              </w:rPr>
              <w:t xml:space="preserve">VI</w:t>
            </w:r>
          </w:p>
        </w:tc>
        <w:tc>
          <w:tcPr>
            <w:tcW w:type="dxa" w:w="7200"/>
            <w:tcMar>
              <w:top w:type="dxa" w:w="60"/>
              <w:left w:type="dxa" w:w="100"/>
              <w:bottom w:type="dxa" w:w="60"/>
              <w:right w:type="dxa" w:w="100"/>
            </w:tcMar>
          </w:tcPr>
          <w:p>
            <w:r>
              <w:rPr>
                <w:b w:val="false"/>
                <w:bCs w:val="false"/>
                <w:color w:val="000000"/>
                <w:sz w:val="20"/>
                <w:szCs w:val="20"/>
              </w:rPr>
              <w:t xml:space="preserve">Ventrículo izquierdo</w:t>
            </w:r>
          </w:p>
        </w:tc>
      </w:tr>
      <w:tr>
        <w:tc>
          <w:tcPr>
            <w:tcW w:type="dxa" w:w="1800"/>
            <w:tcMar>
              <w:top w:type="dxa" w:w="60"/>
              <w:left w:type="dxa" w:w="100"/>
              <w:bottom w:type="dxa" w:w="60"/>
              <w:right w:type="dxa" w:w="100"/>
            </w:tcMar>
          </w:tcPr>
          <w:p>
            <w:r>
              <w:rPr>
                <w:b w:val="false"/>
                <w:bCs w:val="false"/>
                <w:color w:val="000000"/>
                <w:sz w:val="20"/>
                <w:szCs w:val="20"/>
              </w:rPr>
              <w:t xml:space="preserve">VD</w:t>
            </w:r>
          </w:p>
        </w:tc>
        <w:tc>
          <w:tcPr>
            <w:tcW w:type="dxa" w:w="7200"/>
            <w:tcMar>
              <w:top w:type="dxa" w:w="60"/>
              <w:left w:type="dxa" w:w="100"/>
              <w:bottom w:type="dxa" w:w="60"/>
              <w:right w:type="dxa" w:w="100"/>
            </w:tcMar>
          </w:tcPr>
          <w:p>
            <w:r>
              <w:rPr>
                <w:b w:val="false"/>
                <w:bCs w:val="false"/>
                <w:color w:val="000000"/>
                <w:sz w:val="20"/>
                <w:szCs w:val="20"/>
              </w:rPr>
              <w:t xml:space="preserve">Ventrículo derecho</w:t>
            </w:r>
          </w:p>
        </w:tc>
      </w:tr>
      <w:tr>
        <w:tc>
          <w:tcPr>
            <w:tcW w:type="dxa" w:w="1800"/>
            <w:tcMar>
              <w:top w:type="dxa" w:w="60"/>
              <w:left w:type="dxa" w:w="100"/>
              <w:bottom w:type="dxa" w:w="60"/>
              <w:right w:type="dxa" w:w="100"/>
            </w:tcMar>
          </w:tcPr>
          <w:p>
            <w:r>
              <w:rPr>
                <w:b w:val="false"/>
                <w:bCs w:val="false"/>
                <w:color w:val="000000"/>
                <w:sz w:val="20"/>
                <w:szCs w:val="20"/>
              </w:rPr>
              <w:t xml:space="preserve">OI</w:t>
            </w:r>
          </w:p>
        </w:tc>
        <w:tc>
          <w:tcPr>
            <w:tcW w:type="dxa" w:w="7200"/>
            <w:tcMar>
              <w:top w:type="dxa" w:w="60"/>
              <w:left w:type="dxa" w:w="100"/>
              <w:bottom w:type="dxa" w:w="60"/>
              <w:right w:type="dxa" w:w="100"/>
            </w:tcMar>
          </w:tcPr>
          <w:p>
            <w:r>
              <w:rPr>
                <w:b w:val="false"/>
                <w:bCs w:val="false"/>
                <w:color w:val="000000"/>
                <w:sz w:val="20"/>
                <w:szCs w:val="20"/>
              </w:rPr>
              <w:t xml:space="preserve">Orejuela izquierda</w:t>
            </w:r>
          </w:p>
        </w:tc>
      </w:tr>
      <w:tr>
        <w:tc>
          <w:tcPr>
            <w:tcW w:type="dxa" w:w="1800"/>
            <w:tcMar>
              <w:top w:type="dxa" w:w="60"/>
              <w:left w:type="dxa" w:w="100"/>
              <w:bottom w:type="dxa" w:w="60"/>
              <w:right w:type="dxa" w:w="100"/>
            </w:tcMar>
          </w:tcPr>
          <w:p>
            <w:r>
              <w:rPr>
                <w:b w:val="false"/>
                <w:bCs w:val="false"/>
                <w:color w:val="000000"/>
                <w:sz w:val="20"/>
                <w:szCs w:val="20"/>
              </w:rPr>
              <w:t xml:space="preserve">OD</w:t>
            </w:r>
          </w:p>
        </w:tc>
        <w:tc>
          <w:tcPr>
            <w:tcW w:type="dxa" w:w="7200"/>
            <w:tcMar>
              <w:top w:type="dxa" w:w="60"/>
              <w:left w:type="dxa" w:w="100"/>
              <w:bottom w:type="dxa" w:w="60"/>
              <w:right w:type="dxa" w:w="100"/>
            </w:tcMar>
          </w:tcPr>
          <w:p>
            <w:r>
              <w:rPr>
                <w:b w:val="false"/>
                <w:bCs w:val="false"/>
                <w:color w:val="000000"/>
                <w:sz w:val="20"/>
                <w:szCs w:val="20"/>
              </w:rPr>
              <w:t xml:space="preserve">Orejuela derecha</w:t>
            </w:r>
          </w:p>
        </w:tc>
      </w:tr>
      <w:tr>
        <w:tc>
          <w:tcPr>
            <w:tcW w:type="dxa" w:w="1800"/>
            <w:tcMar>
              <w:top w:type="dxa" w:w="60"/>
              <w:left w:type="dxa" w:w="100"/>
              <w:bottom w:type="dxa" w:w="60"/>
              <w:right w:type="dxa" w:w="100"/>
            </w:tcMar>
          </w:tcPr>
          <w:p>
            <w:r>
              <w:rPr>
                <w:b w:val="false"/>
                <w:bCs w:val="false"/>
                <w:color w:val="000000"/>
                <w:sz w:val="20"/>
                <w:szCs w:val="20"/>
              </w:rPr>
              <w:t xml:space="preserve">VM</w:t>
            </w:r>
          </w:p>
        </w:tc>
        <w:tc>
          <w:tcPr>
            <w:tcW w:type="dxa" w:w="7200"/>
            <w:tcMar>
              <w:top w:type="dxa" w:w="60"/>
              <w:left w:type="dxa" w:w="100"/>
              <w:bottom w:type="dxa" w:w="60"/>
              <w:right w:type="dxa" w:w="100"/>
            </w:tcMar>
          </w:tcPr>
          <w:p>
            <w:r>
              <w:rPr>
                <w:b w:val="false"/>
                <w:bCs w:val="false"/>
                <w:color w:val="000000"/>
                <w:sz w:val="20"/>
                <w:szCs w:val="20"/>
              </w:rPr>
              <w:t xml:space="preserve">Válvula mitral</w:t>
            </w:r>
          </w:p>
        </w:tc>
      </w:tr>
      <w:tr>
        <w:tc>
          <w:tcPr>
            <w:tcW w:type="dxa" w:w="1800"/>
            <w:tcMar>
              <w:top w:type="dxa" w:w="60"/>
              <w:left w:type="dxa" w:w="100"/>
              <w:bottom w:type="dxa" w:w="60"/>
              <w:right w:type="dxa" w:w="100"/>
            </w:tcMar>
          </w:tcPr>
          <w:p>
            <w:r>
              <w:rPr>
                <w:b w:val="false"/>
                <w:bCs w:val="false"/>
                <w:color w:val="000000"/>
                <w:sz w:val="20"/>
                <w:szCs w:val="20"/>
              </w:rPr>
              <w:t xml:space="preserve">VA</w:t>
            </w:r>
          </w:p>
        </w:tc>
        <w:tc>
          <w:tcPr>
            <w:tcW w:type="dxa" w:w="7200"/>
            <w:tcMar>
              <w:top w:type="dxa" w:w="60"/>
              <w:left w:type="dxa" w:w="100"/>
              <w:bottom w:type="dxa" w:w="60"/>
              <w:right w:type="dxa" w:w="100"/>
            </w:tcMar>
          </w:tcPr>
          <w:p>
            <w:r>
              <w:rPr>
                <w:b w:val="false"/>
                <w:bCs w:val="false"/>
                <w:color w:val="000000"/>
                <w:sz w:val="20"/>
                <w:szCs w:val="20"/>
              </w:rPr>
              <w:t xml:space="preserve">Válvula aórtica</w:t>
            </w:r>
          </w:p>
        </w:tc>
      </w:tr>
      <w:tr>
        <w:tc>
          <w:tcPr>
            <w:tcW w:type="dxa" w:w="1800"/>
            <w:tcMar>
              <w:top w:type="dxa" w:w="60"/>
              <w:left w:type="dxa" w:w="100"/>
              <w:bottom w:type="dxa" w:w="60"/>
              <w:right w:type="dxa" w:w="100"/>
            </w:tcMar>
          </w:tcPr>
          <w:p>
            <w:r>
              <w:rPr>
                <w:b w:val="false"/>
                <w:bCs w:val="false"/>
                <w:color w:val="000000"/>
                <w:sz w:val="20"/>
                <w:szCs w:val="20"/>
              </w:rPr>
              <w:t xml:space="preserve">VT</w:t>
            </w:r>
          </w:p>
        </w:tc>
        <w:tc>
          <w:tcPr>
            <w:tcW w:type="dxa" w:w="7200"/>
            <w:tcMar>
              <w:top w:type="dxa" w:w="60"/>
              <w:left w:type="dxa" w:w="100"/>
              <w:bottom w:type="dxa" w:w="60"/>
              <w:right w:type="dxa" w:w="100"/>
            </w:tcMar>
          </w:tcPr>
          <w:p>
            <w:r>
              <w:rPr>
                <w:b w:val="false"/>
                <w:bCs w:val="false"/>
                <w:color w:val="000000"/>
                <w:sz w:val="20"/>
                <w:szCs w:val="20"/>
              </w:rPr>
              <w:t xml:space="preserve">Válvula tricúspide</w:t>
            </w:r>
          </w:p>
        </w:tc>
      </w:tr>
      <w:tr>
        <w:tc>
          <w:tcPr>
            <w:tcW w:type="dxa" w:w="1800"/>
            <w:tcMar>
              <w:top w:type="dxa" w:w="60"/>
              <w:left w:type="dxa" w:w="100"/>
              <w:bottom w:type="dxa" w:w="60"/>
              <w:right w:type="dxa" w:w="100"/>
            </w:tcMar>
          </w:tcPr>
          <w:p>
            <w:r>
              <w:rPr>
                <w:b w:val="false"/>
                <w:bCs w:val="false"/>
                <w:color w:val="000000"/>
                <w:sz w:val="20"/>
                <w:szCs w:val="20"/>
              </w:rPr>
              <w:t xml:space="preserve">VP</w:t>
            </w:r>
          </w:p>
        </w:tc>
        <w:tc>
          <w:tcPr>
            <w:tcW w:type="dxa" w:w="7200"/>
            <w:tcMar>
              <w:top w:type="dxa" w:w="60"/>
              <w:left w:type="dxa" w:w="100"/>
              <w:bottom w:type="dxa" w:w="60"/>
              <w:right w:type="dxa" w:w="100"/>
            </w:tcMar>
          </w:tcPr>
          <w:p>
            <w:r>
              <w:rPr>
                <w:b w:val="false"/>
                <w:bCs w:val="false"/>
                <w:color w:val="000000"/>
                <w:sz w:val="20"/>
                <w:szCs w:val="20"/>
              </w:rPr>
              <w:t xml:space="preserve">Válvula pulmonar</w:t>
            </w:r>
          </w:p>
        </w:tc>
      </w:tr>
      <w:tr>
        <w:tc>
          <w:tcPr>
            <w:tcW w:type="dxa" w:w="1800"/>
            <w:tcMar>
              <w:top w:type="dxa" w:w="60"/>
              <w:left w:type="dxa" w:w="100"/>
              <w:bottom w:type="dxa" w:w="60"/>
              <w:right w:type="dxa" w:w="100"/>
            </w:tcMar>
          </w:tcPr>
          <w:p>
            <w:r>
              <w:rPr>
                <w:b w:val="false"/>
                <w:bCs w:val="false"/>
                <w:color w:val="000000"/>
                <w:sz w:val="20"/>
                <w:szCs w:val="20"/>
              </w:rPr>
              <w:t xml:space="preserve">SIA</w:t>
            </w:r>
          </w:p>
        </w:tc>
        <w:tc>
          <w:tcPr>
            <w:tcW w:type="dxa" w:w="7200"/>
            <w:tcMar>
              <w:top w:type="dxa" w:w="60"/>
              <w:left w:type="dxa" w:w="100"/>
              <w:bottom w:type="dxa" w:w="60"/>
              <w:right w:type="dxa" w:w="100"/>
            </w:tcMar>
          </w:tcPr>
          <w:p>
            <w:r>
              <w:rPr>
                <w:b w:val="false"/>
                <w:bCs w:val="false"/>
                <w:color w:val="000000"/>
                <w:sz w:val="20"/>
                <w:szCs w:val="20"/>
              </w:rPr>
              <w:t xml:space="preserve">Septum interauricular</w:t>
            </w:r>
          </w:p>
        </w:tc>
      </w:tr>
      <w:tr>
        <w:tc>
          <w:tcPr>
            <w:tcW w:type="dxa" w:w="1800"/>
            <w:tcMar>
              <w:top w:type="dxa" w:w="60"/>
              <w:left w:type="dxa" w:w="100"/>
              <w:bottom w:type="dxa" w:w="60"/>
              <w:right w:type="dxa" w:w="100"/>
            </w:tcMar>
          </w:tcPr>
          <w:p>
            <w:r>
              <w:rPr>
                <w:b w:val="false"/>
                <w:bCs w:val="false"/>
                <w:color w:val="000000"/>
                <w:sz w:val="20"/>
                <w:szCs w:val="20"/>
              </w:rPr>
              <w:t xml:space="preserve">SIV</w:t>
            </w:r>
          </w:p>
        </w:tc>
        <w:tc>
          <w:tcPr>
            <w:tcW w:type="dxa" w:w="7200"/>
            <w:tcMar>
              <w:top w:type="dxa" w:w="60"/>
              <w:left w:type="dxa" w:w="100"/>
              <w:bottom w:type="dxa" w:w="60"/>
              <w:right w:type="dxa" w:w="100"/>
            </w:tcMar>
          </w:tcPr>
          <w:p>
            <w:r>
              <w:rPr>
                <w:b w:val="false"/>
                <w:bCs w:val="false"/>
                <w:color w:val="000000"/>
                <w:sz w:val="20"/>
                <w:szCs w:val="20"/>
              </w:rPr>
              <w:t xml:space="preserve">Septum interventricular</w:t>
            </w:r>
          </w:p>
        </w:tc>
      </w:tr>
      <w:tr>
        <w:tc>
          <w:tcPr>
            <w:tcW w:type="dxa" w:w="1800"/>
            <w:tcMar>
              <w:top w:type="dxa" w:w="60"/>
              <w:left w:type="dxa" w:w="100"/>
              <w:bottom w:type="dxa" w:w="60"/>
              <w:right w:type="dxa" w:w="100"/>
            </w:tcMar>
          </w:tcPr>
          <w:p>
            <w:r>
              <w:rPr>
                <w:b w:val="false"/>
                <w:bCs w:val="false"/>
                <w:color w:val="000000"/>
                <w:sz w:val="20"/>
                <w:szCs w:val="20"/>
              </w:rPr>
              <w:t xml:space="preserve">APEX</w:t>
            </w:r>
          </w:p>
        </w:tc>
        <w:tc>
          <w:tcPr>
            <w:tcW w:type="dxa" w:w="7200"/>
            <w:tcMar>
              <w:top w:type="dxa" w:w="60"/>
              <w:left w:type="dxa" w:w="100"/>
              <w:bottom w:type="dxa" w:w="60"/>
              <w:right w:type="dxa" w:w="100"/>
            </w:tcMar>
          </w:tcPr>
          <w:p>
            <w:r>
              <w:rPr>
                <w:b w:val="false"/>
                <w:bCs w:val="false"/>
                <w:color w:val="000000"/>
                <w:sz w:val="20"/>
                <w:szCs w:val="20"/>
              </w:rPr>
              <w:t xml:space="preserve">Ápex ventricular</w:t>
            </w:r>
          </w:p>
        </w:tc>
      </w:tr>
    </w:tbl>
    <w:p>
      <w:pPr>
        <w:pStyle w:val="Heading2"/>
        <w:spacing w:after="150" w:before="300"/>
      </w:pPr>
      <w:r>
        <w:t xml:space="preserve">2.15 Ritmo y condiciones del estudio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Código</w:t>
            </w:r>
          </w:p>
        </w:tc>
        <w:tc>
          <w:tcPr>
            <w:tcW w:type="dxa" w:w="4500"/>
            <w:shd w:fill="1F4E79" w:val="clear"/>
            <w:tcMar>
              <w:top w:type="dxa" w:w="60"/>
              <w:left w:type="dxa" w:w="100"/>
              <w:bottom w:type="dxa" w:w="60"/>
              <w:right w:type="dxa" w:w="100"/>
            </w:tcMar>
          </w:tcPr>
          <w:p>
            <w:r>
              <w:rPr>
                <w:b/>
                <w:bCs/>
                <w:color w:val="FFFFFF"/>
                <w:sz w:val="20"/>
                <w:szCs w:val="20"/>
              </w:rPr>
              <w:t xml:space="preserve">Significado</w:t>
            </w:r>
          </w:p>
        </w:tc>
      </w:tr>
      <w:tr>
        <w:tc>
          <w:tcPr>
            <w:tcW w:type="dxa" w:w="4500"/>
            <w:tcMar>
              <w:top w:type="dxa" w:w="60"/>
              <w:left w:type="dxa" w:w="100"/>
              <w:bottom w:type="dxa" w:w="60"/>
              <w:right w:type="dxa" w:w="100"/>
            </w:tcMar>
          </w:tcPr>
          <w:p>
            <w:r>
              <w:rPr>
                <w:b w:val="false"/>
                <w:bCs w:val="false"/>
                <w:color w:val="000000"/>
                <w:sz w:val="20"/>
                <w:szCs w:val="20"/>
              </w:rPr>
              <w:t xml:space="preserve">FC</w:t>
            </w:r>
          </w:p>
        </w:tc>
        <w:tc>
          <w:tcPr>
            <w:tcW w:type="dxa" w:w="4500"/>
            <w:tcMar>
              <w:top w:type="dxa" w:w="60"/>
              <w:left w:type="dxa" w:w="100"/>
              <w:bottom w:type="dxa" w:w="60"/>
              <w:right w:type="dxa" w:w="100"/>
            </w:tcMar>
          </w:tcPr>
          <w:p>
            <w:r>
              <w:rPr>
                <w:b w:val="false"/>
                <w:bCs w:val="false"/>
                <w:color w:val="000000"/>
                <w:sz w:val="20"/>
                <w:szCs w:val="20"/>
              </w:rPr>
              <w:t xml:space="preserve">Frecuencia cardiaca de xx/min</w:t>
            </w:r>
          </w:p>
        </w:tc>
      </w:tr>
      <w:tr>
        <w:tc>
          <w:tcPr>
            <w:tcW w:type="dxa" w:w="4500"/>
            <w:tcMar>
              <w:top w:type="dxa" w:w="60"/>
              <w:left w:type="dxa" w:w="100"/>
              <w:bottom w:type="dxa" w:w="60"/>
              <w:right w:type="dxa" w:w="100"/>
            </w:tcMar>
          </w:tcPr>
          <w:p>
            <w:r>
              <w:rPr>
                <w:b w:val="false"/>
                <w:bCs w:val="false"/>
                <w:color w:val="000000"/>
                <w:sz w:val="20"/>
                <w:szCs w:val="20"/>
              </w:rPr>
              <w:t xml:space="preserve">FA</w:t>
            </w:r>
          </w:p>
        </w:tc>
        <w:tc>
          <w:tcPr>
            <w:tcW w:type="dxa" w:w="4500"/>
            <w:tcMar>
              <w:top w:type="dxa" w:w="60"/>
              <w:left w:type="dxa" w:w="100"/>
              <w:bottom w:type="dxa" w:w="60"/>
              <w:right w:type="dxa" w:w="100"/>
            </w:tcMar>
          </w:tcPr>
          <w:p>
            <w:r>
              <w:rPr>
                <w:b w:val="false"/>
                <w:bCs w:val="false"/>
                <w:color w:val="000000"/>
                <w:sz w:val="20"/>
                <w:szCs w:val="20"/>
              </w:rPr>
              <w:t xml:space="preserve">Ritmo de fibrilación auricular con respuesta ventricular promedio de xx/min</w:t>
            </w:r>
          </w:p>
        </w:tc>
      </w:tr>
      <w:tr>
        <w:tc>
          <w:tcPr>
            <w:tcW w:type="dxa" w:w="4500"/>
            <w:tcMar>
              <w:top w:type="dxa" w:w="60"/>
              <w:left w:type="dxa" w:w="100"/>
              <w:bottom w:type="dxa" w:w="60"/>
              <w:right w:type="dxa" w:w="100"/>
            </w:tcMar>
          </w:tcPr>
          <w:p>
            <w:r/>
            <w:r>
              <w:t>Flutter / FLUT / Fluter</w:t>
            </w:r>
          </w:p>
        </w:tc>
        <w:tc>
          <w:tcPr>
            <w:tcW w:type="dxa" w:w="4500"/>
            <w:tcMar>
              <w:top w:type="dxa" w:w="60"/>
              <w:left w:type="dxa" w:w="100"/>
              <w:bottom w:type="dxa" w:w="60"/>
              <w:right w:type="dxa" w:w="100"/>
            </w:tcMar>
          </w:tcPr>
          <w:p>
            <w:r>
              <w:rPr>
                <w:b w:val="false"/>
                <w:bCs w:val="false"/>
                <w:color w:val="000000"/>
                <w:sz w:val="20"/>
                <w:szCs w:val="20"/>
              </w:rPr>
              <w:t xml:space="preserve">Flutter auricular con respuesta ventricular promedio de xx/min</w:t>
            </w:r>
          </w:p>
        </w:tc>
      </w:tr>
      <w:tr>
        <w:tc>
          <w:tcPr>
            <w:tcW w:type="dxa" w:w="4500"/>
            <w:tcMar>
              <w:top w:type="dxa" w:w="60"/>
              <w:left w:type="dxa" w:w="100"/>
              <w:bottom w:type="dxa" w:w="60"/>
              <w:right w:type="dxa" w:w="100"/>
            </w:tcMar>
          </w:tcPr>
          <w:p>
            <w:r>
              <w:rPr>
                <w:b w:val="false"/>
                <w:bCs w:val="false"/>
                <w:color w:val="000000"/>
                <w:sz w:val="20"/>
                <w:szCs w:val="20"/>
              </w:rPr>
              <w:t xml:space="preserve">MCPS / MP</w:t>
            </w:r>
          </w:p>
        </w:tc>
        <w:tc>
          <w:tcPr>
            <w:tcW w:type="dxa" w:w="4500"/>
            <w:tcMar>
              <w:top w:type="dxa" w:w="60"/>
              <w:left w:type="dxa" w:w="100"/>
              <w:bottom w:type="dxa" w:w="60"/>
              <w:right w:type="dxa" w:w="100"/>
            </w:tcMar>
          </w:tcPr>
          <w:p>
            <w:r>
              <w:rPr>
                <w:b w:val="false"/>
                <w:bCs w:val="false"/>
                <w:color w:val="000000"/>
                <w:sz w:val="20"/>
                <w:szCs w:val="20"/>
              </w:rPr>
              <w:t xml:space="preserve">Ritmo de estimulación por marcapasos (sinónimos)</w:t>
            </w:r>
          </w:p>
        </w:tc>
      </w:tr>
      <w:tr>
        <w:tc>
          <w:tcPr>
            <w:tcW w:type="dxa" w:w="4500"/>
            <w:tcMar>
              <w:top w:type="dxa" w:w="60"/>
              <w:left w:type="dxa" w:w="100"/>
              <w:bottom w:type="dxa" w:w="60"/>
              <w:right w:type="dxa" w:w="100"/>
            </w:tcMar>
          </w:tcPr>
          <w:p>
            <w:r>
              <w:rPr>
                <w:b w:val="false"/>
                <w:bCs w:val="false"/>
                <w:color w:val="000000"/>
                <w:sz w:val="20"/>
                <w:szCs w:val="20"/>
              </w:rPr>
              <w:t xml:space="preserve">IOT</w:t>
            </w:r>
          </w:p>
        </w:tc>
        <w:tc>
          <w:tcPr>
            <w:tcW w:type="dxa" w:w="4500"/>
            <w:tcMar>
              <w:top w:type="dxa" w:w="60"/>
              <w:left w:type="dxa" w:w="100"/>
              <w:bottom w:type="dxa" w:w="60"/>
              <w:right w:type="dxa" w:w="100"/>
            </w:tcMar>
          </w:tcPr>
          <w:p>
            <w:r>
              <w:rPr>
                <w:b w:val="false"/>
                <w:bCs w:val="false"/>
                <w:color w:val="000000"/>
                <w:sz w:val="20"/>
                <w:szCs w:val="20"/>
              </w:rPr>
              <w:t xml:space="preserve">Paciente intubado en ventilación mecánica</w:t>
            </w:r>
          </w:p>
        </w:tc>
      </w:tr>
      <w:tr>
        <w:tc>
          <w:tcPr>
            <w:tcW w:type="dxa" w:w="4500"/>
            <w:tcMar>
              <w:top w:type="dxa" w:w="60"/>
              <w:left w:type="dxa" w:w="100"/>
              <w:bottom w:type="dxa" w:w="60"/>
              <w:right w:type="dxa" w:w="100"/>
            </w:tcMar>
          </w:tcPr>
          <w:p>
            <w:r/>
            <w:r>
              <w:t>INMOV / INMOVIL / INMOVILIZADO</w:t>
            </w:r>
          </w:p>
        </w:tc>
        <w:tc>
          <w:tcPr>
            <w:tcW w:type="dxa" w:w="4500"/>
            <w:tcMar>
              <w:top w:type="dxa" w:w="60"/>
              <w:left w:type="dxa" w:w="100"/>
              <w:bottom w:type="dxa" w:w="60"/>
              <w:right w:type="dxa" w:w="100"/>
            </w:tcMar>
          </w:tcPr>
          <w:p>
            <w:r/>
            <w:r>
              <w:t>Paciente inmovilizado en decúbito dorsal (implica ambas cosas juntas)</w:t>
            </w:r>
          </w:p>
        </w:tc>
      </w:tr>
      <w:tr>
        <w:tc>
          <w:tcPr>
            <w:tcW w:type="dxa" w:w="4500"/>
            <w:tcMar>
              <w:top w:type="dxa" w:w="60"/>
              <w:left w:type="dxa" w:w="100"/>
              <w:bottom w:type="dxa" w:w="60"/>
              <w:right w:type="dxa" w:w="100"/>
            </w:tcMar>
          </w:tcPr>
          <w:p>
            <w:r/>
            <w:r>
              <w:t>DECUBITO / DORSAL</w:t>
            </w:r>
          </w:p>
        </w:tc>
        <w:tc>
          <w:tcPr>
            <w:tcW w:type="dxa" w:w="4500"/>
            <w:tcMar>
              <w:top w:type="dxa" w:w="60"/>
              <w:left w:type="dxa" w:w="100"/>
              <w:bottom w:type="dxa" w:w="60"/>
              <w:right w:type="dxa" w:w="100"/>
            </w:tcMar>
          </w:tcPr>
          <w:p>
            <w:r/>
            <w:r>
              <w:t>Paciente en decúbito dorsal (solo posición, NO implica inmovilización — distinto de INMOV)</w:t>
            </w:r>
          </w:p>
        </w:tc>
      </w:tr>
      <w:tr>
        <w:tc>
          <w:tcPr>
            <w:tcW w:type="dxa" w:w="4500"/>
            <w:tcMar>
              <w:top w:type="dxa" w:w="60"/>
              <w:left w:type="dxa" w:w="100"/>
              <w:bottom w:type="dxa" w:w="60"/>
              <w:right w:type="dxa" w:w="100"/>
            </w:tcMar>
          </w:tcPr>
          <w:p>
            <w:r/>
            <w:r>
              <w:t>SS / SEMISENT / SEMISENTADO</w:t>
            </w:r>
          </w:p>
        </w:tc>
        <w:tc>
          <w:tcPr>
            <w:tcW w:type="dxa" w:w="4500"/>
            <w:tcMar>
              <w:top w:type="dxa" w:w="60"/>
              <w:left w:type="dxa" w:w="100"/>
              <w:bottom w:type="dxa" w:w="60"/>
              <w:right w:type="dxa" w:w="100"/>
            </w:tcMar>
          </w:tcPr>
          <w:p>
            <w:r/>
            <w:r>
              <w:t>Paciente semisentado</w:t>
            </w:r>
          </w:p>
        </w:tc>
      </w:tr>
      <w:tr>
        <w:tc>
          <w:tcPr>
            <w:tcW w:type="dxa" w:w="4500"/>
            <w:tcMar>
              <w:top w:type="dxa" w:w="60"/>
              <w:left w:type="dxa" w:w="100"/>
              <w:bottom w:type="dxa" w:w="60"/>
              <w:right w:type="dxa" w:w="100"/>
            </w:tcMar>
          </w:tcPr>
          <w:p>
            <w:r/>
            <w:r>
              <w:t>SILLA</w:t>
            </w:r>
          </w:p>
        </w:tc>
        <w:tc>
          <w:tcPr>
            <w:tcW w:type="dxa" w:w="4500"/>
            <w:tcMar>
              <w:top w:type="dxa" w:w="60"/>
              <w:left w:type="dxa" w:w="100"/>
              <w:bottom w:type="dxa" w:w="60"/>
              <w:right w:type="dxa" w:w="100"/>
            </w:tcMar>
          </w:tcPr>
          <w:p>
            <w:r/>
            <w:r>
              <w:t>Paciente sentado en silla</w:t>
            </w:r>
          </w:p>
        </w:tc>
      </w:tr>
    </w:tbl>
    <w:p>
      <w:pPr>
        <w:pStyle w:val="Heading2"/>
        <w:spacing w:after="150" w:before="300"/>
      </w:pPr>
      <w:r>
        <w:t xml:space="preserve">2.16 Calidad del estudio y hallazgos dudosos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600"/>
      </w:tblGrid>
      <w:tr>
        <w:tc>
          <w:tcPr>
            <w:tcW w:type="dxa" w:w="1600"/>
            <w:shd w:fill="1F4E79" w:val="clear"/>
            <w:tcMar>
              <w:top w:type="dxa" w:w="60"/>
              <w:left w:type="dxa" w:w="100"/>
              <w:bottom w:type="dxa" w:w="60"/>
              <w:right w:type="dxa" w:w="100"/>
            </w:tcMar>
          </w:tcPr>
          <w:p>
            <w:r>
              <w:rPr>
                <w:b/>
                <w:bCs/>
                <w:color w:val="FFFFFF"/>
                <w:sz w:val="20"/>
                <w:szCs w:val="20"/>
              </w:rPr>
              <w:t xml:space="preserve">Código</w:t>
            </w:r>
          </w:p>
        </w:tc>
        <w:tc>
          <w:tcPr>
            <w:tcW w:type="dxa" w:w="4800"/>
            <w:shd w:fill="1F4E79" w:val="clear"/>
            <w:tcMar>
              <w:top w:type="dxa" w:w="60"/>
              <w:left w:type="dxa" w:w="100"/>
              <w:bottom w:type="dxa" w:w="60"/>
              <w:right w:type="dxa" w:w="100"/>
            </w:tcMar>
          </w:tcPr>
          <w:p>
            <w:r>
              <w:rPr>
                <w:b/>
                <w:bCs/>
                <w:color w:val="FFFFFF"/>
                <w:sz w:val="20"/>
                <w:szCs w:val="20"/>
              </w:rPr>
              <w:t xml:space="preserve">Interpretación</w:t>
            </w:r>
          </w:p>
        </w:tc>
        <w:tc>
          <w:tcPr>
            <w:tcW w:type="dxa" w:w="3600"/>
            <w:shd w:fill="1F4E79" w:val="clear"/>
            <w:tcMar>
              <w:top w:type="dxa" w:w="60"/>
              <w:left w:type="dxa" w:w="100"/>
              <w:bottom w:type="dxa" w:w="60"/>
              <w:right w:type="dxa" w:w="100"/>
            </w:tcMar>
          </w:tcPr>
          <w:p>
            <w:r>
              <w:rPr>
                <w:b/>
                <w:bCs/>
                <w:color w:val="FFFFFF"/>
                <w:sz w:val="20"/>
                <w:szCs w:val="20"/>
              </w:rPr>
              <w:t xml:space="preserve">Efecto en conclusiones</w:t>
            </w:r>
          </w:p>
        </w:tc>
      </w:tr>
      <w:tr>
        <w:tc>
          <w:tcPr>
            <w:tcW w:type="dxa" w:w="1600"/>
            <w:tcMar>
              <w:top w:type="dxa" w:w="60"/>
              <w:left w:type="dxa" w:w="100"/>
              <w:bottom w:type="dxa" w:w="60"/>
              <w:right w:type="dxa" w:w="100"/>
            </w:tcMar>
          </w:tcPr>
          <w:p>
            <w:r>
              <w:rPr>
                <w:b w:val="false"/>
                <w:bCs w:val="false"/>
                <w:color w:val="000000"/>
                <w:sz w:val="20"/>
                <w:szCs w:val="20"/>
              </w:rPr>
              <w:t xml:space="preserve">?</w:t>
            </w:r>
          </w:p>
        </w:tc>
        <w:tc>
          <w:tcPr>
            <w:tcW w:type="dxa" w:w="4800"/>
            <w:tcMar>
              <w:top w:type="dxa" w:w="60"/>
              <w:left w:type="dxa" w:w="100"/>
              <w:bottom w:type="dxa" w:w="60"/>
              <w:right w:type="dxa" w:w="100"/>
            </w:tcMar>
          </w:tcPr>
          <w:p>
            <w:r>
              <w:rPr>
                <w:b w:val="false"/>
                <w:bCs w:val="false"/>
                <w:color w:val="000000"/>
                <w:sz w:val="20"/>
                <w:szCs w:val="20"/>
              </w:rPr>
              <w:t xml:space="preserve">Ventana ecoacústica regular</w:t>
            </w:r>
          </w:p>
        </w:tc>
        <w:tc>
          <w:tcPr>
            <w:tcW w:type="dxa" w:w="3600"/>
            <w:tcMar>
              <w:top w:type="dxa" w:w="60"/>
              <w:left w:type="dxa" w:w="100"/>
              <w:bottom w:type="dxa" w:w="60"/>
              <w:right w:type="dxa" w:w="100"/>
            </w:tcMar>
          </w:tcPr>
          <w:p>
            <w:r>
              <w:rPr>
                <w:b w:val="false"/>
                <w:bCs w:val="false"/>
                <w:color w:val="000000"/>
                <w:sz w:val="20"/>
                <w:szCs w:val="20"/>
              </w:rPr>
              <w:t xml:space="preserve">Se agrega a la frase de apertura; no se recomienda estudio adicional</w:t>
            </w:r>
          </w:p>
        </w:tc>
      </w:tr>
      <w:tr>
        <w:tc>
          <w:tcPr>
            <w:tcW w:type="dxa" w:w="1600"/>
            <w:tcMar>
              <w:top w:type="dxa" w:w="60"/>
              <w:left w:type="dxa" w:w="100"/>
              <w:bottom w:type="dxa" w:w="60"/>
              <w:right w:type="dxa" w:w="100"/>
            </w:tcMar>
          </w:tcPr>
          <w:p>
            <w:r>
              <w:rPr>
                <w:b w:val="false"/>
                <w:bCs w:val="false"/>
                <w:color w:val="000000"/>
                <w:sz w:val="20"/>
                <w:szCs w:val="20"/>
              </w:rPr>
              <w:t xml:space="preserve">??</w:t>
            </w:r>
          </w:p>
        </w:tc>
        <w:tc>
          <w:tcPr>
            <w:tcW w:type="dxa" w:w="4800"/>
            <w:tcMar>
              <w:top w:type="dxa" w:w="60"/>
              <w:left w:type="dxa" w:w="100"/>
              <w:bottom w:type="dxa" w:w="60"/>
              <w:right w:type="dxa" w:w="100"/>
            </w:tcMar>
          </w:tcPr>
          <w:p>
            <w:r>
              <w:rPr>
                <w:b w:val="false"/>
                <w:bCs w:val="false"/>
                <w:color w:val="000000"/>
                <w:sz w:val="20"/>
                <w:szCs w:val="20"/>
              </w:rPr>
              <w:t xml:space="preserve">Ventana ecoacústica muy mala</w:t>
            </w:r>
          </w:p>
        </w:tc>
        <w:tc>
          <w:tcPr>
            <w:tcW w:type="dxa" w:w="3600"/>
            <w:tcMar>
              <w:top w:type="dxa" w:w="60"/>
              <w:left w:type="dxa" w:w="100"/>
              <w:bottom w:type="dxa" w:w="60"/>
              <w:right w:type="dxa" w:w="100"/>
            </w:tcMar>
          </w:tcPr>
          <w:p>
            <w:r>
              <w:rPr>
                <w:b w:val="false"/>
                <w:bCs w:val="false"/>
                <w:color w:val="000000"/>
                <w:sz w:val="20"/>
                <w:szCs w:val="20"/>
              </w:rPr>
              <w:t xml:space="preserve">Se agrega a la frase de apertura, advirtiendo limitación significativa; no se recomienda estudio adicional</w:t>
            </w:r>
          </w:p>
        </w:tc>
      </w:tr>
      <w:tr>
        <w:tc>
          <w:tcPr>
            <w:tcW w:type="dxa" w:w="1600"/>
            <w:tcMar>
              <w:top w:type="dxa" w:w="60"/>
              <w:left w:type="dxa" w:w="100"/>
              <w:bottom w:type="dxa" w:w="60"/>
              <w:right w:type="dxa" w:w="100"/>
            </w:tcMar>
          </w:tcPr>
          <w:p>
            <w:r>
              <w:rPr>
                <w:b w:val="false"/>
                <w:bCs w:val="false"/>
                <w:color w:val="000000"/>
                <w:sz w:val="20"/>
                <w:szCs w:val="20"/>
              </w:rPr>
              <w:t xml:space="preserve">[código]?</w:t>
            </w:r>
          </w:p>
        </w:tc>
        <w:tc>
          <w:tcPr>
            <w:tcW w:type="dxa" w:w="4800"/>
            <w:tcMar>
              <w:top w:type="dxa" w:w="60"/>
              <w:left w:type="dxa" w:w="100"/>
              <w:bottom w:type="dxa" w:w="60"/>
              <w:right w:type="dxa" w:w="100"/>
            </w:tcMar>
          </w:tcPr>
          <w:p>
            <w:r>
              <w:rPr>
                <w:b w:val="false"/>
                <w:bCs w:val="false"/>
                <w:color w:val="000000"/>
                <w:sz w:val="20"/>
                <w:szCs w:val="20"/>
              </w:rPr>
              <w:t xml:space="preserve">Hallazgo puntual dudoso (ej. VEG?, TX?, FOP?)</w:t>
            </w:r>
          </w:p>
        </w:tc>
        <w:tc>
          <w:tcPr>
            <w:tcW w:type="dxa" w:w="3600"/>
            <w:tcMar>
              <w:top w:type="dxa" w:w="60"/>
              <w:left w:type="dxa" w:w="100"/>
              <w:bottom w:type="dxa" w:w="60"/>
              <w:right w:type="dxa" w:w="100"/>
            </w:tcMar>
          </w:tcPr>
          <w:p>
            <w:r>
              <w:rPr>
                <w:b w:val="false"/>
                <w:bCs w:val="false"/>
                <w:color w:val="000000"/>
                <w:sz w:val="20"/>
                <w:szCs w:val="20"/>
              </w:rPr>
              <w:t xml:space="preserve">Conclusión usa "Sugestivo de..." en vez de afirmación directa; nunca se recomienda estudio complementario</w:t>
            </w:r>
          </w:p>
        </w:tc>
      </w:tr>
    </w:tbl>
    <w:p>
      <w:pPr>
        <w:pStyle w:val="Heading1"/>
        <w:spacing w:after="200" w:before="400"/>
      </w:pPr>
      <w:r>
        <w:t xml:space="preserve">Módulo 3 — Reglas Clínicas de Integración</w:t>
      </w:r>
    </w:p>
    <w:p>
      <w:pPr>
        <w:spacing w:after="120"/>
      </w:pPr>
      <w:r>
        <w:t xml:space="preserve">Reglas maestras de integración automática que el motor debe aplicar siempre siguiendo el orden: Anatomía → Función → Severidad.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9" w:val="clear"/>
            <w:tcMar>
              <w:top w:type="dxa" w:w="60"/>
              <w:left w:type="dxa" w:w="100"/>
              <w:bottom w:type="dxa" w:w="60"/>
              <w:right w:type="dxa" w:w="100"/>
            </w:tcMar>
          </w:tcPr>
          <w:p>
            <w:r>
              <w:rPr>
                <w:b/>
                <w:bCs/>
                <w:color w:val="FFFFFF"/>
                <w:sz w:val="20"/>
                <w:szCs w:val="20"/>
              </w:rPr>
              <w:t xml:space="preserve">Combinación de hallazgos</w:t>
            </w:r>
          </w:p>
        </w:tc>
        <w:tc>
          <w:tcPr>
            <w:tcW w:type="dxa" w:w="5800"/>
            <w:shd w:fill="1F4E79" w:val="clear"/>
            <w:tcMar>
              <w:top w:type="dxa" w:w="60"/>
              <w:left w:type="dxa" w:w="100"/>
              <w:bottom w:type="dxa" w:w="60"/>
              <w:right w:type="dxa" w:w="100"/>
            </w:tcMar>
          </w:tcPr>
          <w:p>
            <w:r>
              <w:rPr>
                <w:b/>
                <w:bCs/>
                <w:color w:val="FFFFFF"/>
                <w:sz w:val="20"/>
                <w:szCs w:val="20"/>
              </w:rPr>
              <w:t xml:space="preserve">Regla de integración</w:t>
            </w:r>
          </w:p>
        </w:tc>
      </w:tr>
      <w:tr>
        <w:tc>
          <w:tcPr>
            <w:tcW w:type="dxa" w:w="3200"/>
            <w:tcMar>
              <w:top w:type="dxa" w:w="60"/>
              <w:left w:type="dxa" w:w="100"/>
              <w:bottom w:type="dxa" w:w="60"/>
              <w:right w:type="dxa" w:w="100"/>
            </w:tcMar>
          </w:tcPr>
          <w:p>
            <w:r>
              <w:rPr>
                <w:b w:val="false"/>
                <w:bCs w:val="false"/>
                <w:color w:val="000000"/>
                <w:sz w:val="20"/>
                <w:szCs w:val="20"/>
              </w:rPr>
              <w:t xml:space="preserve">AI dilatada (aislada)</w:t>
            </w:r>
          </w:p>
        </w:tc>
        <w:tc>
          <w:tcPr>
            <w:tcW w:type="dxa" w:w="5800"/>
            <w:tcMar>
              <w:top w:type="dxa" w:w="60"/>
              <w:left w:type="dxa" w:w="100"/>
              <w:bottom w:type="dxa" w:w="60"/>
              <w:right w:type="dxa" w:w="100"/>
            </w:tcMar>
          </w:tcPr>
          <w:p>
            <w:r>
              <w:rPr>
                <w:b w:val="false"/>
                <w:bCs w:val="false"/>
                <w:color w:val="000000"/>
                <w:sz w:val="20"/>
                <w:szCs w:val="20"/>
              </w:rPr>
              <w:t xml:space="preserve">Conclusión independiente: "Dilatación auricular izquierda".</w:t>
            </w:r>
          </w:p>
        </w:tc>
      </w:tr>
      <w:tr>
        <w:tc>
          <w:tcPr>
            <w:tcW w:type="dxa" w:w="3200"/>
            <w:tcMar>
              <w:top w:type="dxa" w:w="60"/>
              <w:left w:type="dxa" w:w="100"/>
              <w:bottom w:type="dxa" w:w="60"/>
              <w:right w:type="dxa" w:w="100"/>
            </w:tcMar>
          </w:tcPr>
          <w:p>
            <w:r>
              <w:rPr>
                <w:b w:val="false"/>
                <w:bCs w:val="false"/>
                <w:color w:val="000000"/>
                <w:sz w:val="20"/>
                <w:szCs w:val="20"/>
              </w:rPr>
              <w:t xml:space="preserve">AI + IM / SM / FA / disfunción diastólica</w:t>
            </w:r>
          </w:p>
        </w:tc>
        <w:tc>
          <w:tcPr>
            <w:tcW w:type="dxa" w:w="5800"/>
            <w:tcMar>
              <w:top w:type="dxa" w:w="60"/>
              <w:left w:type="dxa" w:w="100"/>
              <w:bottom w:type="dxa" w:w="60"/>
              <w:right w:type="dxa" w:w="100"/>
            </w:tcMar>
          </w:tcPr>
          <w:p>
            <w:r>
              <w:rPr>
                <w:b w:val="false"/>
                <w:bCs w:val="false"/>
                <w:color w:val="000000"/>
                <w:sz w:val="20"/>
                <w:szCs w:val="20"/>
              </w:rPr>
              <w:t xml:space="preserve">Se integra en una sola conclusión; no se repite como hallazgo aparte.</w:t>
            </w:r>
          </w:p>
        </w:tc>
      </w:tr>
      <w:tr>
        <w:tc>
          <w:tcPr>
            <w:tcW w:type="dxa" w:w="3200"/>
            <w:tcMar>
              <w:top w:type="dxa" w:w="60"/>
              <w:left w:type="dxa" w:w="100"/>
              <w:bottom w:type="dxa" w:w="60"/>
              <w:right w:type="dxa" w:w="100"/>
            </w:tcMar>
          </w:tcPr>
          <w:p>
            <w:r>
              <w:rPr>
                <w:b w:val="false"/>
                <w:bCs w:val="false"/>
                <w:color w:val="000000"/>
                <w:sz w:val="20"/>
                <w:szCs w:val="20"/>
              </w:rPr>
              <w:t xml:space="preserve">IT severa + PSAP elevada</w:t>
            </w:r>
          </w:p>
        </w:tc>
        <w:tc>
          <w:tcPr>
            <w:tcW w:type="dxa" w:w="5800"/>
            <w:tcMar>
              <w:top w:type="dxa" w:w="60"/>
              <w:left w:type="dxa" w:w="100"/>
              <w:bottom w:type="dxa" w:w="60"/>
              <w:right w:type="dxa" w:w="100"/>
            </w:tcMar>
          </w:tcPr>
          <w:p>
            <w:r>
              <w:rPr>
                <w:b w:val="false"/>
                <w:bCs w:val="false"/>
                <w:color w:val="000000"/>
                <w:sz w:val="20"/>
                <w:szCs w:val="20"/>
              </w:rPr>
              <w:t xml:space="preserve">Conclusión única de hipertensión pulmonar.</w:t>
            </w:r>
          </w:p>
        </w:tc>
      </w:tr>
      <w:tr>
        <w:tc>
          <w:tcPr>
            <w:tcW w:type="dxa" w:w="3200"/>
            <w:tcMar>
              <w:top w:type="dxa" w:w="60"/>
              <w:left w:type="dxa" w:w="100"/>
              <w:bottom w:type="dxa" w:w="60"/>
              <w:right w:type="dxa" w:w="100"/>
            </w:tcMar>
          </w:tcPr>
          <w:p>
            <w:r>
              <w:rPr>
                <w:b w:val="false"/>
                <w:bCs w:val="false"/>
                <w:color w:val="000000"/>
                <w:sz w:val="20"/>
                <w:szCs w:val="20"/>
              </w:rPr>
              <w:t xml:space="preserve">HP + VD + IT + TAPSE + S/S</w:t>
            </w:r>
          </w:p>
        </w:tc>
        <w:tc>
          <w:tcPr>
            <w:tcW w:type="dxa" w:w="5800"/>
            <w:tcMar>
              <w:top w:type="dxa" w:w="60"/>
              <w:left w:type="dxa" w:w="100"/>
              <w:bottom w:type="dxa" w:w="60"/>
              <w:right w:type="dxa" w:w="100"/>
            </w:tcMar>
          </w:tcPr>
          <w:p>
            <w:r>
              <w:rPr>
                <w:b w:val="false"/>
                <w:bCs w:val="false"/>
                <w:color w:val="000000"/>
                <w:sz w:val="20"/>
                <w:szCs w:val="20"/>
              </w:rPr>
              <w:t xml:space="preserve">Se integran en la conclusión de hipertensión pulmonar.</w:t>
            </w:r>
          </w:p>
        </w:tc>
      </w:tr>
      <w:tr>
        <w:tc>
          <w:tcPr>
            <w:tcW w:type="dxa" w:w="3200"/>
            <w:tcMar>
              <w:top w:type="dxa" w:w="60"/>
              <w:left w:type="dxa" w:w="100"/>
              <w:bottom w:type="dxa" w:w="60"/>
              <w:right w:type="dxa" w:w="100"/>
            </w:tcMar>
          </w:tcPr>
          <w:p>
            <w:r>
              <w:rPr>
                <w:b w:val="false"/>
                <w:bCs w:val="false"/>
                <w:color w:val="000000"/>
                <w:sz w:val="20"/>
                <w:szCs w:val="20"/>
              </w:rPr>
              <w:t xml:space="preserve">Anatomía valvular + lesión funcional</w:t>
            </w:r>
          </w:p>
        </w:tc>
        <w:tc>
          <w:tcPr>
            <w:tcW w:type="dxa" w:w="5800"/>
            <w:tcMar>
              <w:top w:type="dxa" w:w="60"/>
              <w:left w:type="dxa" w:w="100"/>
              <w:bottom w:type="dxa" w:w="60"/>
              <w:right w:type="dxa" w:w="100"/>
            </w:tcMar>
          </w:tcPr>
          <w:p>
            <w:r>
              <w:rPr>
                <w:b w:val="false"/>
                <w:bCs w:val="false"/>
                <w:color w:val="000000"/>
                <w:sz w:val="20"/>
                <w:szCs w:val="20"/>
              </w:rPr>
              <w:t xml:space="preserve">Se describe primero la anatomía, luego la función (Anatomía → Función → Severidad).</w:t>
            </w:r>
          </w:p>
        </w:tc>
      </w:tr>
      <w:tr>
        <w:tc>
          <w:tcPr>
            <w:tcW w:type="dxa" w:w="3200"/>
            <w:tcMar>
              <w:top w:type="dxa" w:w="60"/>
              <w:left w:type="dxa" w:w="100"/>
              <w:bottom w:type="dxa" w:w="60"/>
              <w:right w:type="dxa" w:w="100"/>
            </w:tcMar>
          </w:tcPr>
          <w:p>
            <w:r>
              <w:rPr>
                <w:b w:val="false"/>
                <w:bCs w:val="false"/>
                <w:color w:val="000000"/>
                <w:sz w:val="20"/>
                <w:szCs w:val="20"/>
              </w:rPr>
              <w:t xml:space="preserve">Morfología valvular + insuficiencia (misma válvula)</w:t>
            </w:r>
          </w:p>
        </w:tc>
        <w:tc>
          <w:tcPr>
            <w:tcW w:type="dxa" w:w="5800"/>
            <w:tcMar>
              <w:top w:type="dxa" w:w="60"/>
              <w:left w:type="dxa" w:w="100"/>
              <w:bottom w:type="dxa" w:w="60"/>
              <w:right w:type="dxa" w:w="100"/>
            </w:tcMar>
          </w:tcPr>
          <w:p>
            <w:r>
              <w:rPr>
                <w:b w:val="false"/>
                <w:bCs w:val="false"/>
                <w:color w:val="000000"/>
                <w:sz w:val="20"/>
                <w:szCs w:val="20"/>
              </w:rPr>
              <w:t xml:space="preserve">Se integran en una sola conclusión (ej. "Esclerosis y engrosamiento valvular mitral con insuficiencia leve a moderada").</w:t>
            </w:r>
          </w:p>
        </w:tc>
      </w:tr>
      <w:tr>
        <w:tc>
          <w:tcPr>
            <w:tcW w:type="dxa" w:w="3200"/>
            <w:tcMar>
              <w:top w:type="dxa" w:w="60"/>
              <w:left w:type="dxa" w:w="100"/>
              <w:bottom w:type="dxa" w:w="60"/>
              <w:right w:type="dxa" w:w="100"/>
            </w:tcMar>
          </w:tcPr>
          <w:p>
            <w:r>
              <w:rPr>
                <w:b w:val="false"/>
                <w:bCs w:val="false"/>
                <w:color w:val="000000"/>
                <w:sz w:val="20"/>
                <w:szCs w:val="20"/>
              </w:rPr>
              <w:t xml:space="preserve">Pericardio: PERIC + DP/DPP</w:t>
            </w:r>
          </w:p>
        </w:tc>
        <w:tc>
          <w:tcPr>
            <w:tcW w:type="dxa" w:w="5800"/>
            <w:tcMar>
              <w:top w:type="dxa" w:w="60"/>
              <w:left w:type="dxa" w:w="100"/>
              <w:bottom w:type="dxa" w:w="60"/>
              <w:right w:type="dxa" w:w="100"/>
            </w:tcMar>
          </w:tcPr>
          <w:p>
            <w:r>
              <w:rPr>
                <w:b w:val="false"/>
                <w:bCs w:val="false"/>
                <w:color w:val="000000"/>
                <w:sz w:val="20"/>
                <w:szCs w:val="20"/>
              </w:rPr>
              <w:t xml:space="preserve">"Inflamación pericárdica con derrame pericárdico..."; sin PERIC, solo "Derrame pericárdico..." (sin calificar de inflamatorio).</w:t>
            </w:r>
          </w:p>
        </w:tc>
      </w:tr>
      <w:tr>
        <w:tc>
          <w:tcPr>
            <w:tcW w:type="dxa" w:w="3200"/>
            <w:tcMar>
              <w:top w:type="dxa" w:w="60"/>
              <w:left w:type="dxa" w:w="100"/>
              <w:bottom w:type="dxa" w:w="60"/>
              <w:right w:type="dxa" w:w="100"/>
            </w:tcMar>
          </w:tcPr>
          <w:p>
            <w:r>
              <w:rPr>
                <w:b w:val="false"/>
                <w:bCs w:val="false"/>
                <w:color w:val="000000"/>
                <w:sz w:val="20"/>
                <w:szCs w:val="20"/>
              </w:rPr>
              <w:t xml:space="preserve">Pericardio + AD↓ + M/T ≥25%</w:t>
            </w:r>
          </w:p>
        </w:tc>
        <w:tc>
          <w:tcPr>
            <w:tcW w:type="dxa" w:w="5800"/>
            <w:tcMar>
              <w:top w:type="dxa" w:w="60"/>
              <w:left w:type="dxa" w:w="100"/>
              <w:bottom w:type="dxa" w:w="60"/>
              <w:right w:type="dxa" w:w="100"/>
            </w:tcMar>
          </w:tcPr>
          <w:p>
            <w:r>
              <w:rPr>
                <w:b w:val="false"/>
                <w:bCs w:val="false"/>
                <w:color w:val="000000"/>
                <w:sz w:val="20"/>
                <w:szCs w:val="20"/>
              </w:rPr>
              <w:t xml:space="preserve">Compromiso hemodinámico, solo si hay derrame (DP/DPP) presente.</w:t>
            </w:r>
          </w:p>
        </w:tc>
      </w:tr>
      <w:tr>
        <w:tc>
          <w:tcPr>
            <w:tcW w:type="dxa" w:w="3200"/>
            <w:tcMar>
              <w:top w:type="dxa" w:w="60"/>
              <w:left w:type="dxa" w:w="100"/>
              <w:bottom w:type="dxa" w:w="60"/>
              <w:right w:type="dxa" w:w="100"/>
            </w:tcMar>
          </w:tcPr>
          <w:p>
            <w:r>
              <w:rPr>
                <w:b w:val="false"/>
                <w:bCs w:val="false"/>
                <w:color w:val="000000"/>
                <w:sz w:val="20"/>
                <w:szCs w:val="20"/>
              </w:rPr>
              <w:t xml:space="preserve">CE + AI dilatada</w:t>
            </w:r>
          </w:p>
        </w:tc>
        <w:tc>
          <w:tcPr>
            <w:tcW w:type="dxa" w:w="5800"/>
            <w:tcMar>
              <w:top w:type="dxa" w:w="60"/>
              <w:left w:type="dxa" w:w="100"/>
              <w:bottom w:type="dxa" w:w="60"/>
              <w:right w:type="dxa" w:w="100"/>
            </w:tcMar>
          </w:tcPr>
          <w:p>
            <w:r>
              <w:rPr>
                <w:b w:val="false"/>
                <w:bCs w:val="false"/>
                <w:color w:val="000000"/>
                <w:sz w:val="20"/>
                <w:szCs w:val="20"/>
              </w:rPr>
              <w:t xml:space="preserve">Estado de bajo flujo auricular con aumento del riesgo tromboembólico.</w:t>
            </w:r>
          </w:p>
        </w:tc>
      </w:tr>
      <w:tr>
        <w:tc>
          <w:tcPr>
            <w:tcW w:type="dxa" w:w="3200"/>
            <w:tcMar>
              <w:top w:type="dxa" w:w="60"/>
              <w:left w:type="dxa" w:w="100"/>
              <w:bottom w:type="dxa" w:w="60"/>
              <w:right w:type="dxa" w:w="100"/>
            </w:tcMar>
          </w:tcPr>
          <w:p>
            <w:r>
              <w:rPr>
                <w:b w:val="false"/>
                <w:bCs w:val="false"/>
                <w:color w:val="000000"/>
                <w:sz w:val="20"/>
                <w:szCs w:val="20"/>
              </w:rPr>
              <w:t xml:space="preserve">CE + fibrilación auricular</w:t>
            </w:r>
          </w:p>
        </w:tc>
        <w:tc>
          <w:tcPr>
            <w:tcW w:type="dxa" w:w="5800"/>
            <w:tcMar>
              <w:top w:type="dxa" w:w="60"/>
              <w:left w:type="dxa" w:w="100"/>
              <w:bottom w:type="dxa" w:w="60"/>
              <w:right w:type="dxa" w:w="100"/>
            </w:tcMar>
          </w:tcPr>
          <w:p>
            <w:r>
              <w:rPr>
                <w:b w:val="false"/>
                <w:bCs w:val="false"/>
                <w:color w:val="000000"/>
                <w:sz w:val="20"/>
                <w:szCs w:val="20"/>
              </w:rPr>
              <w:t xml:space="preserve">Hallazgo compatible con estasis secundaria a fibrilación auricular.</w:t>
            </w:r>
          </w:p>
        </w:tc>
      </w:tr>
      <w:tr>
        <w:tc>
          <w:tcPr>
            <w:tcW w:type="dxa" w:w="3200"/>
            <w:tcMar>
              <w:top w:type="dxa" w:w="60"/>
              <w:left w:type="dxa" w:w="100"/>
              <w:bottom w:type="dxa" w:w="60"/>
              <w:right w:type="dxa" w:w="100"/>
            </w:tcMar>
          </w:tcPr>
          <w:p>
            <w:r>
              <w:rPr>
                <w:b w:val="false"/>
                <w:bCs w:val="false"/>
                <w:color w:val="000000"/>
                <w:sz w:val="20"/>
                <w:szCs w:val="20"/>
              </w:rPr>
              <w:t xml:space="preserve">CE + FEVI reducida</w:t>
            </w:r>
          </w:p>
        </w:tc>
        <w:tc>
          <w:tcPr>
            <w:tcW w:type="dxa" w:w="5800"/>
            <w:tcMar>
              <w:top w:type="dxa" w:w="60"/>
              <w:left w:type="dxa" w:w="100"/>
              <w:bottom w:type="dxa" w:w="60"/>
              <w:right w:type="dxa" w:w="100"/>
            </w:tcMar>
          </w:tcPr>
          <w:p>
            <w:r>
              <w:rPr>
                <w:b w:val="false"/>
                <w:bCs w:val="false"/>
                <w:color w:val="000000"/>
                <w:sz w:val="20"/>
                <w:szCs w:val="20"/>
              </w:rPr>
              <w:t xml:space="preserve">Estado de bajo gasto con mayor riesgo trombótico.</w:t>
            </w:r>
          </w:p>
        </w:tc>
      </w:tr>
      <w:tr>
        <w:tc>
          <w:tcPr>
            <w:tcW w:type="dxa" w:w="3200"/>
            <w:tcMar>
              <w:top w:type="dxa" w:w="60"/>
              <w:left w:type="dxa" w:w="100"/>
              <w:bottom w:type="dxa" w:w="60"/>
              <w:right w:type="dxa" w:w="100"/>
            </w:tcMar>
          </w:tcPr>
          <w:p>
            <w:r>
              <w:rPr>
                <w:b w:val="false"/>
                <w:bCs w:val="false"/>
                <w:color w:val="000000"/>
                <w:sz w:val="20"/>
                <w:szCs w:val="20"/>
              </w:rPr>
              <w:t xml:space="preserve">TX en VI</w:t>
            </w:r>
          </w:p>
        </w:tc>
        <w:tc>
          <w:tcPr>
            <w:tcW w:type="dxa" w:w="5800"/>
            <w:tcMar>
              <w:top w:type="dxa" w:w="60"/>
              <w:left w:type="dxa" w:w="100"/>
              <w:bottom w:type="dxa" w:w="60"/>
              <w:right w:type="dxa" w:w="100"/>
            </w:tcMar>
          </w:tcPr>
          <w:p>
            <w:r>
              <w:rPr>
                <w:b w:val="false"/>
                <w:bCs w:val="false"/>
                <w:color w:val="000000"/>
                <w:sz w:val="20"/>
                <w:szCs w:val="20"/>
              </w:rPr>
              <w:t xml:space="preserve">Compatible con trombo ventricular, frecuentemente asociado a infarto previo o miocardiopatía.</w:t>
            </w:r>
          </w:p>
        </w:tc>
      </w:tr>
      <w:tr>
        <w:tc>
          <w:tcPr>
            <w:tcW w:type="dxa" w:w="3200"/>
            <w:tcMar>
              <w:top w:type="dxa" w:w="60"/>
              <w:left w:type="dxa" w:w="100"/>
              <w:bottom w:type="dxa" w:w="60"/>
              <w:right w:type="dxa" w:w="100"/>
            </w:tcMar>
          </w:tcPr>
          <w:p>
            <w:r>
              <w:rPr>
                <w:b w:val="false"/>
                <w:bCs w:val="false"/>
                <w:color w:val="000000"/>
                <w:sz w:val="20"/>
                <w:szCs w:val="20"/>
              </w:rPr>
              <w:t xml:space="preserve">TX en AI / OI</w:t>
            </w:r>
          </w:p>
        </w:tc>
        <w:tc>
          <w:tcPr>
            <w:tcW w:type="dxa" w:w="5800"/>
            <w:tcMar>
              <w:top w:type="dxa" w:w="60"/>
              <w:left w:type="dxa" w:w="100"/>
              <w:bottom w:type="dxa" w:w="60"/>
              <w:right w:type="dxa" w:w="100"/>
            </w:tcMar>
          </w:tcPr>
          <w:p>
            <w:r>
              <w:rPr>
                <w:b w:val="false"/>
                <w:bCs w:val="false"/>
                <w:color w:val="000000"/>
                <w:sz w:val="20"/>
                <w:szCs w:val="20"/>
              </w:rPr>
              <w:t xml:space="preserve">Compatible con trombosis asociada a fibrilación auricular, en el contexto clínico apropiado.</w:t>
            </w:r>
          </w:p>
        </w:tc>
      </w:tr>
      <w:tr>
        <w:tc>
          <w:tcPr>
            <w:tcW w:type="dxa" w:w="3200"/>
            <w:tcMar>
              <w:top w:type="dxa" w:w="60"/>
              <w:left w:type="dxa" w:w="100"/>
              <w:bottom w:type="dxa" w:w="60"/>
              <w:right w:type="dxa" w:w="100"/>
            </w:tcMar>
          </w:tcPr>
          <w:p>
            <w:r>
              <w:rPr>
                <w:b w:val="false"/>
                <w:bCs w:val="false"/>
                <w:color w:val="000000"/>
                <w:sz w:val="20"/>
                <w:szCs w:val="20"/>
              </w:rPr>
              <w:t xml:space="preserve">VEG / MIX / FIB</w:t>
            </w:r>
          </w:p>
        </w:tc>
        <w:tc>
          <w:tcPr>
            <w:tcW w:type="dxa" w:w="5800"/>
            <w:tcMar>
              <w:top w:type="dxa" w:w="60"/>
              <w:left w:type="dxa" w:w="100"/>
              <w:bottom w:type="dxa" w:w="60"/>
              <w:right w:type="dxa" w:w="100"/>
            </w:tcMar>
          </w:tcPr>
          <w:p>
            <w:r>
              <w:rPr>
                <w:b w:val="false"/>
                <w:bCs w:val="false"/>
                <w:color w:val="000000"/>
                <w:sz w:val="20"/>
                <w:szCs w:val="20"/>
              </w:rPr>
              <w:t xml:space="preserve">Hallazgo sugestivo de endocarditis infecciosa / tumor cardíaco primario / fibroelastoma papilar, según contexto clínico.</w:t>
            </w:r>
          </w:p>
        </w:tc>
      </w:tr>
      <w:tr>
        <w:tc>
          <w:tcPr>
            <w:tcW w:type="dxa" w:w="3200"/>
            <w:tcMar>
              <w:top w:type="dxa" w:w="60"/>
              <w:left w:type="dxa" w:w="100"/>
              <w:bottom w:type="dxa" w:w="60"/>
              <w:right w:type="dxa" w:w="100"/>
            </w:tcMar>
          </w:tcPr>
          <w:p>
            <w:r>
              <w:rPr>
                <w:b w:val="false"/>
                <w:bCs w:val="false"/>
                <w:color w:val="000000"/>
                <w:sz w:val="20"/>
                <w:szCs w:val="20"/>
              </w:rPr>
              <w:t xml:space="preserve">CMP↓ (calcio velo posterior con restricción)</w:t>
            </w:r>
          </w:p>
        </w:tc>
        <w:tc>
          <w:tcPr>
            <w:tcW w:type="dxa" w:w="5800"/>
            <w:tcMar>
              <w:top w:type="dxa" w:w="60"/>
              <w:left w:type="dxa" w:w="100"/>
              <w:bottom w:type="dxa" w:w="60"/>
              <w:right w:type="dxa" w:w="100"/>
            </w:tcMar>
          </w:tcPr>
          <w:p>
            <w:r>
              <w:rPr>
                <w:b w:val="false"/>
                <w:bCs w:val="false"/>
                <w:color w:val="000000"/>
                <w:sz w:val="20"/>
                <w:szCs w:val="20"/>
              </w:rPr>
              <w:t xml:space="preserve">No infiere estenosis mitral a menos que coexistan SM y/o AVM explícitos.</w:t>
            </w:r>
          </w:p>
        </w:tc>
      </w:tr>
      <w:tr>
        <w:tc>
          <w:tcPr>
            <w:tcW w:type="dxa" w:w="3200"/>
            <w:tcMar>
              <w:top w:type="dxa" w:w="60"/>
              <w:left w:type="dxa" w:w="100"/>
              <w:bottom w:type="dxa" w:w="60"/>
              <w:right w:type="dxa" w:w="100"/>
            </w:tcMar>
          </w:tcPr>
          <w:p>
            <w:r>
              <w:rPr>
                <w:b w:val="false"/>
                <w:bCs w:val="false"/>
                <w:color w:val="000000"/>
                <w:sz w:val="20"/>
                <w:szCs w:val="20"/>
              </w:rPr>
              <w:t xml:space="preserve">AN septal + FOP</w:t>
            </w:r>
          </w:p>
        </w:tc>
        <w:tc>
          <w:tcPr>
            <w:tcW w:type="dxa" w:w="5800"/>
            <w:tcMar>
              <w:top w:type="dxa" w:w="60"/>
              <w:left w:type="dxa" w:w="100"/>
              <w:bottom w:type="dxa" w:w="60"/>
              <w:right w:type="dxa" w:w="100"/>
            </w:tcMar>
          </w:tcPr>
          <w:p>
            <w:r>
              <w:rPr>
                <w:b w:val="false"/>
                <w:bCs w:val="false"/>
                <w:color w:val="000000"/>
                <w:sz w:val="20"/>
                <w:szCs w:val="20"/>
              </w:rPr>
              <w:t xml:space="preserve">El FOP aporta el cortocircuito; el aneurisma se describe como hallazgo estructural asociado.</w:t>
            </w:r>
          </w:p>
        </w:tc>
      </w:tr>
      <w:tr>
        <w:tc>
          <w:tcPr>
            <w:tcW w:type="dxa" w:w="3200"/>
            <w:tcMar>
              <w:top w:type="dxa" w:w="60"/>
              <w:left w:type="dxa" w:w="100"/>
              <w:bottom w:type="dxa" w:w="60"/>
              <w:right w:type="dxa" w:w="100"/>
            </w:tcMar>
          </w:tcPr>
          <w:p>
            <w:r>
              <w:rPr>
                <w:b w:val="false"/>
                <w:bCs w:val="false"/>
                <w:color w:val="000000"/>
                <w:sz w:val="20"/>
                <w:szCs w:val="20"/>
              </w:rPr>
              <w:t xml:space="preserve">Sxx aislado (sin otros datos de sobrecarga derecha)</w:t>
            </w:r>
          </w:p>
        </w:tc>
        <w:tc>
          <w:tcPr>
            <w:tcW w:type="dxa" w:w="5800"/>
            <w:tcMar>
              <w:top w:type="dxa" w:w="60"/>
              <w:left w:type="dxa" w:w="100"/>
              <w:bottom w:type="dxa" w:w="60"/>
              <w:right w:type="dxa" w:w="100"/>
            </w:tcMar>
          </w:tcPr>
          <w:p>
            <w:r>
              <w:rPr>
                <w:b w:val="false"/>
                <w:bCs w:val="false"/>
                <w:color w:val="000000"/>
                <w:sz w:val="20"/>
                <w:szCs w:val="20"/>
              </w:rPr>
              <w:t xml:space="preserve">SÍ concluye probabilidad de HP por sí solo — EXCEPCIÓN a la regla general de "nunca solo": ≤40 mmHg = baja, &gt;40 mmHg = intermedia.</w:t>
            </w:r>
          </w:p>
        </w:tc>
      </w:tr>
      <w:tr>
        <w:tc>
          <w:tcPr>
            <w:tcW w:type="dxa" w:w="3200"/>
            <w:tcMar>
              <w:top w:type="dxa" w:w="60"/>
              <w:left w:type="dxa" w:w="100"/>
              <w:bottom w:type="dxa" w:w="60"/>
              <w:right w:type="dxa" w:w="100"/>
            </w:tcMar>
          </w:tcPr>
          <w:p>
            <w:r>
              <w:rPr>
                <w:b w:val="false"/>
                <w:bCs w:val="false"/>
                <w:color w:val="000000"/>
                <w:sz w:val="20"/>
                <w:szCs w:val="20"/>
              </w:rPr>
              <w:t xml:space="preserve">Sxx &gt;40 + dilatación de cavidades derechas / AD↑ / S-S,S-D,S-SD / TAPSE bajo</w:t>
            </w:r>
          </w:p>
        </w:tc>
        <w:tc>
          <w:tcPr>
            <w:tcW w:type="dxa" w:w="5800"/>
            <w:tcMar>
              <w:top w:type="dxa" w:w="60"/>
              <w:left w:type="dxa" w:w="100"/>
              <w:bottom w:type="dxa" w:w="60"/>
              <w:right w:type="dxa" w:w="100"/>
            </w:tcMar>
          </w:tcPr>
          <w:p>
            <w:r>
              <w:rPr>
                <w:b w:val="false"/>
                <w:bCs w:val="false"/>
                <w:color w:val="000000"/>
                <w:sz w:val="20"/>
                <w:szCs w:val="20"/>
              </w:rPr>
              <w:t xml:space="preserve">Alta probabilidad de HP, integrando los hallazgos asociados en la misma conclusión.</w:t>
            </w:r>
          </w:p>
        </w:tc>
      </w:tr>
      <w:tr>
        <w:tc>
          <w:tcPr>
            <w:tcW w:type="dxa" w:w="3200"/>
            <w:tcMar>
              <w:top w:type="dxa" w:w="60"/>
              <w:left w:type="dxa" w:w="100"/>
              <w:bottom w:type="dxa" w:w="60"/>
              <w:right w:type="dxa" w:w="100"/>
            </w:tcMar>
          </w:tcPr>
          <w:p>
            <w:r>
              <w:rPr>
                <w:b w:val="false"/>
                <w:bCs w:val="false"/>
                <w:color w:val="000000"/>
                <w:sz w:val="20"/>
                <w:szCs w:val="20"/>
              </w:rPr>
              <w:t xml:space="preserve">DD1/DD2/DD3 dictado directo</w:t>
            </w:r>
          </w:p>
        </w:tc>
        <w:tc>
          <w:tcPr>
            <w:tcW w:type="dxa" w:w="5800"/>
            <w:tcMar>
              <w:top w:type="dxa" w:w="60"/>
              <w:left w:type="dxa" w:w="100"/>
              <w:bottom w:type="dxa" w:w="60"/>
              <w:right w:type="dxa" w:w="100"/>
            </w:tcMar>
          </w:tcPr>
          <w:p>
            <w:r>
              <w:rPr>
                <w:b w:val="false"/>
                <w:bCs w:val="false"/>
                <w:color w:val="000000"/>
                <w:sz w:val="20"/>
                <w:szCs w:val="20"/>
              </w:rPr>
              <w:t xml:space="preserve">Prioridad absoluta sobre el cálculo automático del algoritmo de diástole (Nagueh 2016).</w:t>
            </w:r>
          </w:p>
        </w:tc>
      </w:tr>
    </w:tbl>
    <w:p>
      <w:pPr>
        <w:spacing w:after="120"/>
      </w:pPr>
      <w:r>
        <w:t xml:space="preserve">Estas asociaciones clínicas tienen carácter orientador y nunca sustituyen el juicio clínico del cardiólogo. El sistema nunca recomienda estudios complementarios en ninguna conclusión.</w:t>
      </w:r>
    </w:p>
    <w:p>
      <w:pPr>
        <w:pStyle w:val="Heading2"/>
        <w:spacing w:after="150" w:before="300"/>
      </w:pPr>
      <w:r>
        <w:t xml:space="preserve">Reglas de exclusión mutua</w:t>
      </w:r>
    </w:p>
    <w:p>
      <w:pPr>
        <w:pStyle w:val="ListParagraph"/>
        <w:numPr>
          <w:ilvl w:val="0"/>
          <w:numId w:val="1"/>
        </w:numPr>
        <w:spacing w:after="60"/>
      </w:pPr>
      <w:r>
        <w:t xml:space="preserve">Si aparece el código OK (contractilidad conservada), no deben coexistir trastornos segmentarios en la misma interpretación.</w:t>
      </w:r>
    </w:p>
    <w:p>
      <w:pPr>
        <w:pStyle w:val="ListParagraph"/>
        <w:numPr>
          <w:ilvl w:val="0"/>
          <w:numId w:val="1"/>
        </w:numPr>
        <w:spacing w:after="60"/>
      </w:pPr>
      <w:r>
        <w:t xml:space="preserve">Espolón y la familia Septum↑/Septum↓/Septum↑↓ son mutuamente excluyentes; no coexisten en el mismo informe.</w:t>
      </w:r>
    </w:p>
    <w:p>
      <w:pPr>
        <w:pStyle w:val="ListParagraph"/>
        <w:numPr>
          <w:ilvl w:val="0"/>
          <w:numId w:val="1"/>
        </w:numPr>
        <w:spacing w:after="60"/>
      </w:pPr>
      <w:r>
        <w:t xml:space="preserve">Los parámetros de soporte (VC, AD↓, S/S-S/D-S/SD, CMP↓ sin SM/AVM) nunca concluyen por sí solos; requieren un hallazgo principal al que integrarse. TRI es descriptivo puro (no clasifica). Excepción: Sxx SÍ concluye probabilidad de HP por sí solo.</w:t>
      </w:r>
    </w:p>
    <w:p>
      <w:pPr>
        <w:pStyle w:val="ListParagraph"/>
        <w:numPr>
          <w:ilvl w:val="0"/>
          <w:numId w:val="1"/>
        </w:numPr>
        <w:spacing w:after="60"/>
      </w:pPr>
      <w:r>
        <w:t xml:space="preserve">Las insuficiencias valvulares triviales siempre se incluyen en conclusiones, sin excepción.</w:t>
      </w:r>
    </w:p>
    <w:p>
      <w:pPr>
        <w:pStyle w:val="ListParagraph"/>
        <w:numPr>
          <w:ilvl w:val="0"/>
          <w:numId w:val="1"/>
        </w:numPr>
        <w:spacing w:after="60"/>
      </w:pPr>
      <w:r>
        <w:t xml:space="preserve">La probabilidad de hipertensión pulmonar es independiente del grado de severidad de la IT: la conclusión de HP nunca repite el grado de la IT.</w:t>
      </w:r>
    </w:p>
    <w:p>
      <w:pPr>
        <w:pStyle w:val="Heading2"/>
        <w:spacing w:after="150" w:before="300"/>
      </w:pPr>
      <w:r>
        <w:t xml:space="preserve">Dos plantillas de salida: Hospitalizado vs. ORTIZNOR Cardium</w:t>
      </w:r>
    </w:p>
    <w:p>
      <w:pPr>
        <w:spacing w:after="120"/>
      </w:pPr>
      <w:r>
        <w:t xml:space="preserve">El sistema soporta dos formatos de salida distintos, seleccionados automáticamente según el campo de ubicación del paciente: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Campo de ubicación</w:t>
            </w:r>
          </w:p>
        </w:tc>
        <w:tc>
          <w:tcPr>
            <w:tcW w:type="dxa" w:w="4500"/>
            <w:shd w:fill="1F4E79" w:val="clear"/>
            <w:tcMar>
              <w:top w:type="dxa" w:w="60"/>
              <w:left w:type="dxa" w:w="100"/>
              <w:bottom w:type="dxa" w:w="60"/>
              <w:right w:type="dxa" w:w="100"/>
            </w:tcMar>
          </w:tcPr>
          <w:p>
            <w:r>
              <w:rPr>
                <w:b/>
                <w:bCs/>
                <w:color w:val="FFFFFF"/>
                <w:sz w:val="20"/>
                <w:szCs w:val="20"/>
              </w:rPr>
              <w:t xml:space="preserve">Plantilla</w:t>
            </w:r>
          </w:p>
        </w:tc>
      </w:tr>
      <w:tr>
        <w:tc>
          <w:tcPr>
            <w:tcW w:type="dxa" w:w="4500"/>
            <w:tcMar>
              <w:top w:type="dxa" w:w="60"/>
              <w:left w:type="dxa" w:w="100"/>
              <w:bottom w:type="dxa" w:w="60"/>
              <w:right w:type="dxa" w:w="100"/>
            </w:tcMar>
          </w:tcPr>
          <w:p>
            <w:r>
              <w:rPr>
                <w:b w:val="false"/>
                <w:bCs w:val="false"/>
                <w:color w:val="000000"/>
                <w:sz w:val="20"/>
                <w:szCs w:val="20"/>
              </w:rPr>
              <w:t xml:space="preserve">Número de cama</w:t>
            </w:r>
          </w:p>
        </w:tc>
        <w:tc>
          <w:tcPr>
            <w:tcW w:type="dxa" w:w="4500"/>
            <w:tcMar>
              <w:top w:type="dxa" w:w="60"/>
              <w:left w:type="dxa" w:w="100"/>
              <w:bottom w:type="dxa" w:w="60"/>
              <w:right w:type="dxa" w:w="100"/>
            </w:tcMar>
          </w:tcPr>
          <w:p>
            <w:r>
              <w:rPr>
                <w:b w:val="false"/>
                <w:bCs w:val="false"/>
                <w:color w:val="000000"/>
                <w:sz w:val="20"/>
                <w:szCs w:val="20"/>
              </w:rPr>
              <w:t xml:space="preserve">Hospitalizado (esqueleto descrito arriba, sin datos de identificación completos ni firma; se copia y pega en el sistema de la institución)</w:t>
            </w:r>
          </w:p>
        </w:tc>
      </w:tr>
      <w:tr>
        <w:tc>
          <w:tcPr>
            <w:tcW w:type="dxa" w:w="4500"/>
            <w:tcMar>
              <w:top w:type="dxa" w:w="60"/>
              <w:left w:type="dxa" w:w="100"/>
              <w:bottom w:type="dxa" w:w="60"/>
              <w:right w:type="dxa" w:w="100"/>
            </w:tcMar>
          </w:tcPr>
          <w:p>
            <w:r>
              <w:rPr>
                <w:b w:val="false"/>
                <w:bCs w:val="false"/>
                <w:color w:val="000000"/>
                <w:sz w:val="20"/>
                <w:szCs w:val="20"/>
              </w:rPr>
              <w:t xml:space="preserve">"AMB" (ambulatorio)</w:t>
            </w:r>
          </w:p>
        </w:tc>
        <w:tc>
          <w:tcPr>
            <w:tcW w:type="dxa" w:w="4500"/>
            <w:tcMar>
              <w:top w:type="dxa" w:w="60"/>
              <w:left w:type="dxa" w:w="100"/>
              <w:bottom w:type="dxa" w:w="60"/>
              <w:right w:type="dxa" w:w="100"/>
            </w:tcMar>
          </w:tcPr>
          <w:p>
            <w:r>
              <w:rPr>
                <w:b w:val="false"/>
                <w:bCs w:val="false"/>
                <w:color w:val="000000"/>
                <w:sz w:val="20"/>
                <w:szCs w:val="20"/>
              </w:rPr>
              <w:t xml:space="preserve">ORTIZNOR Cardium (con identificación completa, equipo, y firma; se imprime y se entrega al paciente)</w:t>
            </w:r>
          </w:p>
        </w:tc>
      </w:tr>
    </w:tbl>
    <w:p>
      <w:pPr>
        <w:spacing w:after="120"/>
      </w:pPr>
      <w:r>
        <w:t xml:space="preserve">El cuerpo clínico (datos cuantitativos, hallazgos cualitativos, Doppler y conclusión) es IDÉNTICO entre ambas plantillas — mismo esqueleto, mismas reglas clínicas, mismo motor de conclusiones. Solo cambian el encabezado y el cierre.</w:t>
      </w:r>
    </w:p>
    <w:p>
      <w:pPr>
        <w:pStyle w:val="Heading3"/>
        <w:spacing w:after="100" w:before="200"/>
      </w:pPr>
      <w:r>
        <w:t xml:space="preserve">Encabezado y cierre — ORTIZNOR Cardium</w:t>
      </w:r>
    </w:p>
    <w:p>
      <w:pPr>
        <w:shd w:fill="F2F2F2" w:val="clear"/>
        <w:spacing w:after="100"/>
        <w:ind w:left="360"/>
      </w:pPr>
      <w:r>
        <w:rPr>
          <w:rFonts w:ascii="Consolas" w:cs="Consolas" w:eastAsia="Consolas" w:hAnsi="Consolas"/>
          <w:b/>
          <w:bCs/>
          <w:color w:val="1F4E79"/>
        </w:rPr>
        <w:t xml:space="preserve">ECOCARDIOGRAMA TRANSTORACICO
FECHA: [fecha]   CAMA: AMB   LINEA DE PAGO: [EPS]
PACIENTE: [nombre completo] EDAD: [xx]A   H.C.: [xxxxxx]   COD: 881202
_______________________________________________
CON EQUIPO GENERAL ELECTRIC VIVID I SE REALIZA ECOCARDIOGRAMA TT, EN PROYECCIONES
HABITUALES, APLICÁNDOSE MODO M, B, DOPPLER PULSADO, CONTINUO, DOPPLER COLOR,
DOPPLER TISULAR, IMAGEN CINÉTICA, POWER DOPPLER Y SCAN ÁREA, OBSERVÁNDOSE:</w:t>
      </w:r>
    </w:p>
    <w:p>
      <w:pPr>
        <w:spacing w:after="120"/>
      </w:pPr>
      <w:r>
        <w:t xml:space="preserve">[... mismo cuerpo clínico que en la plantilla Hospitalizado ...]</w:t>
      </w:r>
    </w:p>
    <w:p>
      <w:pPr>
        <w:shd w:fill="F2F2F2" w:val="clear"/>
        <w:spacing w:after="100"/>
        <w:ind w:left="360"/>
      </w:pPr>
      <w:r>
        <w:rPr>
          <w:rFonts w:ascii="Consolas" w:cs="Consolas" w:eastAsia="Consolas" w:hAnsi="Consolas"/>
          <w:b/>
          <w:bCs/>
          <w:color w:val="1F4E79"/>
        </w:rPr>
        <w:t xml:space="preserve">DR. CARLOS ALBERTO ORTIZ
INTERNISTA CARDIOLOGO
RM. 19497274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60"/>
              <w:left w:type="dxa" w:w="100"/>
              <w:bottom w:type="dxa" w:w="60"/>
              <w:right w:type="dxa" w:w="100"/>
            </w:tcMar>
          </w:tcPr>
          <w:p>
            <w:r>
              <w:rPr>
                <w:b/>
                <w:bCs/>
                <w:color w:val="FFFFFF"/>
                <w:sz w:val="20"/>
                <w:szCs w:val="20"/>
              </w:rPr>
              <w:t xml:space="preserve">Campo</w:t>
            </w:r>
          </w:p>
        </w:tc>
        <w:tc>
          <w:tcPr>
            <w:tcW w:type="dxa" w:w="4500"/>
            <w:shd w:fill="1F4E79" w:val="clear"/>
            <w:tcMar>
              <w:top w:type="dxa" w:w="60"/>
              <w:left w:type="dxa" w:w="100"/>
              <w:bottom w:type="dxa" w:w="60"/>
              <w:right w:type="dxa" w:w="100"/>
            </w:tcMar>
          </w:tcPr>
          <w:p>
            <w:r>
              <w:rPr>
                <w:b/>
                <w:bCs/>
                <w:color w:val="FFFFFF"/>
                <w:sz w:val="20"/>
                <w:szCs w:val="20"/>
              </w:rPr>
              <w:t xml:space="preserve">Regla</w:t>
            </w:r>
          </w:p>
        </w:tc>
      </w:tr>
      <w:tr>
        <w:tc>
          <w:tcPr>
            <w:tcW w:type="dxa" w:w="4500"/>
            <w:tcMar>
              <w:top w:type="dxa" w:w="60"/>
              <w:left w:type="dxa" w:w="100"/>
              <w:bottom w:type="dxa" w:w="60"/>
              <w:right w:type="dxa" w:w="100"/>
            </w:tcMar>
          </w:tcPr>
          <w:p>
            <w:r>
              <w:rPr>
                <w:b w:val="false"/>
                <w:bCs w:val="false"/>
                <w:color w:val="000000"/>
                <w:sz w:val="20"/>
                <w:szCs w:val="20"/>
              </w:rPr>
              <w:t xml:space="preserve">COD</w:t>
            </w:r>
          </w:p>
        </w:tc>
        <w:tc>
          <w:tcPr>
            <w:tcW w:type="dxa" w:w="4500"/>
            <w:tcMar>
              <w:top w:type="dxa" w:w="60"/>
              <w:left w:type="dxa" w:w="100"/>
              <w:bottom w:type="dxa" w:w="60"/>
              <w:right w:type="dxa" w:w="100"/>
            </w:tcMar>
          </w:tcPr>
          <w:p>
            <w:r>
              <w:rPr>
                <w:b w:val="false"/>
                <w:bCs w:val="false"/>
                <w:color w:val="000000"/>
                <w:sz w:val="20"/>
                <w:szCs w:val="20"/>
              </w:rPr>
              <w:t xml:space="preserve">881202 — fijo para ecocardiograma transtorácico, no varía</w:t>
            </w:r>
          </w:p>
        </w:tc>
      </w:tr>
      <w:tr>
        <w:tc>
          <w:tcPr>
            <w:tcW w:type="dxa" w:w="4500"/>
            <w:tcMar>
              <w:top w:type="dxa" w:w="60"/>
              <w:left w:type="dxa" w:w="100"/>
              <w:bottom w:type="dxa" w:w="60"/>
              <w:right w:type="dxa" w:w="100"/>
            </w:tcMar>
          </w:tcPr>
          <w:p>
            <w:r>
              <w:rPr>
                <w:b w:val="false"/>
                <w:bCs w:val="false"/>
                <w:color w:val="000000"/>
                <w:sz w:val="20"/>
                <w:szCs w:val="20"/>
              </w:rPr>
              <w:t xml:space="preserve">LINEA DE PAGO</w:t>
            </w:r>
          </w:p>
        </w:tc>
        <w:tc>
          <w:tcPr>
            <w:tcW w:type="dxa" w:w="4500"/>
            <w:tcMar>
              <w:top w:type="dxa" w:w="60"/>
              <w:left w:type="dxa" w:w="100"/>
              <w:bottom w:type="dxa" w:w="60"/>
              <w:right w:type="dxa" w:w="100"/>
            </w:tcMar>
          </w:tcPr>
          <w:p>
            <w:r>
              <w:rPr>
                <w:b w:val="false"/>
                <w:bCs w:val="false"/>
                <w:color w:val="000000"/>
                <w:sz w:val="20"/>
                <w:szCs w:val="20"/>
              </w:rPr>
              <w:t xml:space="preserve">Nombre de la EPS/aseguradora, se dicta por paciente</w:t>
            </w:r>
          </w:p>
        </w:tc>
      </w:tr>
      <w:tr>
        <w:tc>
          <w:tcPr>
            <w:tcW w:type="dxa" w:w="4500"/>
            <w:tcMar>
              <w:top w:type="dxa" w:w="60"/>
              <w:left w:type="dxa" w:w="100"/>
              <w:bottom w:type="dxa" w:w="60"/>
              <w:right w:type="dxa" w:w="100"/>
            </w:tcMar>
          </w:tcPr>
          <w:p>
            <w:r>
              <w:rPr>
                <w:b w:val="false"/>
                <w:bCs w:val="false"/>
                <w:color w:val="000000"/>
                <w:sz w:val="20"/>
                <w:szCs w:val="20"/>
              </w:rPr>
              <w:t xml:space="preserve">Equipo</w:t>
            </w:r>
          </w:p>
        </w:tc>
        <w:tc>
          <w:tcPr>
            <w:tcW w:type="dxa" w:w="4500"/>
            <w:tcMar>
              <w:top w:type="dxa" w:w="60"/>
              <w:left w:type="dxa" w:w="100"/>
              <w:bottom w:type="dxa" w:w="60"/>
              <w:right w:type="dxa" w:w="100"/>
            </w:tcMar>
          </w:tcPr>
          <w:p>
            <w:r>
              <w:rPr>
                <w:b w:val="false"/>
                <w:bCs w:val="false"/>
                <w:color w:val="000000"/>
                <w:sz w:val="20"/>
                <w:szCs w:val="20"/>
              </w:rPr>
              <w:t xml:space="preserve">GENERAL ELECTRIC VIVID I — frase fija (reemplaza al anterior PHILIPS iE33), no cambia por paciente</w:t>
            </w:r>
          </w:p>
        </w:tc>
      </w:tr>
      <w:tr>
        <w:tc>
          <w:tcPr>
            <w:tcW w:type="dxa" w:w="4500"/>
            <w:tcMar>
              <w:top w:type="dxa" w:w="60"/>
              <w:left w:type="dxa" w:w="100"/>
              <w:bottom w:type="dxa" w:w="60"/>
              <w:right w:type="dxa" w:w="100"/>
            </w:tcMar>
          </w:tcPr>
          <w:p>
            <w:r>
              <w:rPr>
                <w:b w:val="false"/>
                <w:bCs w:val="false"/>
                <w:color w:val="000000"/>
                <w:sz w:val="20"/>
                <w:szCs w:val="20"/>
              </w:rPr>
              <w:t xml:space="preserve">Firma</w:t>
            </w:r>
          </w:p>
        </w:tc>
        <w:tc>
          <w:tcPr>
            <w:tcW w:type="dxa" w:w="4500"/>
            <w:tcMar>
              <w:top w:type="dxa" w:w="60"/>
              <w:left w:type="dxa" w:w="100"/>
              <w:bottom w:type="dxa" w:w="60"/>
              <w:right w:type="dxa" w:w="100"/>
            </w:tcMar>
          </w:tcPr>
          <w:p>
            <w:r>
              <w:rPr>
                <w:b w:val="false"/>
                <w:bCs w:val="false"/>
                <w:color w:val="000000"/>
                <w:sz w:val="20"/>
                <w:szCs w:val="20"/>
              </w:rPr>
              <w:t xml:space="preserve">Fija, sin variación (Dr. Carlos Alberto Ortiz, Internista Cardiólogo, RM 19497274)</w:t>
            </w:r>
          </w:p>
        </w:tc>
      </w:tr>
      <w:tr>
        <w:tc>
          <w:tcPr>
            <w:tcW w:type="dxa" w:w="4500"/>
            <w:tcMar>
              <w:top w:type="dxa" w:w="60"/>
              <w:left w:type="dxa" w:w="100"/>
              <w:bottom w:type="dxa" w:w="60"/>
              <w:right w:type="dxa" w:w="100"/>
            </w:tcMar>
          </w:tcPr>
          <w:p>
            <w:r>
              <w:rPr>
                <w:b w:val="false"/>
                <w:bCs w:val="false"/>
                <w:color w:val="000000"/>
                <w:sz w:val="20"/>
                <w:szCs w:val="20"/>
              </w:rPr>
              <w:t xml:space="preserve">Destino</w:t>
            </w:r>
          </w:p>
        </w:tc>
        <w:tc>
          <w:tcPr>
            <w:tcW w:type="dxa" w:w="4500"/>
            <w:tcMar>
              <w:top w:type="dxa" w:w="60"/>
              <w:left w:type="dxa" w:w="100"/>
              <w:bottom w:type="dxa" w:w="60"/>
              <w:right w:type="dxa" w:w="100"/>
            </w:tcMar>
          </w:tcPr>
          <w:p>
            <w:r>
              <w:rPr>
                <w:b w:val="false"/>
                <w:bCs w:val="false"/>
                <w:color w:val="000000"/>
                <w:sz w:val="20"/>
                <w:szCs w:val="20"/>
              </w:rPr>
              <w:t xml:space="preserve">Se imprime y se entrega al paciente para llevar a quien solicitó el procedimiento</w:t>
            </w:r>
          </w:p>
        </w:tc>
      </w:tr>
    </w:tbl>
    <w:p>
      <w:pPr>
        <w:pStyle w:val="Heading2"/>
        <w:spacing w:after="150" w:before="300"/>
      </w:pPr>
      <w:r>
        <w:t xml:space="preserve">Plantilla base del informe (esqueleto fijo)</w:t>
      </w:r>
    </w:p>
    <w:p>
      <w:pPr>
        <w:spacing w:after="120"/>
      </w:pPr>
      <w:r>
        <w:t xml:space="preserve">Existe un esqueleto de reporte con redacción por defecto para cada sección, que representa la normalidad. El motor SIEMPRE parte de este esqueleto y solo sustituye o agrega la línea correspondiente cuando un código reporta algo distinto de lo normal. Los datos cuantitativos se presentan en lista vertical alineada (etiqueta : valor unidad), para copiar y pegar directo al sistema de la institución.</w:t>
      </w:r>
    </w:p>
    <w:p>
      <w:pPr>
        <w:shd w:fill="F2F2F2" w:val="clear"/>
        <w:spacing w:after="100"/>
        <w:ind w:left="360"/>
      </w:pPr>
      <w:r>
        <w:rPr>
          <w:rFonts w:ascii="Consolas" w:cs="Consolas" w:eastAsia="Consolas" w:hAnsi="Consolas"/>
          <w:b/>
          <w:bCs/>
          <w:color w:val="1F4E79"/>
        </w:rPr>
        <w:t xml:space="preserve">ECOCARDIOGRAMA
DATOS CUANTITATIVOS
AORTA RAIZ                       : ##  cm
AORTA APERTURA                   : ##  cm
AURICULA IZQUIERDA               : ##  cm
VENTRICULO DERECHO               : ##  cm
DIASTOLE VENTRICULO IZQUIERDO    : ##  cm
SISTOLE VENTRICULAR IZQUIERDA    : ##  cm
SEPTUM                           : ##  cm
PARED POSTERIOR                  : ##  cm
FRACCION DE EYECCION             : ##  %</w:t>
      </w:r>
    </w:p>
    <w:p>
      <w:pPr>
        <w:shd w:fill="F2F2F2" w:val="clear"/>
        <w:spacing w:after="100"/>
        <w:ind w:left="360"/>
      </w:pPr>
      <w:r>
        <w:rPr>
          <w:rFonts w:ascii="Consolas" w:cs="Consolas" w:eastAsia="Consolas" w:hAnsi="Consolas"/>
          <w:b/>
          <w:bCs/>
          <w:color w:val="1F4E79"/>
        </w:rPr>
        <w:t xml:space="preserve">HALLAZGOS CUALITATIVOS:
Cavidades:
Ventrículo izquierdo con diámetros adecuados.
Aurícula izquierda normal.
Cavidades derechas de diámetro y morfología conservada.
Tabiques: Íntegros.
Interfase pericardica: normal.
Contractilidad global conservada con FE de   xxx %
Contractilidad segmentaria normal.
Válvulas:
Aórtica trivalva con apertura conservada y cierre central.
Mitral normal excursionando adecuadamente.
Tricúspide con anatomía normal y excursión adecuada.  Pulmonar normal.
Doppler:
Llenado ventricular izquierdo normal.
No se aprecia turbulencias en planos examinados.</w:t>
      </w:r>
    </w:p>
    <w:p>
      <w:pPr>
        <w:shd w:fill="F2F2F2" w:val="clear"/>
        <w:spacing w:after="100"/>
        <w:ind w:left="360"/>
      </w:pPr>
      <w:r>
        <w:rPr>
          <w:rFonts w:ascii="Consolas" w:cs="Consolas" w:eastAsia="Consolas" w:hAnsi="Consolas"/>
          <w:b/>
          <w:bCs/>
          <w:color w:val="1F4E79"/>
        </w:rPr>
        <w:t xml:space="preserve">CONCLUSION:
1    ESTUDIO ECOCARDIOGRAFICO REALIZADO EN RITMO SINUSAL.
2    FUNCION SISTOLICA VENTRICULAR IZQUIERDA CONSERVADA.
3    BAJA PROBABILIDAD PARA HIPERTENSION PULMONAR.
4    ECOCARDIOGRAMA NORMAL.</w:t>
      </w:r>
    </w:p>
    <w:p>
      <w:pPr>
        <w:pStyle w:val="Heading2"/>
        <w:spacing w:after="150" w:before="300"/>
      </w:pPr>
      <w:r>
        <w:t xml:space="preserve">Reglas de formato de conclusiones</w:t>
      </w:r>
    </w:p>
    <w:p>
      <w:pPr>
        <w:pStyle w:val="ListParagraph"/>
        <w:numPr>
          <w:ilvl w:val="0"/>
          <w:numId w:val="1"/>
        </w:numPr>
        <w:spacing w:after="60"/>
      </w:pPr>
      <w:r>
        <w:t xml:space="preserve">Todo el bloque de CONCLUSION se escribe siempre en MAYÚSCULAS, sin excepción.</w:t>
      </w:r>
    </w:p>
    <w:p>
      <w:pPr>
        <w:pStyle w:val="ListParagraph"/>
        <w:numPr>
          <w:ilvl w:val="0"/>
          <w:numId w:val="1"/>
        </w:numPr>
        <w:spacing w:after="60"/>
      </w:pPr>
      <w:r>
        <w:t xml:space="preserve">Probabilidad de HP por defecto: si no hay NINGÚN dato de sobrecarga derecha ni gradiente de IT (Sxx) en todo el estudio, se asume por defecto "BAJA PROBABILIDAD PARA HIPERTENSION PULMONAR" — única excepción a la regla de "nunca sobreinterpretar", ya documentada y aceptada por el médico.</w:t>
      </w:r>
    </w:p>
    <w:p>
      <w:pPr>
        <w:pStyle w:val="ListParagraph"/>
        <w:numPr>
          <w:ilvl w:val="0"/>
          <w:numId w:val="1"/>
        </w:numPr>
        <w:spacing w:after="60"/>
      </w:pPr>
      <w:r>
        <w:t xml:space="preserve">"ECOCARDIOGRAMA NORMAL" se agrega como última línea de las conclusiones ÚNICAMENTE cuando el estudio completo no tiene ningún hallazgo anormal en ninguna sección. Desaparece en cuanto exista cualquier hallazgo anormal en cualquier parte del informe.</w:t>
      </w:r>
    </w:p>
    <w:p>
      <w:pPr>
        <w:pStyle w:val="Heading1"/>
        <w:spacing w:after="200" w:before="400"/>
      </w:pPr>
      <w:r>
        <w:t xml:space="preserve">Módulo 4 — Motor de Conclusiones</w:t>
      </w:r>
    </w:p>
    <w:p>
      <w:pPr>
        <w:spacing w:after="120"/>
      </w:pPr>
      <w:r>
        <w:t xml:space="preserve">Este módulo no genera frases sueltas: genera razonamiento clínico. Aplica reglas de prioridad para evitar frases repetidas o redundantes, y ordena las conclusiones por relevancia clínica y fisiopatológica, no por orden de captura de datos.</w:t>
      </w:r>
    </w:p>
    <w:p>
      <w:pPr>
        <w:pStyle w:val="Heading2"/>
        <w:spacing w:after="150" w:before="300"/>
      </w:pPr>
      <w:r>
        <w:t xml:space="preserve">Orden de prioridad general en conclusiones</w:t>
      </w:r>
    </w:p>
    <w:p>
      <w:pPr>
        <w:pStyle w:val="ListParagraph"/>
        <w:numPr>
          <w:ilvl w:val="0"/>
          <w:numId w:val="1"/>
        </w:numPr>
        <w:spacing w:after="60"/>
      </w:pPr>
      <w:r>
        <w:t xml:space="preserve">1. Masas intracardíacas (trombo → vegetación → tumores/mixoma/fibroelastoma → contraste espontáneo → catéteres/electrodos/dispositivos)</w:t>
      </w:r>
    </w:p>
    <w:p>
      <w:pPr>
        <w:pStyle w:val="ListParagraph"/>
        <w:numPr>
          <w:ilvl w:val="0"/>
          <w:numId w:val="1"/>
        </w:numPr>
        <w:spacing w:after="60"/>
      </w:pPr>
      <w:r>
        <w:t xml:space="preserve">2. Función ventricular (sistólica y segmentaria)</w:t>
      </w:r>
    </w:p>
    <w:p>
      <w:pPr>
        <w:pStyle w:val="ListParagraph"/>
        <w:numPr>
          <w:ilvl w:val="0"/>
          <w:numId w:val="1"/>
        </w:numPr>
        <w:spacing w:after="60"/>
      </w:pPr>
      <w:r>
        <w:t xml:space="preserve">3. Cavidades (izquierdas y derechas)</w:t>
      </w:r>
    </w:p>
    <w:p>
      <w:pPr>
        <w:pStyle w:val="ListParagraph"/>
        <w:numPr>
          <w:ilvl w:val="0"/>
          <w:numId w:val="1"/>
        </w:numPr>
        <w:spacing w:after="60"/>
      </w:pPr>
      <w:r>
        <w:t xml:space="preserve">4. Válvulas</w:t>
      </w:r>
    </w:p>
    <w:p>
      <w:pPr>
        <w:pStyle w:val="ListParagraph"/>
        <w:numPr>
          <w:ilvl w:val="0"/>
          <w:numId w:val="1"/>
        </w:numPr>
        <w:spacing w:after="60"/>
      </w:pPr>
      <w:r>
        <w:t xml:space="preserve">5. Hipertensión pulmonar</w:t>
      </w:r>
    </w:p>
    <w:p>
      <w:pPr>
        <w:pStyle w:val="ListParagraph"/>
        <w:numPr>
          <w:ilvl w:val="0"/>
          <w:numId w:val="1"/>
        </w:numPr>
        <w:spacing w:after="60"/>
      </w:pPr>
      <w:r>
        <w:t xml:space="preserve">6. Pericardio</w:t>
      </w:r>
    </w:p>
    <w:p>
      <w:pPr>
        <w:pStyle w:val="Heading2"/>
        <w:spacing w:after="150" w:before="300"/>
      </w:pPr>
      <w:r>
        <w:t xml:space="preserve">Filosofía del informe: de lo morfológico a lo fisiopatológico</w:t>
      </w:r>
    </w:p>
    <w:p>
      <w:pPr>
        <w:spacing w:after="120"/>
      </w:pPr>
      <w:r>
        <w:t xml:space="preserve">El informe no debe ser únicamente descriptivo. Toda conclusión debe integrar estructura, función, repercusión hemodinámica y correlación clínica. La interpretación fisiopatológica tiene prioridad sobre la simple descripción anatómica, siguiendo el espíritu de las guías ASE 2025 de estandarización del reporte.</w:t>
      </w:r>
    </w:p>
    <w:p>
      <w:pPr>
        <w:pStyle w:val="Heading1"/>
        <w:spacing w:after="200" w:before="400"/>
      </w:pPr>
      <w:r>
        <w:t xml:space="preserve">Módulo 5 — Validaciones</w:t>
      </w:r>
    </w:p>
    <w:p>
      <w:pPr>
        <w:spacing w:after="120"/>
      </w:pPr>
      <w:r>
        <w:t xml:space="preserve">Módulo dedicado a detectar inconsistencias internas antes de emitir el informe final. Genera alertas, no conclusiones.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c>
          <w:tcPr>
            <w:tcW w:type="dxa" w:w="3200"/>
            <w:shd w:fill="1F4E79" w:val="clear"/>
            <w:tcMar>
              <w:top w:type="dxa" w:w="60"/>
              <w:left w:type="dxa" w:w="100"/>
              <w:bottom w:type="dxa" w:w="60"/>
              <w:right w:type="dxa" w:w="100"/>
            </w:tcMar>
          </w:tcPr>
          <w:p>
            <w:r>
              <w:rPr>
                <w:b/>
                <w:bCs/>
                <w:color w:val="FFFFFF"/>
                <w:sz w:val="20"/>
                <w:szCs w:val="20"/>
              </w:rPr>
              <w:t xml:space="preserve">Tipo de inconsistencia</w:t>
            </w:r>
          </w:p>
        </w:tc>
        <w:tc>
          <w:tcPr>
            <w:tcW w:type="dxa" w:w="3800"/>
            <w:shd w:fill="1F4E79" w:val="clear"/>
            <w:tcMar>
              <w:top w:type="dxa" w:w="60"/>
              <w:left w:type="dxa" w:w="100"/>
              <w:bottom w:type="dxa" w:w="60"/>
              <w:right w:type="dxa" w:w="100"/>
            </w:tcMar>
          </w:tcPr>
          <w:p>
            <w:r>
              <w:rPr>
                <w:b/>
                <w:bCs/>
                <w:color w:val="FFFFFF"/>
                <w:sz w:val="20"/>
                <w:szCs w:val="20"/>
              </w:rPr>
              <w:t xml:space="preserve">Ejemplo</w:t>
            </w:r>
          </w:p>
        </w:tc>
        <w:tc>
          <w:tcPr>
            <w:tcW w:type="dxa" w:w="2000"/>
            <w:shd w:fill="1F4E79" w:val="clear"/>
            <w:tcMar>
              <w:top w:type="dxa" w:w="60"/>
              <w:left w:type="dxa" w:w="100"/>
              <w:bottom w:type="dxa" w:w="60"/>
              <w:right w:type="dxa" w:w="100"/>
            </w:tcMar>
          </w:tcPr>
          <w:p>
            <w:r>
              <w:rPr>
                <w:b/>
                <w:bCs/>
                <w:color w:val="FFFFFF"/>
                <w:sz w:val="20"/>
                <w:szCs w:val="20"/>
              </w:rPr>
              <w:t xml:space="preserve">Acción</w:t>
            </w:r>
          </w:p>
        </w:tc>
      </w:tr>
      <w:tr>
        <w:tc>
          <w:tcPr>
            <w:tcW w:type="dxa" w:w="3200"/>
            <w:tcMar>
              <w:top w:type="dxa" w:w="60"/>
              <w:left w:type="dxa" w:w="100"/>
              <w:bottom w:type="dxa" w:w="60"/>
              <w:right w:type="dxa" w:w="100"/>
            </w:tcMar>
          </w:tcPr>
          <w:p>
            <w:r>
              <w:rPr>
                <w:b w:val="false"/>
                <w:bCs w:val="false"/>
                <w:color w:val="000000"/>
                <w:sz w:val="20"/>
                <w:szCs w:val="20"/>
              </w:rPr>
              <w:t xml:space="preserve">FEVI incompatible con Simpson</w:t>
            </w:r>
          </w:p>
        </w:tc>
        <w:tc>
          <w:tcPr>
            <w:tcW w:type="dxa" w:w="3800"/>
            <w:tcMar>
              <w:top w:type="dxa" w:w="60"/>
              <w:left w:type="dxa" w:w="100"/>
              <w:bottom w:type="dxa" w:w="60"/>
              <w:right w:type="dxa" w:w="100"/>
            </w:tcMar>
          </w:tcPr>
          <w:p>
            <w:r>
              <w:rPr>
                <w:b w:val="false"/>
                <w:bCs w:val="false"/>
                <w:color w:val="000000"/>
                <w:sz w:val="20"/>
                <w:szCs w:val="20"/>
              </w:rPr>
              <w:t xml:space="preserve">FE 70% con VI muy dilatado</w:t>
            </w:r>
          </w:p>
        </w:tc>
        <w:tc>
          <w:tcPr>
            <w:tcW w:type="dxa" w:w="2000"/>
            <w:tcMar>
              <w:top w:type="dxa" w:w="60"/>
              <w:left w:type="dxa" w:w="100"/>
              <w:bottom w:type="dxa" w:w="60"/>
              <w:right w:type="dxa" w:w="100"/>
            </w:tcMar>
          </w:tcPr>
          <w:p>
            <w:r>
              <w:rPr>
                <w:b w:val="false"/>
                <w:bCs w:val="false"/>
                <w:color w:val="000000"/>
                <w:sz w:val="20"/>
                <w:szCs w:val="20"/>
              </w:rPr>
              <w:t xml:space="preserve">Revisar.</w:t>
            </w:r>
          </w:p>
        </w:tc>
      </w:tr>
      <w:tr>
        <w:tc>
          <w:tcPr>
            <w:tcW w:type="dxa" w:w="3200"/>
            <w:tcMar>
              <w:top w:type="dxa" w:w="60"/>
              <w:left w:type="dxa" w:w="100"/>
              <w:bottom w:type="dxa" w:w="60"/>
              <w:right w:type="dxa" w:w="100"/>
            </w:tcMar>
          </w:tcPr>
          <w:p>
            <w:r>
              <w:rPr>
                <w:b w:val="false"/>
                <w:bCs w:val="false"/>
                <w:color w:val="000000"/>
                <w:sz w:val="20"/>
                <w:szCs w:val="20"/>
              </w:rPr>
              <w:t xml:space="preserve">PSAP imposible / incoherente</w:t>
            </w:r>
          </w:p>
        </w:tc>
        <w:tc>
          <w:tcPr>
            <w:tcW w:type="dxa" w:w="3800"/>
            <w:tcMar>
              <w:top w:type="dxa" w:w="60"/>
              <w:left w:type="dxa" w:w="100"/>
              <w:bottom w:type="dxa" w:w="60"/>
              <w:right w:type="dxa" w:w="100"/>
            </w:tcMar>
          </w:tcPr>
          <w:p>
            <w:r>
              <w:rPr>
                <w:b w:val="false"/>
                <w:bCs w:val="false"/>
                <w:color w:val="000000"/>
                <w:sz w:val="20"/>
                <w:szCs w:val="20"/>
              </w:rPr>
              <w:t xml:space="preserve">PSAP 18 con IT severa</w:t>
            </w:r>
          </w:p>
        </w:tc>
        <w:tc>
          <w:tcPr>
            <w:tcW w:type="dxa" w:w="2000"/>
            <w:tcMar>
              <w:top w:type="dxa" w:w="60"/>
              <w:left w:type="dxa" w:w="100"/>
              <w:bottom w:type="dxa" w:w="60"/>
              <w:right w:type="dxa" w:w="100"/>
            </w:tcMar>
          </w:tcPr>
          <w:p>
            <w:r>
              <w:rPr>
                <w:b w:val="false"/>
                <w:bCs w:val="false"/>
                <w:color w:val="000000"/>
                <w:sz w:val="20"/>
                <w:szCs w:val="20"/>
              </w:rPr>
              <w:t xml:space="preserve">Verificar mediciones.</w:t>
            </w:r>
          </w:p>
        </w:tc>
      </w:tr>
      <w:tr>
        <w:tc>
          <w:tcPr>
            <w:tcW w:type="dxa" w:w="3200"/>
            <w:tcMar>
              <w:top w:type="dxa" w:w="60"/>
              <w:left w:type="dxa" w:w="100"/>
              <w:bottom w:type="dxa" w:w="60"/>
              <w:right w:type="dxa" w:w="100"/>
            </w:tcMar>
          </w:tcPr>
          <w:p>
            <w:r>
              <w:rPr>
                <w:b w:val="false"/>
                <w:bCs w:val="false"/>
                <w:color w:val="000000"/>
                <w:sz w:val="20"/>
                <w:szCs w:val="20"/>
              </w:rPr>
              <w:t xml:space="preserve">Gradientes incompatibles</w:t>
            </w:r>
          </w:p>
        </w:tc>
        <w:tc>
          <w:tcPr>
            <w:tcW w:type="dxa" w:w="3800"/>
            <w:tcMar>
              <w:top w:type="dxa" w:w="60"/>
              <w:left w:type="dxa" w:w="100"/>
              <w:bottom w:type="dxa" w:w="60"/>
              <w:right w:type="dxa" w:w="100"/>
            </w:tcMar>
          </w:tcPr>
          <w:p>
            <w:r>
              <w:rPr>
                <w:b w:val="false"/>
                <w:bCs w:val="false"/>
                <w:color w:val="000000"/>
                <w:sz w:val="20"/>
                <w:szCs w:val="20"/>
              </w:rPr>
              <w:t xml:space="preserve">IA severa con VC 0.2</w:t>
            </w:r>
          </w:p>
        </w:tc>
        <w:tc>
          <w:tcPr>
            <w:tcW w:type="dxa" w:w="2000"/>
            <w:tcMar>
              <w:top w:type="dxa" w:w="60"/>
              <w:left w:type="dxa" w:w="100"/>
              <w:bottom w:type="dxa" w:w="60"/>
              <w:right w:type="dxa" w:w="100"/>
            </w:tcMar>
          </w:tcPr>
          <w:p>
            <w:r>
              <w:rPr>
                <w:b w:val="false"/>
                <w:bCs w:val="false"/>
                <w:color w:val="000000"/>
                <w:sz w:val="20"/>
                <w:szCs w:val="20"/>
              </w:rPr>
              <w:t xml:space="preserve">Inconsistencia — alertar.</w:t>
            </w:r>
          </w:p>
        </w:tc>
      </w:tr>
      <w:tr>
        <w:tc>
          <w:tcPr>
            <w:tcW w:type="dxa" w:w="3200"/>
            <w:tcMar>
              <w:top w:type="dxa" w:w="60"/>
              <w:left w:type="dxa" w:w="100"/>
              <w:bottom w:type="dxa" w:w="60"/>
              <w:right w:type="dxa" w:w="100"/>
            </w:tcMar>
          </w:tcPr>
          <w:p>
            <w:r>
              <w:rPr>
                <w:b w:val="false"/>
                <w:bCs w:val="false"/>
                <w:color w:val="000000"/>
                <w:sz w:val="20"/>
                <w:szCs w:val="20"/>
              </w:rPr>
              <w:t xml:space="preserve">Diámetros fuera de rango</w:t>
            </w:r>
          </w:p>
        </w:tc>
        <w:tc>
          <w:tcPr>
            <w:tcW w:type="dxa" w:w="3800"/>
            <w:tcMar>
              <w:top w:type="dxa" w:w="60"/>
              <w:left w:type="dxa" w:w="100"/>
              <w:bottom w:type="dxa" w:w="60"/>
              <w:right w:type="dxa" w:w="100"/>
            </w:tcMar>
          </w:tcPr>
          <w:p>
            <w:r>
              <w:rPr>
                <w:b w:val="false"/>
                <w:bCs w:val="false"/>
                <w:color w:val="000000"/>
                <w:sz w:val="20"/>
                <w:szCs w:val="20"/>
              </w:rPr>
              <w:t xml:space="preserve">Valores fuera de límites fisiológicos</w:t>
            </w:r>
          </w:p>
        </w:tc>
        <w:tc>
          <w:tcPr>
            <w:tcW w:type="dxa" w:w="2000"/>
            <w:tcMar>
              <w:top w:type="dxa" w:w="60"/>
              <w:left w:type="dxa" w:w="100"/>
              <w:bottom w:type="dxa" w:w="60"/>
              <w:right w:type="dxa" w:w="100"/>
            </w:tcMar>
          </w:tcPr>
          <w:p>
            <w:r>
              <w:rPr>
                <w:b w:val="false"/>
                <w:bCs w:val="false"/>
                <w:color w:val="000000"/>
                <w:sz w:val="20"/>
                <w:szCs w:val="20"/>
              </w:rPr>
              <w:t xml:space="preserve">Revisar dato de origen.</w:t>
            </w:r>
          </w:p>
        </w:tc>
      </w:tr>
      <w:tr>
        <w:tc>
          <w:tcPr>
            <w:tcW w:type="dxa" w:w="3200"/>
            <w:tcMar>
              <w:top w:type="dxa" w:w="60"/>
              <w:left w:type="dxa" w:w="100"/>
              <w:bottom w:type="dxa" w:w="60"/>
              <w:right w:type="dxa" w:w="100"/>
            </w:tcMar>
          </w:tcPr>
          <w:p>
            <w:r>
              <w:rPr>
                <w:b w:val="false"/>
                <w:bCs w:val="false"/>
                <w:color w:val="000000"/>
                <w:sz w:val="20"/>
                <w:szCs w:val="20"/>
              </w:rPr>
              <w:t xml:space="preserve">Combinaciones fisiológicamente improbables</w:t>
            </w:r>
          </w:p>
        </w:tc>
        <w:tc>
          <w:tcPr>
            <w:tcW w:type="dxa" w:w="3800"/>
            <w:tcMar>
              <w:top w:type="dxa" w:w="60"/>
              <w:left w:type="dxa" w:w="100"/>
              <w:bottom w:type="dxa" w:w="60"/>
              <w:right w:type="dxa" w:w="100"/>
            </w:tcMar>
          </w:tcPr>
          <w:p>
            <w:r>
              <w:rPr>
                <w:b w:val="false"/>
                <w:bCs w:val="false"/>
                <w:color w:val="000000"/>
                <w:sz w:val="20"/>
                <w:szCs w:val="20"/>
              </w:rPr>
              <w:t xml:space="preserve">Cualquier combinación no coherente entre severidad y hallazgo</w:t>
            </w:r>
          </w:p>
        </w:tc>
        <w:tc>
          <w:tcPr>
            <w:tcW w:type="dxa" w:w="2000"/>
            <w:tcMar>
              <w:top w:type="dxa" w:w="60"/>
              <w:left w:type="dxa" w:w="100"/>
              <w:bottom w:type="dxa" w:w="60"/>
              <w:right w:type="dxa" w:w="100"/>
            </w:tcMar>
          </w:tcPr>
          <w:p>
            <w:r>
              <w:rPr>
                <w:b w:val="false"/>
                <w:bCs w:val="false"/>
                <w:color w:val="000000"/>
                <w:sz w:val="20"/>
                <w:szCs w:val="20"/>
              </w:rPr>
              <w:t xml:space="preserve">Alertar antes de concluir.</w:t>
            </w:r>
          </w:p>
        </w:tc>
      </w:tr>
    </w:tbl>
    <w:p>
      <w:pPr>
        <w:pStyle w:val="Heading1"/>
        <w:spacing w:after="200" w:before="400"/>
      </w:pPr>
      <w:r>
        <w:t xml:space="preserve">Módulo 6 — Referencias Bibliográficas</w:t>
      </w:r>
    </w:p>
    <w:p>
      <w:pPr>
        <w:spacing w:after="120"/>
      </w:pPr>
      <w:r>
        <w:t xml:space="preserve">Todo algoritmo del sistema debe estar sustentado en guías reconocidas, con indicación de qué recomendación respalda cada regla.</w:t>
      </w:r>
    </w:p>
    <w:p>
      <w:pPr>
        <w:pStyle w:val="Heading2"/>
        <w:spacing w:after="150" w:before="300"/>
      </w:pPr>
      <w:r>
        <w:t xml:space="preserve">Referencia base de cuantificación</w:t>
      </w:r>
    </w:p>
    <w:p>
      <w:pPr>
        <w:spacing w:after="120"/>
      </w:pPr>
      <w:r>
        <w:t xml:space="preserve">ASE/EACVI Recommendations for Cardiac Chamber Quantification by Echocardiography in Adults (Lang et al., 2015): continúa siendo la referencia oficial para dimensiones ventriculares, volúmenes, masa ventricular, aurículas, indexaciones y valores normales.</w:t>
      </w:r>
    </w:p>
    <w:p>
      <w:pPr>
        <w:pStyle w:val="Heading2"/>
        <w:spacing w:after="150" w:before="300"/>
      </w:pPr>
      <w:r>
        <w:t xml:space="preserve">Actualizaciones ASE 2025 a incorporar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Mar>
              <w:top w:type="dxa" w:w="60"/>
              <w:left w:type="dxa" w:w="100"/>
              <w:bottom w:type="dxa" w:w="60"/>
              <w:right w:type="dxa" w:w="100"/>
            </w:tcMar>
          </w:tcPr>
          <w:p>
            <w:r>
              <w:rPr>
                <w:b/>
                <w:bCs/>
                <w:color w:val="FFFFFF"/>
                <w:sz w:val="20"/>
                <w:szCs w:val="20"/>
              </w:rPr>
              <w:t xml:space="preserve">Área</w:t>
            </w:r>
          </w:p>
        </w:tc>
        <w:tc>
          <w:tcPr>
            <w:tcW w:type="dxa" w:w="6000"/>
            <w:shd w:fill="1F4E79" w:val="clear"/>
            <w:tcMar>
              <w:top w:type="dxa" w:w="60"/>
              <w:left w:type="dxa" w:w="100"/>
              <w:bottom w:type="dxa" w:w="60"/>
              <w:right w:type="dxa" w:w="100"/>
            </w:tcMar>
          </w:tcPr>
          <w:p>
            <w:r>
              <w:rPr>
                <w:b/>
                <w:bCs/>
                <w:color w:val="FFFFFF"/>
                <w:sz w:val="20"/>
                <w:szCs w:val="20"/>
              </w:rPr>
              <w:t xml:space="preserve">Actualización</w:t>
            </w:r>
          </w:p>
        </w:tc>
      </w:tr>
      <w:tr>
        <w:tc>
          <w:tcPr>
            <w:tcW w:type="dxa" w:w="3000"/>
            <w:tcMar>
              <w:top w:type="dxa" w:w="60"/>
              <w:left w:type="dxa" w:w="100"/>
              <w:bottom w:type="dxa" w:w="60"/>
              <w:right w:type="dxa" w:w="100"/>
            </w:tcMar>
          </w:tcPr>
          <w:p>
            <w:r>
              <w:rPr>
                <w:b w:val="false"/>
                <w:bCs w:val="false"/>
                <w:color w:val="000000"/>
                <w:sz w:val="20"/>
                <w:szCs w:val="20"/>
              </w:rPr>
              <w:t xml:space="preserve">Función diastólica del VI</w:t>
            </w:r>
          </w:p>
        </w:tc>
        <w:tc>
          <w:tcPr>
            <w:tcW w:type="dxa" w:w="6000"/>
            <w:tcMar>
              <w:top w:type="dxa" w:w="60"/>
              <w:left w:type="dxa" w:w="100"/>
              <w:bottom w:type="dxa" w:w="60"/>
              <w:right w:type="dxa" w:w="100"/>
            </w:tcMar>
          </w:tcPr>
          <w:p>
            <w:r>
              <w:rPr>
                <w:b w:val="false"/>
                <w:bCs w:val="false"/>
                <w:color w:val="000000"/>
                <w:sz w:val="20"/>
                <w:szCs w:val="20"/>
              </w:rPr>
              <w:t xml:space="preserve">Priorizar integración entre función diastólica, presión de llenado y volumen auricular izquierdo; enfoque hemodinámico sobre clasificación aislada.</w:t>
            </w:r>
          </w:p>
        </w:tc>
      </w:tr>
      <w:tr>
        <w:tc>
          <w:tcPr>
            <w:tcW w:type="dxa" w:w="3000"/>
            <w:tcMar>
              <w:top w:type="dxa" w:w="60"/>
              <w:left w:type="dxa" w:w="100"/>
              <w:bottom w:type="dxa" w:w="60"/>
              <w:right w:type="dxa" w:w="100"/>
            </w:tcMar>
          </w:tcPr>
          <w:p>
            <w:r>
              <w:rPr>
                <w:b w:val="false"/>
                <w:bCs w:val="false"/>
                <w:color w:val="000000"/>
                <w:sz w:val="20"/>
                <w:szCs w:val="20"/>
              </w:rPr>
              <w:t xml:space="preserve">Corazón derecho e hipertensión pulmonar</w:t>
            </w:r>
          </w:p>
        </w:tc>
        <w:tc>
          <w:tcPr>
            <w:tcW w:type="dxa" w:w="6000"/>
            <w:tcMar>
              <w:top w:type="dxa" w:w="60"/>
              <w:left w:type="dxa" w:w="100"/>
              <w:bottom w:type="dxa" w:w="60"/>
              <w:right w:type="dxa" w:w="100"/>
            </w:tcMar>
          </w:tcPr>
          <w:p>
            <w:r>
              <w:rPr>
                <w:b w:val="false"/>
                <w:bCs w:val="false"/>
                <w:color w:val="000000"/>
                <w:sz w:val="20"/>
                <w:szCs w:val="20"/>
              </w:rPr>
              <w:t xml:space="preserve">Clasificación de severidad para dimensiones del VD; mayor peso a FAC, TAPSE, S', volumen 3D y acoplamiento VD-arteria pulmonar.</w:t>
            </w:r>
          </w:p>
        </w:tc>
      </w:tr>
      <w:tr>
        <w:tc>
          <w:tcPr>
            <w:tcW w:type="dxa" w:w="3000"/>
            <w:tcMar>
              <w:top w:type="dxa" w:w="60"/>
              <w:left w:type="dxa" w:w="100"/>
              <w:bottom w:type="dxa" w:w="60"/>
              <w:right w:type="dxa" w:w="100"/>
            </w:tcMar>
          </w:tcPr>
          <w:p>
            <w:r>
              <w:rPr>
                <w:b w:val="false"/>
                <w:bCs w:val="false"/>
                <w:color w:val="000000"/>
                <w:sz w:val="20"/>
                <w:szCs w:val="20"/>
              </w:rPr>
              <w:t xml:space="preserve">Estandarización del reporte</w:t>
            </w:r>
          </w:p>
        </w:tc>
        <w:tc>
          <w:tcPr>
            <w:tcW w:type="dxa" w:w="6000"/>
            <w:tcMar>
              <w:top w:type="dxa" w:w="60"/>
              <w:left w:type="dxa" w:w="100"/>
              <w:bottom w:type="dxa" w:w="60"/>
              <w:right w:type="dxa" w:w="100"/>
            </w:tcMar>
          </w:tcPr>
          <w:p>
            <w:r>
              <w:rPr>
                <w:b w:val="false"/>
                <w:bCs w:val="false"/>
                <w:color w:val="000000"/>
                <w:sz w:val="20"/>
                <w:szCs w:val="20"/>
              </w:rPr>
              <w:t xml:space="preserve">Organizar el informe por fisiología y relevancia clínica; favorecer conclusiones integradas sobre listados descriptivos.</w:t>
            </w:r>
          </w:p>
        </w:tc>
      </w:tr>
    </w:tbl>
    <w:p>
      <w:pPr>
        <w:pStyle w:val="Heading2"/>
        <w:spacing w:after="150" w:before="300"/>
      </w:pPr>
      <w:r>
        <w:t xml:space="preserve">Otras fuentes de respaldo</w:t>
      </w:r>
    </w:p>
    <w:p>
      <w:pPr>
        <w:pStyle w:val="ListParagraph"/>
        <w:numPr>
          <w:ilvl w:val="0"/>
          <w:numId w:val="1"/>
        </w:numPr>
        <w:spacing w:after="60"/>
      </w:pPr>
      <w:r>
        <w:t xml:space="preserve">EACVI</w:t>
      </w:r>
    </w:p>
    <w:p>
      <w:pPr>
        <w:pStyle w:val="ListParagraph"/>
        <w:numPr>
          <w:ilvl w:val="0"/>
          <w:numId w:val="1"/>
        </w:numPr>
        <w:spacing w:after="60"/>
      </w:pPr>
      <w:r>
        <w:t xml:space="preserve">AHA/ACC</w:t>
      </w:r>
    </w:p>
    <w:p>
      <w:pPr>
        <w:pStyle w:val="ListParagraph"/>
        <w:numPr>
          <w:ilvl w:val="0"/>
          <w:numId w:val="1"/>
        </w:numPr>
        <w:spacing w:after="60"/>
      </w:pPr>
      <w:r>
        <w:t xml:space="preserve">ESC</w:t>
      </w:r>
    </w:p>
    <w:p>
      <w:pPr>
        <w:pStyle w:val="Heading1"/>
        <w:spacing w:after="200" w:before="400"/>
      </w:pPr>
      <w:r>
        <w:t xml:space="preserve">Módulo 7 — Arquitectura y Desarrollo de Software</w:t>
      </w:r>
    </w:p>
    <w:p>
      <w:pPr>
        <w:spacing w:after="120"/>
      </w:pPr>
      <w:r>
        <w:t xml:space="preserve">El conocimiento clínico (módulos 0–6) debe construirse antes que la aplicación. La secuencia de desarrollo recomendada es:</w:t>
      </w:r>
    </w:p>
    <w:p>
      <w:pPr>
        <w:shd w:fill="F2F2F2" w:val="clear"/>
        <w:spacing w:after="100"/>
        <w:ind w:left="360"/>
      </w:pPr>
      <w:r>
        <w:rPr>
          <w:rFonts w:ascii="Consolas" w:cs="Consolas" w:eastAsia="Consolas" w:hAnsi="Consolas"/>
          <w:b/>
          <w:bCs/>
          <w:color w:val="1F4E79"/>
        </w:rPr>
        <w:t xml:space="preserve">ChatGPT / prototipo de reglas  →  Archivo/tabla maestra (Excel-CSV-JSON)  →  Motor de reglas  →  Aplicación web privada  →  Apps nativas / integraciones</w:t>
      </w:r>
    </w:p>
    <w:p>
      <w:pPr>
        <w:pStyle w:val="Heading2"/>
        <w:spacing w:after="150" w:before="300"/>
      </w:pPr>
      <w:r>
        <w:t xml:space="preserve">Fase 1 — Prototipo de reglas</w:t>
      </w:r>
    </w:p>
    <w:p>
      <w:pPr>
        <w:spacing w:after="120"/>
      </w:pPr>
      <w:r>
        <w:t xml:space="preserve">Construcción y depuración del diccionario de códigos, severidades, frases narrativas, reglas de conclusión, jerarquía de hallazgos y excepciones clínicas. Esta fase ya está mayormente completa (módulos 0–6 de este documento).</w:t>
      </w:r>
    </w:p>
    <w:p>
      <w:pPr>
        <w:pStyle w:val="Heading2"/>
        <w:spacing w:after="150" w:before="300"/>
      </w:pPr>
      <w:r>
        <w:t xml:space="preserve">Fase 2 — Archivo maestro</w:t>
      </w:r>
    </w:p>
    <w:p>
      <w:pPr>
        <w:spacing w:after="120"/>
      </w:pPr>
      <w:r>
        <w:t xml:space="preserve">Base única en formato Excel/CSV/JSON, verdadero "cerebro" del sistema, independiente de la memoria informal del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1F4E79" w:val="clear"/>
            <w:tcMar>
              <w:top w:type="dxa" w:w="60"/>
              <w:left w:type="dxa" w:w="100"/>
              <w:bottom w:type="dxa" w:w="60"/>
              <w:right w:type="dxa" w:w="100"/>
            </w:tcMar>
          </w:tcPr>
          <w:p>
            <w:r>
              <w:rPr>
                <w:b/>
                <w:bCs/>
                <w:color w:val="FFFFFF"/>
                <w:sz w:val="20"/>
                <w:szCs w:val="20"/>
              </w:rPr>
              <w:t xml:space="preserve">Código</w:t>
            </w:r>
          </w:p>
        </w:tc>
        <w:tc>
          <w:tcPr>
            <w:tcW w:type="dxa" w:w="1500"/>
            <w:shd w:fill="1F4E79" w:val="clear"/>
            <w:tcMar>
              <w:top w:type="dxa" w:w="60"/>
              <w:left w:type="dxa" w:w="100"/>
              <w:bottom w:type="dxa" w:w="60"/>
              <w:right w:type="dxa" w:w="100"/>
            </w:tcMar>
          </w:tcPr>
          <w:p>
            <w:r>
              <w:rPr>
                <w:b/>
                <w:bCs/>
                <w:color w:val="FFFFFF"/>
                <w:sz w:val="20"/>
                <w:szCs w:val="20"/>
              </w:rPr>
              <w:t xml:space="preserve">Descripción</w:t>
            </w:r>
          </w:p>
        </w:tc>
        <w:tc>
          <w:tcPr>
            <w:tcW w:type="dxa" w:w="1500"/>
            <w:shd w:fill="1F4E79" w:val="clear"/>
            <w:tcMar>
              <w:top w:type="dxa" w:w="60"/>
              <w:left w:type="dxa" w:w="100"/>
              <w:bottom w:type="dxa" w:w="60"/>
              <w:right w:type="dxa" w:w="100"/>
            </w:tcMar>
          </w:tcPr>
          <w:p>
            <w:r>
              <w:rPr>
                <w:b/>
                <w:bCs/>
                <w:color w:val="FFFFFF"/>
                <w:sz w:val="20"/>
                <w:szCs w:val="20"/>
              </w:rPr>
              <w:t xml:space="preserve">Frase</w:t>
            </w:r>
          </w:p>
        </w:tc>
        <w:tc>
          <w:tcPr>
            <w:tcW w:type="dxa" w:w="1500"/>
            <w:shd w:fill="1F4E79" w:val="clear"/>
            <w:tcMar>
              <w:top w:type="dxa" w:w="60"/>
              <w:left w:type="dxa" w:w="100"/>
              <w:bottom w:type="dxa" w:w="60"/>
              <w:right w:type="dxa" w:w="100"/>
            </w:tcMar>
          </w:tcPr>
          <w:p>
            <w:r>
              <w:rPr>
                <w:b/>
                <w:bCs/>
                <w:color w:val="FFFFFF"/>
                <w:sz w:val="20"/>
                <w:szCs w:val="20"/>
              </w:rPr>
              <w:t xml:space="preserve">Severidad</w:t>
            </w:r>
          </w:p>
        </w:tc>
        <w:tc>
          <w:tcPr>
            <w:tcW w:type="dxa" w:w="1500"/>
            <w:shd w:fill="1F4E79" w:val="clear"/>
            <w:tcMar>
              <w:top w:type="dxa" w:w="60"/>
              <w:left w:type="dxa" w:w="100"/>
              <w:bottom w:type="dxa" w:w="60"/>
              <w:right w:type="dxa" w:w="100"/>
            </w:tcMar>
          </w:tcPr>
          <w:p>
            <w:r>
              <w:rPr>
                <w:b/>
                <w:bCs/>
                <w:color w:val="FFFFFF"/>
                <w:sz w:val="20"/>
                <w:szCs w:val="20"/>
              </w:rPr>
              <w:t xml:space="preserve">Regla de conclusión</w:t>
            </w:r>
          </w:p>
        </w:tc>
        <w:tc>
          <w:tcPr>
            <w:tcW w:type="dxa" w:w="1500"/>
            <w:shd w:fill="1F4E79" w:val="clear"/>
            <w:tcMar>
              <w:top w:type="dxa" w:w="60"/>
              <w:left w:type="dxa" w:w="100"/>
              <w:bottom w:type="dxa" w:w="60"/>
              <w:right w:type="dxa" w:w="100"/>
            </w:tcMar>
          </w:tcPr>
          <w:p>
            <w:r>
              <w:rPr>
                <w:b/>
                <w:bCs/>
                <w:color w:val="FFFFFF"/>
                <w:sz w:val="20"/>
                <w:szCs w:val="20"/>
              </w:rPr>
              <w:t xml:space="preserve">Fuente</w:t>
            </w:r>
          </w:p>
        </w:tc>
      </w:tr>
      <w:tr>
        <w:tc>
          <w:tcPr>
            <w:tcW w:type="dxa" w:w="1500"/>
            <w:tcMar>
              <w:top w:type="dxa" w:w="60"/>
              <w:left w:type="dxa" w:w="100"/>
              <w:bottom w:type="dxa" w:w="60"/>
              <w:right w:type="dxa" w:w="100"/>
            </w:tcMar>
          </w:tcPr>
          <w:p>
            <w:r>
              <w:rPr>
                <w:b w:val="false"/>
                <w:bCs w:val="false"/>
                <w:color w:val="000000"/>
                <w:sz w:val="20"/>
                <w:szCs w:val="20"/>
              </w:rPr>
              <w:t xml:space="preserve">…</w:t>
            </w:r>
          </w:p>
        </w:tc>
        <w:tc>
          <w:tcPr>
            <w:tcW w:type="dxa" w:w="1500"/>
            <w:tcMar>
              <w:top w:type="dxa" w:w="60"/>
              <w:left w:type="dxa" w:w="100"/>
              <w:bottom w:type="dxa" w:w="60"/>
              <w:right w:type="dxa" w:w="100"/>
            </w:tcMar>
          </w:tcPr>
          <w:p>
            <w:r>
              <w:rPr>
                <w:b w:val="false"/>
                <w:bCs w:val="false"/>
                <w:color w:val="000000"/>
                <w:sz w:val="20"/>
                <w:szCs w:val="20"/>
              </w:rPr>
              <w:t xml:space="preserve">…</w:t>
            </w:r>
          </w:p>
        </w:tc>
        <w:tc>
          <w:tcPr>
            <w:tcW w:type="dxa" w:w="1500"/>
            <w:tcMar>
              <w:top w:type="dxa" w:w="60"/>
              <w:left w:type="dxa" w:w="100"/>
              <w:bottom w:type="dxa" w:w="60"/>
              <w:right w:type="dxa" w:w="100"/>
            </w:tcMar>
          </w:tcPr>
          <w:p>
            <w:r>
              <w:rPr>
                <w:b w:val="false"/>
                <w:bCs w:val="false"/>
                <w:color w:val="000000"/>
                <w:sz w:val="20"/>
                <w:szCs w:val="20"/>
              </w:rPr>
              <w:t xml:space="preserve">…</w:t>
            </w:r>
          </w:p>
        </w:tc>
        <w:tc>
          <w:tcPr>
            <w:tcW w:type="dxa" w:w="1500"/>
            <w:tcMar>
              <w:top w:type="dxa" w:w="60"/>
              <w:left w:type="dxa" w:w="100"/>
              <w:bottom w:type="dxa" w:w="60"/>
              <w:right w:type="dxa" w:w="100"/>
            </w:tcMar>
          </w:tcPr>
          <w:p>
            <w:r>
              <w:rPr>
                <w:b w:val="false"/>
                <w:bCs w:val="false"/>
                <w:color w:val="000000"/>
                <w:sz w:val="20"/>
                <w:szCs w:val="20"/>
              </w:rPr>
              <w:t xml:space="preserve">…</w:t>
            </w:r>
          </w:p>
        </w:tc>
        <w:tc>
          <w:tcPr>
            <w:tcW w:type="dxa" w:w="1500"/>
            <w:tcMar>
              <w:top w:type="dxa" w:w="60"/>
              <w:left w:type="dxa" w:w="100"/>
              <w:bottom w:type="dxa" w:w="60"/>
              <w:right w:type="dxa" w:w="100"/>
            </w:tcMar>
          </w:tcPr>
          <w:p>
            <w:r>
              <w:rPr>
                <w:b w:val="false"/>
                <w:bCs w:val="false"/>
                <w:color w:val="000000"/>
                <w:sz w:val="20"/>
                <w:szCs w:val="20"/>
              </w:rPr>
              <w:t xml:space="preserve">…</w:t>
            </w:r>
          </w:p>
        </w:tc>
        <w:tc>
          <w:tcPr>
            <w:tcW w:type="dxa" w:w="1500"/>
            <w:tcMar>
              <w:top w:type="dxa" w:w="60"/>
              <w:left w:type="dxa" w:w="100"/>
              <w:bottom w:type="dxa" w:w="60"/>
              <w:right w:type="dxa" w:w="100"/>
            </w:tcMar>
          </w:tcPr>
          <w:p>
            <w:r>
              <w:rPr>
                <w:b w:val="false"/>
                <w:bCs w:val="false"/>
                <w:color w:val="000000"/>
                <w:sz w:val="20"/>
                <w:szCs w:val="20"/>
              </w:rPr>
              <w:t xml:space="preserve">…</w:t>
            </w:r>
          </w:p>
        </w:tc>
      </w:tr>
    </w:tbl>
    <w:p>
      <w:pPr>
        <w:pStyle w:val="Heading2"/>
        <w:spacing w:after="150" w:before="300"/>
      </w:pPr>
      <w:r>
        <w:t xml:space="preserve">Fase 3 — Motor ORTIZNOR</w:t>
      </w:r>
    </w:p>
    <w:p>
      <w:pPr>
        <w:spacing w:after="120"/>
      </w:pPr>
      <w:r>
        <w:t xml:space="preserve">Utiliza el archivo maestro para producir automáticamente descripción, interpretación y conclusiones, con reglas cerradas y trazables (no una IA improvisando en cada ejecución).</w:t>
      </w:r>
    </w:p>
    <w:p>
      <w:pPr>
        <w:pStyle w:val="Heading2"/>
        <w:spacing w:after="150" w:before="300"/>
      </w:pPr>
      <w:r>
        <w:t xml:space="preserve">Fase 4 — Aplicación</w:t>
      </w:r>
    </w:p>
    <w:p>
      <w:pPr>
        <w:spacing w:after="120"/>
      </w:pPr>
      <w:r>
        <w:t xml:space="preserve">Se evaluaron cuatro posibilidades de despliegue: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79" w:val="clear"/>
            <w:tcMar>
              <w:top w:type="dxa" w:w="60"/>
              <w:left w:type="dxa" w:w="100"/>
              <w:bottom w:type="dxa" w:w="60"/>
              <w:right w:type="dxa" w:w="100"/>
            </w:tcMar>
          </w:tcPr>
          <w:p>
            <w:r>
              <w:rPr>
                <w:b/>
                <w:bCs/>
                <w:color w:val="FFFFFF"/>
                <w:sz w:val="20"/>
                <w:szCs w:val="20"/>
              </w:rPr>
              <w:t xml:space="preserve">Opción</w:t>
            </w:r>
          </w:p>
        </w:tc>
        <w:tc>
          <w:tcPr>
            <w:tcW w:type="dxa" w:w="5400"/>
            <w:shd w:fill="1F4E79" w:val="clear"/>
            <w:tcMar>
              <w:top w:type="dxa" w:w="60"/>
              <w:left w:type="dxa" w:w="100"/>
              <w:bottom w:type="dxa" w:w="60"/>
              <w:right w:type="dxa" w:w="100"/>
            </w:tcMar>
          </w:tcPr>
          <w:p>
            <w:r>
              <w:rPr>
                <w:b/>
                <w:bCs/>
                <w:color w:val="FFFFFF"/>
                <w:sz w:val="20"/>
                <w:szCs w:val="20"/>
              </w:rPr>
              <w:t xml:space="preserve">Ventaja principal</w:t>
            </w:r>
          </w:p>
        </w:tc>
      </w:tr>
      <w:tr>
        <w:tc>
          <w:tcPr>
            <w:tcW w:type="dxa" w:w="3600"/>
            <w:tcMar>
              <w:top w:type="dxa" w:w="60"/>
              <w:left w:type="dxa" w:w="100"/>
              <w:bottom w:type="dxa" w:w="60"/>
              <w:right w:type="dxa" w:w="100"/>
            </w:tcMar>
          </w:tcPr>
          <w:p>
            <w:r>
              <w:rPr>
                <w:b w:val="false"/>
                <w:bCs w:val="false"/>
                <w:color w:val="000000"/>
                <w:sz w:val="20"/>
                <w:szCs w:val="20"/>
              </w:rPr>
              <w:t xml:space="preserve">Aplicación local (Windows/macOS)</w:t>
            </w:r>
          </w:p>
        </w:tc>
        <w:tc>
          <w:tcPr>
            <w:tcW w:type="dxa" w:w="5400"/>
            <w:tcMar>
              <w:top w:type="dxa" w:w="60"/>
              <w:left w:type="dxa" w:w="100"/>
              <w:bottom w:type="dxa" w:w="60"/>
              <w:right w:type="dxa" w:w="100"/>
            </w:tcMar>
          </w:tcPr>
          <w:p>
            <w:r>
              <w:rPr>
                <w:b w:val="false"/>
                <w:bCs w:val="false"/>
                <w:color w:val="000000"/>
                <w:sz w:val="20"/>
                <w:szCs w:val="20"/>
              </w:rPr>
              <w:t xml:space="preserve">Funciona sin internet; ideal para consultorio.</w:t>
            </w:r>
          </w:p>
        </w:tc>
      </w:tr>
      <w:tr>
        <w:tc>
          <w:tcPr>
            <w:tcW w:type="dxa" w:w="3600"/>
            <w:tcMar>
              <w:top w:type="dxa" w:w="60"/>
              <w:left w:type="dxa" w:w="100"/>
              <w:bottom w:type="dxa" w:w="60"/>
              <w:right w:type="dxa" w:w="100"/>
            </w:tcMar>
          </w:tcPr>
          <w:p>
            <w:r>
              <w:rPr>
                <w:b w:val="false"/>
                <w:bCs w:val="false"/>
                <w:color w:val="000000"/>
                <w:sz w:val="20"/>
                <w:szCs w:val="20"/>
              </w:rPr>
              <w:t xml:space="preserve">Aplicación web</w:t>
            </w:r>
          </w:p>
        </w:tc>
        <w:tc>
          <w:tcPr>
            <w:tcW w:type="dxa" w:w="5400"/>
            <w:tcMar>
              <w:top w:type="dxa" w:w="60"/>
              <w:left w:type="dxa" w:w="100"/>
              <w:bottom w:type="dxa" w:w="60"/>
              <w:right w:type="dxa" w:w="100"/>
            </w:tcMar>
          </w:tcPr>
          <w:p>
            <w:r>
              <w:rPr>
                <w:b w:val="false"/>
                <w:bCs w:val="false"/>
                <w:color w:val="000000"/>
                <w:sz w:val="20"/>
                <w:szCs w:val="20"/>
              </w:rPr>
              <w:t xml:space="preserve">Acceso desde cualquier equipo, con actualizaciones centralizadas.</w:t>
            </w:r>
          </w:p>
        </w:tc>
      </w:tr>
      <w:tr>
        <w:tc>
          <w:tcPr>
            <w:tcW w:type="dxa" w:w="3600"/>
            <w:tcMar>
              <w:top w:type="dxa" w:w="60"/>
              <w:left w:type="dxa" w:w="100"/>
              <w:bottom w:type="dxa" w:w="60"/>
              <w:right w:type="dxa" w:w="100"/>
            </w:tcMar>
          </w:tcPr>
          <w:p>
            <w:r>
              <w:rPr>
                <w:b w:val="false"/>
                <w:bCs w:val="false"/>
                <w:color w:val="000000"/>
                <w:sz w:val="20"/>
                <w:szCs w:val="20"/>
              </w:rPr>
              <w:t xml:space="preserve">Aplicación móvil (iPad/Android)</w:t>
            </w:r>
          </w:p>
        </w:tc>
        <w:tc>
          <w:tcPr>
            <w:tcW w:type="dxa" w:w="5400"/>
            <w:tcMar>
              <w:top w:type="dxa" w:w="60"/>
              <w:left w:type="dxa" w:w="100"/>
              <w:bottom w:type="dxa" w:w="60"/>
              <w:right w:type="dxa" w:w="100"/>
            </w:tcMar>
          </w:tcPr>
          <w:p>
            <w:r>
              <w:rPr>
                <w:b w:val="false"/>
                <w:bCs w:val="false"/>
                <w:color w:val="000000"/>
                <w:sz w:val="20"/>
                <w:szCs w:val="20"/>
              </w:rPr>
              <w:t xml:space="preserve">Captura de datos durante el estudio.</w:t>
            </w:r>
          </w:p>
        </w:tc>
      </w:tr>
      <w:tr>
        <w:tc>
          <w:tcPr>
            <w:tcW w:type="dxa" w:w="3600"/>
            <w:tcMar>
              <w:top w:type="dxa" w:w="60"/>
              <w:left w:type="dxa" w:w="100"/>
              <w:bottom w:type="dxa" w:w="60"/>
              <w:right w:type="dxa" w:w="100"/>
            </w:tcMar>
          </w:tcPr>
          <w:p>
            <w:r>
              <w:rPr>
                <w:b w:val="false"/>
                <w:bCs w:val="false"/>
                <w:color w:val="000000"/>
                <w:sz w:val="20"/>
                <w:szCs w:val="20"/>
              </w:rPr>
              <w:t xml:space="preserve">Sistema híbrido con IA</w:t>
            </w:r>
          </w:p>
        </w:tc>
        <w:tc>
          <w:tcPr>
            <w:tcW w:type="dxa" w:w="5400"/>
            <w:tcMar>
              <w:top w:type="dxa" w:w="60"/>
              <w:left w:type="dxa" w:w="100"/>
              <w:bottom w:type="dxa" w:w="60"/>
              <w:right w:type="dxa" w:w="100"/>
            </w:tcMar>
          </w:tcPr>
          <w:p>
            <w:r>
              <w:rPr>
                <w:b w:val="false"/>
                <w:bCs w:val="false"/>
                <w:color w:val="000000"/>
                <w:sz w:val="20"/>
                <w:szCs w:val="20"/>
              </w:rPr>
              <w:t xml:space="preserve">Interpreta imágenes, valida medidas y sugiere conclusiones basadas en guías.</w:t>
            </w:r>
          </w:p>
        </w:tc>
      </w:tr>
    </w:tbl>
    <w:p>
      <w:pPr>
        <w:spacing w:after="120"/>
      </w:pPr>
      <w:r>
        <w:t xml:space="preserve">Recomendación adoptada: aplicación web privada como primer despliegue real, por acceso multiplataforma (PC, tablet, celular, clínica, domicilio) sin instalación pesada, con posibilidad de evolucionar hacia apps nativas.</w:t>
      </w:r>
    </w:p>
    <w:p>
      <w:pPr>
        <w:pStyle w:val="Heading2"/>
        <w:spacing w:after="150" w:before="300"/>
      </w:pPr>
      <w:r>
        <w:t xml:space="preserve">Flujo operativo de la aplicación</w:t>
      </w:r>
    </w:p>
    <w:p>
      <w:pPr>
        <w:pStyle w:val="ListParagraph"/>
        <w:numPr>
          <w:ilvl w:val="0"/>
          <w:numId w:val="1"/>
        </w:numPr>
        <w:spacing w:after="60"/>
      </w:pPr>
      <w:r>
        <w:t xml:space="preserve">1. Ingreso mediante fotografía de la hoja manuscrita, o ingreso manual.</w:t>
      </w:r>
    </w:p>
    <w:p>
      <w:pPr>
        <w:pStyle w:val="ListParagraph"/>
        <w:numPr>
          <w:ilvl w:val="0"/>
          <w:numId w:val="1"/>
        </w:numPr>
        <w:spacing w:after="60"/>
      </w:pPr>
      <w:r>
        <w:t xml:space="preserve">2. Lectura OCR / visión por computador.</w:t>
      </w:r>
    </w:p>
    <w:p>
      <w:pPr>
        <w:pStyle w:val="ListParagraph"/>
        <w:numPr>
          <w:ilvl w:val="0"/>
          <w:numId w:val="1"/>
        </w:numPr>
        <w:spacing w:after="60"/>
      </w:pPr>
      <w:r>
        <w:t xml:space="preserve">3. Extracción de datos y códigos.</w:t>
      </w:r>
    </w:p>
    <w:p>
      <w:pPr>
        <w:pStyle w:val="ListParagraph"/>
        <w:numPr>
          <w:ilvl w:val="0"/>
          <w:numId w:val="1"/>
        </w:numPr>
        <w:spacing w:after="60"/>
      </w:pPr>
      <w:r>
        <w:t xml:space="preserve">4. Interpretación automática por el Motor ORTIZNOR.</w:t>
      </w:r>
    </w:p>
    <w:p>
      <w:pPr>
        <w:pStyle w:val="ListParagraph"/>
        <w:numPr>
          <w:ilvl w:val="0"/>
          <w:numId w:val="1"/>
        </w:numPr>
        <w:spacing w:after="60"/>
      </w:pPr>
      <w:r>
        <w:t xml:space="preserve">5. Revisión y confirmación/corrección por el cardiólogo.</w:t>
      </w:r>
    </w:p>
    <w:p>
      <w:pPr>
        <w:pStyle w:val="ListParagraph"/>
        <w:numPr>
          <w:ilvl w:val="0"/>
          <w:numId w:val="1"/>
        </w:numPr>
        <w:spacing w:after="60"/>
      </w:pPr>
      <w:r>
        <w:t xml:space="preserve">6. Generación inmediata del informe.</w:t>
      </w:r>
    </w:p>
    <w:p>
      <w:pPr>
        <w:pStyle w:val="ListParagraph"/>
        <w:numPr>
          <w:ilvl w:val="0"/>
          <w:numId w:val="1"/>
        </w:numPr>
        <w:spacing w:after="60"/>
      </w:pPr>
      <w:r>
        <w:t xml:space="preserve">7. Exportación a Word / PDF / historia clínica.</w:t>
      </w:r>
    </w:p>
    <w:p>
      <w:pPr>
        <w:pStyle w:val="Heading2"/>
        <w:spacing w:after="150" w:before="300"/>
      </w:pPr>
      <w:r>
        <w:t xml:space="preserve">Evolución futura</w:t>
      </w:r>
    </w:p>
    <w:p>
      <w:pPr>
        <w:pStyle w:val="ListParagraph"/>
        <w:numPr>
          <w:ilvl w:val="0"/>
          <w:numId w:val="1"/>
        </w:numPr>
        <w:spacing w:after="60"/>
      </w:pPr>
      <w:r>
        <w:t xml:space="preserve">Aplicación Windows / macOS</w:t>
      </w:r>
    </w:p>
    <w:p>
      <w:pPr>
        <w:pStyle w:val="ListParagraph"/>
        <w:numPr>
          <w:ilvl w:val="0"/>
          <w:numId w:val="1"/>
        </w:numPr>
        <w:spacing w:after="60"/>
      </w:pPr>
      <w:r>
        <w:t xml:space="preserve">Aplicación Android / iPad / iPhone</w:t>
      </w:r>
    </w:p>
    <w:p>
      <w:pPr>
        <w:pStyle w:val="ListParagraph"/>
        <w:numPr>
          <w:ilvl w:val="0"/>
          <w:numId w:val="1"/>
        </w:numPr>
        <w:spacing w:after="60"/>
      </w:pPr>
      <w:r>
        <w:t xml:space="preserve">Integración con historias clínicas</w:t>
      </w:r>
    </w:p>
    <w:p>
      <w:pPr>
        <w:pStyle w:val="ListParagraph"/>
        <w:numPr>
          <w:ilvl w:val="0"/>
          <w:numId w:val="1"/>
        </w:numPr>
        <w:spacing w:after="60"/>
      </w:pPr>
      <w:r>
        <w:t xml:space="preserve">Integración con PACS</w:t>
      </w:r>
    </w:p>
    <w:p>
      <w:pPr>
        <w:pStyle w:val="ListParagraph"/>
        <w:numPr>
          <w:ilvl w:val="0"/>
          <w:numId w:val="1"/>
        </w:numPr>
        <w:spacing w:after="60"/>
      </w:pPr>
      <w:r>
        <w:t xml:space="preserve">Integración con equipos de ecocardiografía vía DICOM</w:t>
      </w:r>
    </w:p>
    <w:p>
      <w:pPr>
        <w:pStyle w:val="ListParagraph"/>
        <w:numPr>
          <w:ilvl w:val="0"/>
          <w:numId w:val="1"/>
        </w:numPr>
        <w:spacing w:after="60"/>
      </w:pPr>
      <w:r>
        <w:t xml:space="preserve">Informes automáticos institucionales</w:t>
      </w:r>
    </w:p>
    <w:p>
      <w:pPr>
        <w:pStyle w:val="ListParagraph"/>
        <w:numPr>
          <w:ilvl w:val="0"/>
          <w:numId w:val="1"/>
        </w:numPr>
        <w:spacing w:after="60"/>
      </w:pPr>
      <w:r>
        <w:t xml:space="preserve">OCR para captura directa de mediciones</w:t>
      </w:r>
    </w:p>
    <w:p>
      <w:pPr>
        <w:pStyle w:val="ListParagraph"/>
        <w:numPr>
          <w:ilvl w:val="0"/>
          <w:numId w:val="1"/>
        </w:numPr>
        <w:spacing w:after="60"/>
      </w:pPr>
      <w:r>
        <w:t xml:space="preserve">Base de datos de pacientes</w:t>
      </w:r>
    </w:p>
    <w:p>
      <w:pPr>
        <w:pStyle w:val="ListParagraph"/>
        <w:numPr>
          <w:ilvl w:val="0"/>
          <w:numId w:val="1"/>
        </w:numPr>
        <w:spacing w:after="60"/>
      </w:pPr>
      <w:r>
        <w:t xml:space="preserve">Actualización periódica de guías clínicas</w:t>
      </w:r>
    </w:p>
    <w:p>
      <w:pPr>
        <w:pStyle w:val="Heading2"/>
        <w:spacing w:after="150" w:before="300"/>
      </w:pPr>
      <w:r>
        <w:t xml:space="preserve">Papel de la IA conversacional (ChatGPT/Claude) en la arquitectura</w:t>
      </w:r>
    </w:p>
    <w:p>
      <w:pPr>
        <w:spacing w:after="120"/>
      </w:pPr>
      <w:r>
        <w:t xml:space="preserve">El modelo de lenguaje no es responsable del conocimiento médico. Su función es ejecutar las reglas del Motor ORTIZNOR, interpretar la información de entrada, redactar el informe con lenguaje uniforme y asistir al usuario. El conocimiento médico reside en el archivo maestro y las reglas clínicas de ORTIZNOR, no en la memoria del modelo.</w:t>
      </w:r>
    </w:p>
    <w:p>
      <w:pPr>
        <w:pStyle w:val="Heading1"/>
      </w:pPr>
      <w:r>
        <w:t>Módulo — Ajustes de Integración y Redacción (sesión de refinamiento)</w:t>
      </w:r>
    </w:p>
    <w:p>
      <w:r>
        <w:t>Estas reglas corrigen y refinan el comportamiento del motor tras revisión con casos reales adicionales.</w:t>
      </w:r>
    </w:p>
    <w:p>
      <w:pPr>
        <w:pStyle w:val="Heading3"/>
      </w:pPr>
      <w:r>
        <w:t>Jets de regurgitación en Doppler, no en Válvulas</w:t>
      </w:r>
    </w:p>
    <w:p>
      <w:r>
        <w:t>La descripción de Válvulas contiene solo morfología (esclerosis/calcificación/estenosis/prolapso). Todos los jets de regurgitación (mitral, aórtica, pulmonar, tricuspídea) se describen en la sección Doppler, indicando severidad y dirección (central o excéntrico hacia la estructura correspondiente).</w:t>
      </w:r>
    </w:p>
    <w:p>
      <w:pPr>
        <w:pStyle w:val="Heading3"/>
      </w:pPr>
      <w:r>
        <w:t>Morfología mitral: nunca deja base "normal" contradictoria</w:t>
      </w:r>
    </w:p>
    <w:p>
      <w:r>
        <w:t>Si hay CMP, CM, EM o cualquier otro hallazgo morfológico mitral sin insuficiencia asociada, la descripción usa una base neutra ("Mitral excursionando adecuadamente") en vez de "Mitral normal", evitando la contradicción de describir un hallazgo anormal bajo el rótulo de normalidad.</w:t>
      </w:r>
    </w:p>
    <w:p>
      <w:pPr>
        <w:pStyle w:val="Heading3"/>
      </w:pPr>
      <w:r>
        <w:t>Contractilidad global sigue la FEVI real</w:t>
      </w:r>
    </w:p>
    <w:p>
      <w:r>
        <w:t>"Contractilidad global conservada" solo se usa si FEVI ≥50%; si FEVI &lt;50%, la descripción dice "disminuida". Ya no queda fija en "conservada" por defecto.</w:t>
      </w:r>
    </w:p>
    <w:p>
      <w:pPr>
        <w:pStyle w:val="Heading3"/>
      </w:pPr>
      <w:r>
        <w:t>Dirección excéntrica sin contradicción</w:t>
      </w:r>
    </w:p>
    <w:p>
      <w:r>
        <w:t>Cuando el jet es excéntrico, la descripción dice "excéntrico hacia [estructura]" — nunca combina "excéntrico" y "central" en la misma frase (bug corregido en IA exc sep, entre otros).</w:t>
      </w:r>
    </w:p>
    <w:p>
      <w:pPr>
        <w:pStyle w:val="Heading3"/>
      </w:pPr>
      <w:r>
        <w:t>Hipertrofia ventricular: detección automática por medidas</w:t>
      </w:r>
    </w:p>
    <w:p>
      <w:r>
        <w:t>Si no se codificó HVI/LHVI manualmente, y el septum Y la pared posterior son AMBOS mayores a 1.1 cm (no basta con una sola pared), el sistema agrega automáticamente "Hipertrofia de sus paredes" a la descripción y "HIPERTROFIA VENTRICULAR IZQUIERDA" a las conclusiones.</w:t>
      </w:r>
    </w:p>
    <w:p>
      <w:pPr>
        <w:pStyle w:val="Heading3"/>
      </w:pPr>
      <w:r>
        <w:t>Código GRANULADO — patrón infiltrativo miocárdico</w:t>
      </w:r>
    </w:p>
    <w:p>
      <w:r>
        <w:t>Descripción: "Se aprecia patrón de puntuado en espesor del miocardio ventricular izquierdo que sugiere infiltración." Conclusión correspondiente en mayúsculas. No genera recomendación de estudio adicional (regla general del sistema).</w:t>
      </w:r>
    </w:p>
    <w:p>
      <w:pPr>
        <w:pStyle w:val="Heading3"/>
      </w:pPr>
      <w:r>
        <w:t>Dilatación de cavidades derechas no se duplica con hipertensión pulmonar</w:t>
      </w:r>
    </w:p>
    <w:p>
      <w:r>
        <w:t>Si hay dato de gradiente de insuficiencia tricuspídea (Sxx), la dilatación de cavidades derechas (Apex bi/der) se integra dentro de la conclusión única de probabilidad de hipertensión pulmonar, en vez de aparecer también como línea de conclusión aparte. Solo aparece como conclusión independiente cuando no hay ningún dato de gradiente tricuspídeo disponible.</w:t>
      </w:r>
    </w:p>
    <w:p>
      <w:pPr>
        <w:pStyle w:val="Heading3"/>
      </w:pPr>
      <w:r>
        <w:t>Derrame pericárdico: severidad automática por volumen</w:t>
      </w:r>
    </w:p>
    <w:p>
      <w:r>
        <w:t>Cuando el volumen del derrame es conocido (DP/DPP ≥80, interpretado como cc), el sistema clasifica automáticamente la severidad: Leve ≤150 cc, Moderado 151–300 cc, Severo &gt;300 cc. La conclusión incluye tanto la severidad como el volumen estimado.</w:t>
      </w:r>
    </w:p>
    <w:p>
      <w:pPr>
        <w:pStyle w:val="Heading3"/>
      </w:pPr>
      <w:r>
        <w:t>Dilatación auricular izquierda + insuficiencia mitral se integran</w:t>
      </w:r>
    </w:p>
    <w:p>
      <w:r>
        <w:t>Si coexisten AI dilatada (o severamente dilatada) e insuficiencia mitral, ambos hallazgos se funden en una sola conclusión ("...CON DILATACION [SEVERA DE] AURICULA IZQUIERDA ASOCIADA"), en vez de generarse como dos conclusiones separadas. Si la insuficiencia mitral no está presente, la dilatación de AI se reporta de forma independiente.</w:t>
      </w:r>
    </w:p>
    <w:p>
      <w:pPr>
        <w:pStyle w:val="Heading3"/>
      </w:pPr>
      <w:r>
        <w:t>Numeración automática de conclusiones</w:t>
      </w:r>
    </w:p>
    <w:p>
      <w:r>
        <w:t>Las conclusiones se numeran de forma secuencial y automática (1, 2, 3...) según el orden final de construcción; cualquier integración, adición o eliminación de una conclusión renumera automáticamente el resto, sin intervención manual.</w:t>
      </w:r>
    </w:p>
    <w:p>
      <w:pPr>
        <w:pStyle w:val="Heading3"/>
      </w:pPr>
      <w:r>
        <w:t>Electrodo intracavitario implica ritmo de estimulación</w:t>
      </w:r>
    </w:p>
    <w:p>
      <w:r>
        <w:t>Si se detecta un electrodo (ELEC/ELECT) y no se dictó explícitamente otro ritmo (FA, Flutter, MCPS/MP), el ritmo por defecto de la frase de apertura cambia de "SINUSAL" a "ESTIMULACION POR MARCAPASOS".</w:t>
      </w:r>
    </w:p>
    <w:p>
      <w:pPr>
        <w:pStyle w:val="Heading1"/>
      </w:pPr>
      <w:r>
        <w:t>Módulo — Segunda Ronda de Ajustes (masa VI, arritmias, códigos adicionales)</w:t>
      </w:r>
    </w:p>
    <w:p>
      <w:r>
        <w:t>Ajustes adicionales encontrados y corregidos tras revisión extendida con el médico.</w:t>
      </w:r>
    </w:p>
    <w:p>
      <w:pPr>
        <w:pStyle w:val="Heading3"/>
      </w:pPr>
      <w:r>
        <w:t>Índice de masa ventricular izquierda (Devereux)</w:t>
      </w:r>
    </w:p>
    <w:p>
      <w:r>
        <w:t>Se calcula automáticamente cuando hay septum, pared posterior y VI diástole disponibles: Masa VI (g) = 0.8 × {1.04 × [(septum+VIdiast+PP)³ − VIdiast³]} + 0.6, indexado por superficie corporal (SC). Se muestra siempre en la descripción del VI en g/m². Requiere el código de sexo (H/M) para clasificar normal/anormal: normal ≤115 g/m² en hombres, ≤95 g/m² en mujeres (ASE 2015). Si el índice supera el corte correspondiente, dispara automáticamente la conclusión "HIPERTROFIA VENTRICULAR IZQUIERDA" — mecanismo independiente y adicional a la regla de septum y pared posterior ambos &gt;1.1 cm (cualquiera de las dos formas de detección activa la misma conclusión).</w:t>
      </w:r>
    </w:p>
    <w:p>
      <w:pPr>
        <w:pStyle w:val="Heading3"/>
      </w:pPr>
      <w:r>
        <w:t>Código de sexo: H / M</w:t>
      </w:r>
    </w:p>
    <w:p>
      <w:r>
        <w:t>Código de una sola letra ("H" = hombre, "M" = mujer) que habilita la clasificación del índice de masa VI. Sin este dato, el índice se calcula y muestra igual, pero queda sin clasificar (el sistema lo señala explícitamente: "dictar sexo H/M para clasificar normal/anormal").</w:t>
      </w:r>
    </w:p>
    <w:p>
      <w:pPr>
        <w:pStyle w:val="Heading3"/>
      </w:pPr>
      <w:r>
        <w:t>ESV, EV, EXTRASIST — extrasistolia</w:t>
      </w:r>
    </w:p>
    <w:p>
      <w:r>
        <w:t>ESV: "Frecuente extrasistolia supraventricular". EV: "Frecuente extrasistolia ventricular". EXTRASIST: "Frecuente extrasistolia" (tipo no especificado). Los tres se agregan al bloque de condición del paciente (encabezado) Y generan su propia línea de conclusión en mayúsculas.</w:t>
      </w:r>
    </w:p>
    <w:p>
      <w:pPr>
        <w:pStyle w:val="Heading3"/>
      </w:pPr>
      <w:r>
        <w:t>SEP VIBR — movimiento vibrado del septum</w:t>
      </w:r>
    </w:p>
    <w:p>
      <w:r>
        <w:t>Descripción: "Septum interventricular con movimiento vibrado." Se agrega a la descripción del ventrículo izquierdo.</w:t>
      </w:r>
    </w:p>
    <w:p>
      <w:pPr>
        <w:pStyle w:val="Heading3"/>
      </w:pPr>
      <w:r>
        <w:t>TAPSE / TPS</w:t>
      </w:r>
    </w:p>
    <w:p>
      <w:r>
        <w:t>Sinónimos. Ambos códigos alimentan el mismo criterio de disfunción del ventrículo derecho (TAPSE &lt;17 mm) usado en la integración de hipertensión pulmonar.</w:t>
      </w:r>
    </w:p>
    <w:p>
      <w:pPr>
        <w:pStyle w:val="Heading3"/>
      </w:pPr>
      <w:r>
        <w:t>DER? — flujos Doppler derechos no valorables</w:t>
      </w:r>
    </w:p>
    <w:p>
      <w:r>
        <w:t>Descripción en la sección Doppler: "Flujos Doppler en cavidades derechas no valorables."</w:t>
      </w:r>
    </w:p>
    <w:p>
      <w:pPr>
        <w:pStyle w:val="Heading3"/>
      </w:pPr>
      <w:r>
        <w:t>VD ## (pared libre del VD) — conectado a descripción y conclusión</w:t>
      </w:r>
    </w:p>
    <w:p>
      <w:r>
        <w:t>Corrige un vacío real: el dato se capturaba pero nunca se usaba. Ahora se describe siempre que esté disponible ("Pared libre del ventrículo derecho de ## cm."), y si supera 0.5 cm, se integra como "hipertrofia del ventrículo derecho" dentro de la conclusión única de probabilidad de hipertensión pulmonar (mismo mecanismo que la dilatación de cavidades derechas).</w:t>
      </w:r>
    </w:p>
    <w:p>
      <w:pPr>
        <w:pStyle w:val="Heading3"/>
      </w:pPr>
      <w:r>
        <w:t>TERNE — calidad técnica del corte</w:t>
      </w:r>
    </w:p>
    <w:p>
      <w:r>
        <w:t>Descripción: "Alineación oblicua del corte paraesternal largo." Se agrega al bloque de condición/generalidades, como nota de calidad técnica del estudio.</w:t>
      </w:r>
    </w:p>
    <w:p>
      <w:pPr>
        <w:pStyle w:val="Heading3"/>
      </w:pPr>
      <w:r>
        <w:t>GRASA — grasa pericárdica, combinada con derrame</w:t>
      </w:r>
    </w:p>
    <w:p>
      <w:r>
        <w:t>Descripción: "Hipoecodensidad sugestiva de grasa pericárdica." Si coexiste con DP/DPP (derrame), ambos hallazgos se combinan en una sola frase ("...asociado a hipoecodensidad sugestiva de grasa pericárdica").</w:t>
      </w:r>
    </w:p>
    <w:p>
      <w:pPr>
        <w:pStyle w:val="Heading3"/>
      </w:pPr>
      <w:r>
        <w:t>IA SEPTAL</w:t>
      </w:r>
    </w:p>
    <w:p>
      <w:r>
        <w:t>Alias de "IA exc sep" (insuficiencia aórtica con jet excéntrico dirigido al septum interventricular). Mismo comportamiento descriptivo y de conclusión.</w:t>
      </w:r>
    </w:p>
    <w:p>
      <w:pPr>
        <w:pStyle w:val="Heading3"/>
      </w:pPr>
      <w:r>
        <w:t>FEVI límítrofe (50–53%) sin indicación explícita</w:t>
      </w:r>
    </w:p>
    <w:p>
      <w:r>
        <w:t>Si la FEVI está entre 50 y 53% inclusive, y no hay ningún código de alteración segmentaria ni el código OK dictado explícitamente, la contractilidad segmentaria se describe y concluye como "leve hipoquinesia generalizada" en vez de "normal". Si el médico dicta OK explícitamente, se respeta "normal" aunque la FEVI esté en ese rango — el sistema no sobrescribe el juicio clínico explícito del médico.</w:t>
      </w:r>
    </w:p>
    <w:p>
      <w:pPr>
        <w:pStyle w:val="Heading3"/>
      </w:pPr>
      <w:r>
        <w:t>Espacios opcionales en todos los códigos</w:t>
      </w:r>
    </w:p>
    <w:p>
      <w:r>
        <w:t>El sistema es indiferente a los espacios entre un código y su valor numérico: "S30", "S 30", "S-30" y "S:30" se interpretan de forma idéntica. Esta regla aplica de manera general a todo el diccionario, no solo a Sxx.</w:t>
      </w:r>
    </w:p>
    <w:p>
      <w:pPr>
        <w:pStyle w:val="Heading1"/>
      </w:pPr>
      <w:r>
        <w:t>Módulo — Tercera Ronda de Ajustes (revisión con 9 pacientes reales)</w:t>
      </w:r>
    </w:p>
    <w:p>
      <w:r>
        <w:t>Ajustes encontrados al revisar un lote real de 9 informes generados por el motor, incluyendo códigos que no habían sido implementados a pesar de estar mencionados en versiones anteriores del diccionario.</w:t>
      </w:r>
    </w:p>
    <w:p>
      <w:pPr>
        <w:pStyle w:val="Heading3"/>
      </w:pPr>
      <w:r>
        <w:t>PERICARDIO — sinónimo de PERIC</w:t>
      </w:r>
    </w:p>
    <w:p>
      <w:r>
        <w:t>Mismo comportamiento que PERIC (engrosamiento pericárdico).</w:t>
      </w:r>
    </w:p>
    <w:p>
      <w:pPr>
        <w:pStyle w:val="Heading3"/>
      </w:pPr>
      <w:r>
        <w:t>EM.. — sinónimo de CM..</w:t>
      </w:r>
    </w:p>
    <w:p>
      <w:r>
        <w:t>"Esclerosis valvular mitral con puntos de calcio en sus velos." Mismo comportamiento que CM.. en descripción y conclusión.</w:t>
      </w:r>
    </w:p>
    <w:p>
      <w:pPr>
        <w:pStyle w:val="Heading3"/>
      </w:pPr>
      <w:r>
        <w:t>APEX↓ / APEX ↓ — aquinesia del casquete apical</w:t>
      </w:r>
    </w:p>
    <w:p>
      <w:r>
        <w:t>Código documentado desde el proyecto original pero nunca conectado al motor. Ahora se integra correctamente al listado de alteraciones segmentarias, generando la conclusión de cardiopatía isquémica con alteración segmentaria.</w:t>
      </w:r>
    </w:p>
    <w:p>
      <w:pPr>
        <w:pStyle w:val="Heading3"/>
      </w:pPr>
      <w:r>
        <w:t>HPK GENERALIZADA — sinónimo del grupo de hipoquinesia generalizada</w:t>
      </w:r>
    </w:p>
    <w:p>
      <w:r>
        <w:t>Mismo comportamiento que HPQ / HPKG / HPKGRAL.</w:t>
      </w:r>
    </w:p>
    <w:p>
      <w:pPr>
        <w:pStyle w:val="Heading3"/>
      </w:pPr>
      <w:r>
        <w:t>GRS — grasa epicárdica (código distinto de GRASA)</w:t>
      </w:r>
    </w:p>
    <w:p>
      <w:r>
        <w:t>Descripción: "Halo de hipoecodensidad anterior y apical." Conclusión propia: "PRESENCIA DE GRASA EN EPICARDIO." A diferencia de GRASA, no se combina con la descripción de derrame pericárdico — es un hallazgo independiente.</w:t>
      </w:r>
    </w:p>
    <w:p>
      <w:pPr>
        <w:pStyle w:val="Heading3"/>
      </w:pPr>
      <w:r>
        <w:t>COR — cor pulmonale</w:t>
      </w:r>
    </w:p>
    <w:p>
      <w:r>
        <w:t>No genera descripción anatómica propia. Fuerza automáticamente la probabilidad de hipertensión pulmonar a ALTA, y reemplaza el prefijo habitual de la conclusión: en vez de "REGURGITACION VALVULAR TRICUSPIDEA CON...", la conclusión queda "COR PULMONALE CON ALTA PROBABILIDAD PARA HIPERTENSION PULMONAR CON [hallazgos asociados]." — se aplica incluso si no hay gradiente de insuficiencia tricuspídea disponible.</w:t>
      </w:r>
    </w:p>
    <w:p>
      <w:pPr>
        <w:pStyle w:val="Heading3"/>
      </w:pPr>
      <w:r>
        <w:t>D IZQ — decúbito lateral izquierdo (silencioso)</w:t>
      </w:r>
    </w:p>
    <w:p>
      <w:r>
        <w:t>Representa la posición mayoritaria/esperada durante el estudio. Se reconoce como código válido pero deliberadamente NO genera ninguna línea de descripción — a diferencia de DD/DORSAL/INMOV, que sí se describen por ser la posición de referencia del informe estándar.</w:t>
      </w:r>
    </w:p>
    <w:p>
      <w:pPr>
        <w:pStyle w:val="Heading3"/>
      </w:pPr>
      <w:r>
        <w:t>D DER — decúbito lateral derecho (excepción)</w:t>
      </w:r>
    </w:p>
    <w:p>
      <w:r>
        <w:t>A diferencia de D IZQ, esta posición SÍ se describe ("Paciente en decúbito lateral derecho."), por representar una variante infrecuente que merece quedar registrada.</w:t>
      </w:r>
    </w:p>
    <w:p>
      <w:pPr>
        <w:pStyle w:val="Heading3"/>
      </w:pPr>
      <w:r>
        <w:t>TAP ## — tiempo de aceleración pulmonar</w:t>
      </w:r>
    </w:p>
    <w:p>
      <w:r>
        <w:t>Se describe únicamente en la sección Doppler ("Tiempo de aceleración pulmonar de ## ms."), sin generar ninguna conclusión propia.</w:t>
      </w:r>
    </w:p>
    <w:p>
      <w:pPr>
        <w:pStyle w:val="Heading1"/>
      </w:pPr>
      <w:r>
        <w:t>Módulo — Tercera Ronda de Ajustes (geometría VI, segmentos, aorta, correcciones)</w:t>
      </w:r>
    </w:p>
    <w:p>
      <w:r>
        <w:t>Sesión extensa de correcciones de bugs reales y nuevos códigos, con base en casos clínicos reales adicionales.</w:t>
      </w:r>
    </w:p>
    <w:p>
      <w:pPr>
        <w:pStyle w:val="Heading3"/>
      </w:pPr>
      <w:r>
        <w:t>Formato simplificado de trastornos segmentarios</w:t>
      </w:r>
    </w:p>
    <w:p>
      <w:r>
        <w:t>Nueva convención: [AK|HK|DK]-[pared]-[nivel]. Pared: 1-3 letras de A(anterior)/S(septal)/L(lateral)/I(inferior)/P(posterior); si son 2 letras y forman un par clásico (AS, AL, IL, PL, IP) se funden en el término anatómico único (anteroseptal, anterolateral, inferolateral, posterolateral, posteroinferior); si no, se listan por separado. Nivel: 1-3 letras de A(apical)/M(medial)/B(basal), combinables. Ejemplo: AK-AL-BM → "Aquinesia anterolateral basal y medial". Coexiste con el formato anterior (AK/HK/HPK/DSK + segmento + nivel), ambos siguen funcionando.</w:t>
      </w:r>
    </w:p>
    <w:p>
      <w:pPr>
        <w:pStyle w:val="Heading3"/>
      </w:pPr>
      <w:r>
        <w:t>Remodelado e hipertrofia geométrica del VI (4 patrones)</w:t>
      </w:r>
    </w:p>
    <w:p>
      <w:r>
        <w:t>A partir del índice de masa VI (Devereux, indexado por SC, corte según sexo H/M) y el grosor relativo de pared (RWT=2×PP/VI diástole, corte 0.42), se clasifica automáticamente: Hipertrofia concéntrica (masa alta + RWT alto), Hipertrofia excéntrica (masa alta + RWT bajo), Remodelado concéntrico (masa normal + RWT alto), Remodelado excéntrico (masa normal + RWT bajo + VI dilatado). El RWT se muestra siempre en la descripción junto al índice de masa. Cuando el índice de masa (con sexo) contradice la regla simple de grosor de pared (septum y PP ambos &gt;1.1cm), prevalece el índice de masa por ser más preciso.</w:t>
      </w:r>
    </w:p>
    <w:p>
      <w:pPr>
        <w:pStyle w:val="Heading3"/>
      </w:pPr>
      <w:r>
        <w:t>Bug corregido: anillo valvular mitral nunca se describía</w:t>
      </w:r>
    </w:p>
    <w:p>
      <w:r>
        <w:t>El código ANILLO se capturaba para la válvula mitral pero nunca se usaba en descripción ni conclusión. Además, el sistema que decide si el anillo pertenece a la aórtica o la mitral (ultimaValvula) solo se actualizaba con el código EA a secas, fallando si había códigos de la otra válvula antes en la misma columna. Corregido: todos los códigos de morfología (EA, EAB, EA.., CAB, CA↑, CA, EM, em, EMB, CM, CM.., CMB, CM↑) actualizan correctamente el enrutamiento.</w:t>
      </w:r>
    </w:p>
    <w:p>
      <w:pPr>
        <w:pStyle w:val="Heading3"/>
      </w:pPr>
      <w:r>
        <w:t>Dirección de jets excéntricos ahora específica</w:t>
      </w:r>
    </w:p>
    <w:p>
      <w:r>
        <w:t>Antes: siempre decía "hacia TSVI" o "hacia aurícula izquierda" sin importar la dirección real, incluso diciendo "excéntrico" y "central" en la misma frase (contradictorio). Ahora: IA exc sep → "hacia el septum interventricular"; IA exc mit → "hacia el velo anterior de la válvula mitral"; IM lat/inf/medial → "hacia la pared lateral/inferior/medial de la aurícula izquierda".</w:t>
      </w:r>
    </w:p>
    <w:p>
      <w:pPr>
        <w:pStyle w:val="Heading3"/>
      </w:pPr>
      <w:r>
        <w:t>Nuevos códigos de aorta</w:t>
      </w:r>
    </w:p>
    <w:p>
      <w:r>
        <w:t>AO SINUSAL ## / AO ST ## (diámetro sinusal / unión sinotubular, dictados solo cuando dilatados). AAA (dilatación aneurismática de aorta ascendente, con o sin medida). AT ## (diámetro del arco aórtico transverso, descriptivo). CA (esclerosis y calcificación aórtica, paralelo a CM mitral). Raíz aórtica &gt;4.0cm ahora se detecta automáticamente e integra en la misma conclusión que esclerosis/regurgitación aórtica.</w:t>
      </w:r>
    </w:p>
    <w:p>
      <w:pPr>
        <w:pStyle w:val="Heading3"/>
      </w:pPr>
      <w:r>
        <w:t>Función ventricular: fusión con origen isquémico</w:t>
      </w:r>
    </w:p>
    <w:p>
      <w:r>
        <w:t>Cuando hay alteración segmentaria, la conclusión ahora es una sola línea: "FUNCION VENTRICULAR IZQUIERDA [CONSERVADA/LIMITROFE/DISMINUIDA/SEVERAMENTE DISMINUIDA] DE ORIGEN ISQUEMICO CON ALTERACIONES SEGMENTARIAS", sin presumir cronología (ya no dice "compatible con necrosis miocárdica o infarto en evolución"). Se agregó también el nivel "severamente disminuida" para FEVI &lt;30%.</w:t>
      </w:r>
    </w:p>
    <w:p>
      <w:pPr>
        <w:pStyle w:val="Heading3"/>
      </w:pPr>
      <w:r>
        <w:t>Corrección importante: "ECOCARDIOGRAMA NORMAL" ampliamente revisado</w:t>
      </w:r>
    </w:p>
    <w:p>
      <w:r>
        <w:t>Se encontraron y corrigieron múltiples casos donde el sistema decía "ECOCARDIOGRAMA NORMAL" a pesar de tener hallazgos reales: FEVI reducida o límítrofe, insuficiencia tricuspídea, grasa pericárdica o epicárdica, derrame pleural, arritmias, patrón infiltrativo (GRANULADO), hipertrofia de VD, remodelado geométrico, dilatación de raíz aórtica o aneurisma de aorta ascendente, hipertrofia de músculos papilares.</w:t>
      </w:r>
    </w:p>
    <w:p>
      <w:pPr>
        <w:pStyle w:val="Heading3"/>
      </w:pPr>
      <w:r>
        <w:t>Nuevos códigos varios</w:t>
      </w:r>
    </w:p>
    <w:p>
      <w:r>
        <w:t>PAPILAR/PAPILARES (hipertrofia de músculos papilares, solo descriptivo). CUERDA (corregido: por defecto describe "que va de la pared lateroapical al septum"). ESV/EV/EXTRASIST (extrasistolia supraventricular/ventricular/no especificada, en condición y conclusión). SEP VIBR (septum con movimiento vibrado). TAPSE/TPS (sinónimos, ahora descritos en cavidades derechas). DER? (flujos Doppler derechos no valorables). VD ## pared libre (conectado a descripción y a hipertrofia de VD dentro de HP, antes se capturaba y nunca se usaba). TERNE (alineación oblicua del corte). GRASA (combinada con derrame pericárdico si coexisten). DD/DPL (decúbito dorsal sinónimo / derrame pleural izquierdo). MCP/MP/MARCAP/MARCAPASO/MCPS (sinónimos de estimulación por dispositivo, terminología genérica que no asume marcapasos específicamente). GD##/GRAD DIN ## (gradiente dinámico intraventricular). IP## (insuficiencia pulmonar con gradiente de fin de diástole, descripción específica). Sexo H/M (habilita clasificación de índice de masa VI).</w:t>
      </w:r>
    </w:p>
    <w:p>
      <w:pPr>
        <w:pStyle w:val="Heading1"/>
      </w:pPr>
      <w:r>
        <w:t>Módulo — Cuarta Ronda: Bugs Críticos y Función Excel</w:t>
      </w:r>
    </w:p>
    <w:p>
      <w:r>
        <w:t>Ronda de validación con 18 pacientes reales del hospital, generados directamente en Excel y procesados por el motor. Se encontraron y corrigieron varios bugs de riesgo clínico real.</w:t>
      </w:r>
    </w:p>
    <w:p>
      <w:pPr>
        <w:pStyle w:val="Heading3"/>
      </w:pPr>
      <w:r>
        <w:t>Función: pegar bloque completo de Excel</w:t>
      </w:r>
    </w:p>
    <w:p>
      <w:r>
        <w:t>index.html y motor-foto.html incluyen ahora una sección para pegar directamente el rango de celdas copiado de Excel (todas las columnas de pacientes a la vez, Ctrl+C/Ctrl+V). El sistema separa automáticamente por columnas (una por paciente), sin lectura de imagen ni transcripción manual. Validado con 18 pacientes reales sin ningún error de mezcla entre columnas — a diferencia de la lectura por foto/imagen, que demostró ser poco confiable con más de 3-5 columnas juntas debido a similitud visual entre columnas adyacentes.</w:t>
      </w:r>
    </w:p>
    <w:p>
      <w:pPr>
        <w:pStyle w:val="Heading3"/>
      </w:pPr>
      <w:r>
        <w:t>BUG CRÍTICO corregido: grados de regurgitación con espacio</w:t>
      </w:r>
    </w:p>
    <w:p>
      <w:r>
        <w:t>Los códigos IM, IA e IT con espacio antes del número de grado (ej. "IM 3" en vez de "IM3") hacían que el grado se ignorara silenciosamente, asumiendo "leve" por defecto sin ningún aviso al usuario. Esto representaba un riesgo clínico real: podía reportar una insuficiencia severa como leve. Corregido para aceptar espacio opcional en los tres códigos.</w:t>
      </w:r>
    </w:p>
    <w:p>
      <w:pPr>
        <w:pStyle w:val="Heading3"/>
      </w:pPr>
      <w:r>
        <w:t>BUG corregido: talla en metros</w:t>
      </w:r>
    </w:p>
    <w:p>
      <w:r>
        <w:t>Si la talla se dicta en formato metros (ej. "1,65 cm" en vez de "165cm"), el sistema ahora detecta automáticamente valores menores a 3 y los convierte multiplicando por 100. Esto corrige cálculos absurdos del índice de masa ventricular izquierda que ocurrían al tomar 1.65 cm literalmente como una talla real.</w:t>
      </w:r>
    </w:p>
    <w:p>
      <w:pPr>
        <w:pStyle w:val="Heading3"/>
      </w:pPr>
      <w:r>
        <w:t>BUG corregido: AN VI no convertía mm a cm</w:t>
      </w:r>
    </w:p>
    <w:p>
      <w:r>
        <w:t>El código de aneurisma apical (AN VI ##) no aplicaba la conversión de milímetros a centímetros, mostrando valores de tamaño irreales (ej. "32 cm" en vez de "3.2 cm"). Corregido.</w:t>
      </w:r>
    </w:p>
    <w:p>
      <w:pPr>
        <w:pStyle w:val="Heading3"/>
      </w:pPr>
      <w:r>
        <w:t>Nuevo código: ANV — imagen ecodensa apical sugestiva de trombo</w:t>
      </w:r>
    </w:p>
    <w:p>
      <w:r>
        <w:t>Distinto de AN VI (aneurisma). Formato: ANV ## [x##] [MOVIL/INMOVIL]. Descripción: "Imagen ecodensa localizada en ápex ventricular izquierdo de xx [x xx] cm de diámetro(s)[, móvil/no móvil]." Conclusión: "SUGIERE LA PRESENCIA DE TROMBO EN VENTRICULO IZQUIERDO."</w:t>
      </w:r>
    </w:p>
    <w:p>
      <w:pPr>
        <w:pStyle w:val="Heading3"/>
      </w:pPr>
      <w:r>
        <w:t>Nuevo código combinado: EA ANILLO / EA+ANILLO</w:t>
      </w:r>
    </w:p>
    <w:p>
      <w:r>
        <w:t>Esclerosis de hojuelas aórticas y calcio en el anillo valvular dictados en una sola línea. Descripción: "...esclerosis en sus hojuelas y calcio en su anillo valvular..." Conclusión: "ESCLEROSIS Y LEVE CALCIFICACION VALVULAR AORTICA."</w:t>
      </w:r>
    </w:p>
    <w:p>
      <w:pPr>
        <w:pStyle w:val="Heading3"/>
      </w:pPr>
      <w:r>
        <w:t>Otras correcciones menores</w:t>
      </w:r>
    </w:p>
    <w:p>
      <w:r>
        <w:t>HPK GRAL reconocido como sinónimo de hipoquinesia generalizada. D? reconocido como sinónimo de DER? (flujos Doppler derechos no valorables). Conclusión de electrodo actualizada a "PRESENCIA DE ELECTRODOS DE ESTIMULACION INTRACAVITARIOS EN CAVIDADES DERECHAS."</w:t>
      </w:r>
    </w:p>
    <w:p>
      <w:pPr>
        <w:pStyle w:val="Heading3"/>
      </w:pPr>
      <w:r>
        <w:t>Confirmación: FEVI en blanco</w:t>
      </w:r>
    </w:p>
    <w:p>
      <w:r>
        <w:t>Si no se dicta la fracción de eyección (##%), el sistema asume función sistólica conservada/normal por defecto, salvo que se indique explícitamente lo contrario. Comportamiento confirmado con el médico, no requiere cambio.</w:t>
      </w:r>
    </w:p>
    <w:p>
      <w:pPr>
        <w:pStyle w:val="Heading1"/>
      </w:pPr>
      <w:r>
        <w:t>Módulo — Quinta Ronda: Separación Aneurisma/Trombo, Nuevas Condiciones y Bug Crítico de FC</w:t>
      </w:r>
    </w:p>
    <w:p>
      <w:r>
        <w:t>Validación con más de 25 pacientes reales adicionales del hospital. Se corrigió un bug crítico de alineación de medidas y se incorporó vocabulario clínico adicional solicitado por el médico.</w:t>
      </w:r>
    </w:p>
    <w:p>
      <w:pPr>
        <w:pStyle w:val="Heading3"/>
      </w:pPr>
      <w:r>
        <w:t>BUG CRÍTICO corregido: detección posicional de FC eliminada</w:t>
      </w:r>
    </w:p>
    <w:p>
      <w:r>
        <w:t>Anteriormente, si no se dictaba la frecuencia cardiaca explícitamente, el sistema tomaba automáticamente el primer número suelto como FC — pero si ese número en realidad era la primera de las 7 medidas fijas (ej. raíz aórtica), TODA la secuencia de medidas quedaba corrida una posición, alterando el informe completo sin ningún aviso. Corregido: ahora la FC se reconoce ÚNICAMENTE mediante los formatos explícitos "FC:##" o "##/min" (con o sin espacios). Si no se dicta en alguno de estos dos formatos, el campo de FC simplemente queda vacío, sin afectar la secuencia de medidas.</w:t>
      </w:r>
    </w:p>
    <w:p>
      <w:pPr>
        <w:pStyle w:val="Heading3"/>
      </w:pPr>
      <w:r>
        <w:t>Separación definitiva: Aneurisma (AN VI) vs. Trombo (TX)</w:t>
      </w:r>
    </w:p>
    <w:p>
      <w:r>
        <w:t>Se corrigió una mezcla conceptual: el código AN VI significa exclusivamente "Dilatación aneurismática apical en ventrículo izquierdo de ## cm de diámetro" — no tiene relación con trombos. El código TX (trombo) se hizo completamente flexible: acepta measurements y localización opcionales, con ápex del ventrículo izquierdo como localización por defecto cuando no se especifica. Un código transitorio "ANV" que mezclaba ambos conceptos fue eliminado por completo.</w:t>
      </w:r>
    </w:p>
    <w:p>
      <w:pPr>
        <w:pStyle w:val="Heading3"/>
      </w:pPr>
      <w:r>
        <w:t>Catéter (CAT/CATETER) separado de masas genéricas</w:t>
      </w:r>
    </w:p>
    <w:p>
      <w:r>
        <w:t>Ahora sigue el mismo patrón que el electrodo: siempre genérico, ignorando cualquier localización específica que se dicte. Descripción: "Presencia de catéter en cavidades derechas." Conclusión: "PRESENCIA DE CATETER EN CAVIDADES DERECHAS."</w:t>
      </w:r>
    </w:p>
    <w:p>
      <w:pPr>
        <w:pStyle w:val="Heading3"/>
      </w:pPr>
      <w:r>
        <w:t>E/A ##/## ahora se describe en Doppler</w:t>
      </w:r>
    </w:p>
    <w:p>
      <w:r>
        <w:t>Bug corregido: el sistema calculaba la relación E/A internamente pero nunca la mostraba en el informe. Ahora genera: "Onda E de ## cm/seg y onda A de ## cm/seg (relación E/A de #.##)."</w:t>
      </w:r>
    </w:p>
    <w:p>
      <w:pPr>
        <w:pStyle w:val="Heading3"/>
      </w:pPr>
      <w:r>
        <w:t>CMP con valor numérico de grosor</w:t>
      </w:r>
    </w:p>
    <w:p>
      <w:r>
        <w:t>CMP ## (o CMP↓ ##) ahora acepta un valor numérico representando el espesor del calcio en el velo posterior mitral, agregándolo a la descripción existente. Sigue siendo retrocompatible sin el valor.</w:t>
      </w:r>
    </w:p>
    <w:p>
      <w:pPr>
        <w:pStyle w:val="Heading3"/>
      </w:pPr>
      <w:r>
        <w:t>AD tolera guion y dos puntos</w:t>
      </w:r>
    </w:p>
    <w:p>
      <w:r>
        <w:t>"AD - ##" y "AD: ##" ahora se reconocen igual que "AD ##".</w:t>
      </w:r>
    </w:p>
    <w:p>
      <w:pPr>
        <w:pStyle w:val="Heading3"/>
      </w:pPr>
      <w:r>
        <w:t>MK tolerado como sinónimo de KG</w:t>
      </w:r>
    </w:p>
    <w:p>
      <w:r>
        <w:t>Error de tipeo frecuente (confirmado con el médico) — el sistema ahora acepta "MK" igual que "KG" para el peso, evitando que se pierda el dato por una letra transpuesta.</w:t>
      </w:r>
    </w:p>
    <w:p>
      <w:pPr>
        <w:pStyle w:val="Heading3"/>
      </w:pPr>
      <w:r>
        <w:t>Nuevas condiciones: posición y bloqueos de conducción</w:t>
      </w:r>
    </w:p>
    <w:p>
      <w:r>
        <w:t>SENTADA/SENTADO (paciente en posición sentada). BCRI (bloqueo completo de rama izquierda). BCRD (bloqueo completo de rama derecha). BAV3 (bloqueo AV de tercer grado). BAV2 (bloqueo AV de segundo grado). MOBITZ I / MOBITZ II (bloqueo AV de segundo grado, tipo específico). Todos se agregan a la línea CONDICION del encabezado, sin modificar el ritmo principal.</w:t>
      </w:r>
    </w:p>
    <w:p>
      <w:pPr>
        <w:pStyle w:val="Heading3"/>
      </w:pPr>
      <w:r>
        <w:t>BIGEMINISMO — caso especial, modifica la apertura</w:t>
      </w:r>
    </w:p>
    <w:p>
      <w:r>
        <w:t>A diferencia de las demás condiciones, BIGEMINISMO no se agrega a la línea CONDICION sino que modifica directamente la frase de apertura de las conclusiones: "ESTUDIO ECOCARDIOGRAFICO REALIZADO EN RITMO [ritmo] CON BIGEMINISMO EN EL MOMENTO."</w:t>
      </w:r>
    </w:p>
    <w:p>
      <w:pPr>
        <w:pStyle w:val="Heading3"/>
      </w:pPr>
      <w:r>
        <w:t>Toracostomía y calidad de ventana por vista específica</w:t>
      </w:r>
    </w:p>
    <w:p>
      <w:r>
        <w:t>TT / T.T (paciente con toracostomía). 4C o 4C: (estudio realizado en cortes apicales / 4 cámaras — nota técnica). 4C? (mala ventana apical). SX? (mala ventana subxifoidea). PE? (mala ventana paraesternal). Todos van en CONDICION.</w:t>
      </w:r>
    </w:p>
    <w:p>
      <w:pPr>
        <w:pStyle w:val="Heading3"/>
      </w:pPr>
      <w:r>
        <w:t>Botón "Copiar al portapapeles" corregido</w:t>
      </w:r>
    </w:p>
    <w:p>
      <w:r>
        <w:t>Bug corregido en las tres versiones del motor: el botón de copiar no tenía manejo de errores, por lo que si el navegador bloqueaba o fallaba el portapapeles moderno (situación común en archivos abiertos localmente o con restricciones de permisos, tanto en iPhone como en Windows), el fallo era completamente silencioso — el médico creía haber copiado el informe pero el portapapeles quedaba vacío. Ahora existe un método de respaldo automático (más compatible), y si ambos métodos fallan, el botón lo indica explícitamente en vez de fallar en silencio.</w:t>
      </w:r>
    </w:p>
    <w:p>
      <w:pPr>
        <w:pStyle w:val="Heading1"/>
      </w:pPr>
      <w:r>
        <w:t>Módulo — Sexta Ronda: Grados Triviales, Prótesis y Bug de IT sin Gradiente</w:t>
      </w:r>
    </w:p>
    <w:p>
      <w:r>
        <w:t>Ronda de refinamiento clínico centrada en calidad diagnóstica: escala de severidad completa, corrección de contradicciones en prótesis valvulares, y un bug importante que ocultaba insuficiencias tricuspídeas en conclusiones.</w:t>
      </w:r>
    </w:p>
    <w:p>
      <w:pPr>
        <w:pStyle w:val="Heading3"/>
      </w:pPr>
      <w:r>
        <w:t>Hipoquinesia generalizada por defecto — escala final (sin "moderada")</w:t>
      </w:r>
    </w:p>
    <w:p>
      <w:r>
        <w:t>Cuando la FEVI está comprometida y no se dictaron alteraciones segmentarias específicas, la contractilidad segmentaria ya no puede describirse como "normal". Escala definitiva: FE 50-53% (límítrofe) → "leve hipoquinesia generalizada"; FE 30-49% (disminuida) → "hipoquinesia generalizada" sin calificativo; FE &lt;30% (severamente disminuida) → "severa hipoquinesia generalizada". Un código OK explícito siempre anula esta regla automática.</w:t>
      </w:r>
    </w:p>
    <w:p>
      <w:pPr>
        <w:pStyle w:val="Heading3"/>
      </w:pPr>
      <w:r>
        <w:t>Aurícula izquierda: clasificación por diámetro cuando no hay código de área</w:t>
      </w:r>
    </w:p>
    <w:p>
      <w:r>
        <w:t>Si el médico no dicta un código AI## (área), el sistema ahora usa el diámetro fijo de la secuencia de 7 medidas como respaldo: ≥4.2 cm se describe y concluye como dilatada. Si el área SÍ fue dictada explícitamente, esta prevalece sobre el diámetro. La descripción de aurícula normal cambió a "Aurícula izquierda de tamaño normal."</w:t>
      </w:r>
    </w:p>
    <w:p>
      <w:pPr>
        <w:pStyle w:val="Heading3"/>
      </w:pPr>
      <w:r>
        <w:t>BUG corregido: prótesis valvulares contradictorias</w:t>
      </w:r>
    </w:p>
    <w:p>
      <w:r>
        <w:t>Los códigos PVMM/PVMB (mitral) y PVAM/PVAB (aórtica) generaban una descripción contradictoria: simultáneamente decían "válvula normal excursionando adecuadamente" Y "prótesis normofuncionante" en el mismo informe. Corregido: la descripción de la válvula nativa ahora se reemplaza por completo por la de la prótesis. Además, la prótesis ahora aparece también en CONCLUSIONES (antes faltaba por completo en ambos casos, mitral y aórtica).</w:t>
      </w:r>
    </w:p>
    <w:p>
      <w:pPr>
        <w:pStyle w:val="Heading3"/>
      </w:pPr>
      <w:r>
        <w:t>BUG corregido: área valvular mitral (AVM) con coma decimal</w:t>
      </w:r>
    </w:p>
    <w:p>
      <w:r>
        <w:t>AVM 2,3 (con coma) se truncaba silenciosamente a solo "2" en lugar de "2.3". Corregido para aceptar coma o punto decimal. Además, ahora se describe siempre en Doppler ("Área valvular mitral calculada por hemipresión de ## cm².") independientemente de si también hay un código de estenosis mitral (SM) — antes solo aparecía cuando ambos códigos coexistían.</w:t>
      </w:r>
    </w:p>
    <w:p>
      <w:pPr>
        <w:pStyle w:val="Heading3"/>
      </w:pPr>
      <w:r>
        <w:t>Nuevo grado de severidad: trivial (T)</w:t>
      </w:r>
    </w:p>
    <w:p>
      <w:r>
        <w:t>Se agrega "trivial" a la escala de severidad de regurgitaciones, aplicable a IM, IA e IT: IMT, IAT, ITT ahora se reconocen y generan "...TRIVIAL." en la conclusión correspondiente. Antes, la letra T se ignoraba silenciosamente y el grado quedaba como "leve" por defecto, sin ningún aviso.</w:t>
      </w:r>
    </w:p>
    <w:p>
      <w:pPr>
        <w:pStyle w:val="Heading3"/>
      </w:pPr>
      <w:r>
        <w:t>BUG IMPORTANTE corregido: insuficiencia tricuspídea sin gradiente medido</w:t>
      </w:r>
    </w:p>
    <w:p>
      <w:r>
        <w:t>Se descubrió que CUALQUIER grado de insuficiencia tricuspídea (no solo trivial — incluía leve, moderada, severa) desaparecía por completo de las conclusiones si el médico no dictaba también el gradiente Sxx. Esto contradecía la regla fundacional del proyecto de que las insuficiencias, incluidas las triviales, siempre deben aparecer en conclusiones. Corregido: ahora se genera una línea de conclusión independiente ("INSUFICIENCIA VALVULAR TRICUSPIDEA [GRADO].") cuando el grado fue dictado pero no hay gradiente. Cuando ambos datos están presentes, se integran en una sola línea como antes (sin duplicar).</w:t>
      </w:r>
    </w:p>
    <w:p>
      <w:pPr>
        <w:pStyle w:val="Heading3"/>
      </w:pPr>
      <w:r>
        <w:t>Nuevo código: M ##/ — gradiente pico de la onda E mitral</w:t>
      </w:r>
    </w:p>
    <w:p>
      <w:r>
        <w:t>Formato definitivo: la letra M, un espacio, el valor numérico, y una barra al final (ejemplo: "M 8/"). Genera en Doppler: "Gradiente pico de la onda E mitral de ## mmHg." Se diseñó cuidadosamente para no chocar con los códigos existentes M (sexo femenino, coincidencia exacta) ni M##% (variación respiratoria del flujo mitral en pericardio).</w:t>
      </w:r>
    </w:p>
    <w:p>
      <w:pPr>
        <w:pStyle w:val="Heading3"/>
      </w:pPr>
      <w:r>
        <w:t>Corrección menor: AD con guion</w:t>
      </w:r>
    </w:p>
    <w:p>
      <w:r>
        <w:t>El código de área de aurícula derecha (AD##) ahora tolera guion y dos puntos además de espacio simple (ej. "AD - 19", "AD: 19"), igual que ya se había hecho para AI.</w:t>
      </w:r>
    </w:p>
    <w:p>
      <w:pPr>
        <w:pStyle w:val="Heading1"/>
      </w:pPr>
      <w:r>
        <w:t>Módulo — Séptima Ronda: Bug de AVM, Sobrecarga Sistólica y Claridad para Otros Médicos</w:t>
      </w:r>
    </w:p>
    <w:p>
      <w:r>
        <w:t>Ronda enfocada en corregir un bug de inicialización que afectaba a todos los pacientes por igual, precisar la fisiopatología de la sobrecarga septal, y mejorar la claridad del lenguaje para médicos que no participaron en el desarrollo del sistema.</w:t>
      </w:r>
    </w:p>
    <w:p>
      <w:pPr>
        <w:pStyle w:val="Heading3"/>
      </w:pPr>
      <w:r>
        <w:t>BUG corregido: "null" apareciendo en todos los informes</w:t>
      </w:r>
    </w:p>
    <w:p>
      <w:r>
        <w:t>Se descubrió que la frase "Área valvular mitral calculada por hemipresión de null cm²." aparecía en TODOS los pacientes que no tenían el código AVM dictado — un bug de inicialización donde el valor por defecto interno era null en lugar de estar simplemente vacío, y la condición de chequeo no distinguía ambos casos. Corregido.</w:t>
      </w:r>
    </w:p>
    <w:p>
      <w:pPr>
        <w:pStyle w:val="Heading3"/>
      </w:pPr>
      <w:r>
        <w:t>EM+ANILLO — nuevo código combinado para válvula mitral</w:t>
      </w:r>
    </w:p>
    <w:p>
      <w:r>
        <w:t>Análogo a EA ANILLO (aórtica): describe esclerosis de las hojuelas mitrales junto con calcio en el anillo valvular en una sola línea. Si además coexiste un código CMP (calcio en velo posterior), ambos hallazgos se integran automáticamente en una sola descripción coherente.</w:t>
      </w:r>
    </w:p>
    <w:p>
      <w:pPr>
        <w:pStyle w:val="Heading3"/>
      </w:pPr>
      <w:r>
        <w:t>AI##/## — el segundo número es volumen TOTAL, en cc</w:t>
      </w:r>
    </w:p>
    <w:p>
      <w:r>
        <w:t>Se precisó que el segundo valor del código AI (área/volumen) representa el volumen auricular TOTAL, no simplemente "volumen". Se cambió la unidad de mililitros (ml) a centímetros cúbicos (cc), más acorde a la práctica clínica habitual, y se mantiene la indexación automática por superficie corporal cuando hay datos de peso y talla.</w:t>
      </w:r>
    </w:p>
    <w:p>
      <w:pPr>
        <w:pStyle w:val="Heading3"/>
      </w:pPr>
      <w:r>
        <w:t>Fisiopatología de la sobrecarga septal aplicada a la probabilidad de hipertensión pulmonar</w:t>
      </w:r>
    </w:p>
    <w:p>
      <w:r>
        <w:t>Se estableció la distinción clínica entre sobrecarga sistólica del septum (S/S) — que refleja sobrecarga de PRESIÓN del ventrículo derecho, relevante para hipertensión pulmonar — y sobrecarga diastólica (S/D) — que refleja sobrecarga de VOLUMEN (ej. comunicación interauricular), sin la misma implicación directa sobre la presión pulmonar. En consecuencia: S/S y S/SD (que incluye componente sistólico) ahora fuerzan directamente probabilidad ALTA para hipertensión pulmonar, incluso sin gradiente tricuspídeo (Sxx) medido. S/D aislada continúa siendo solo un criterio de apoyo, sin forzar por sí sola la probabilidad alta.</w:t>
      </w:r>
      <w:r>
        <w:t xml:space="preserve"> [ACTUALIZADO en la Decimocuarta Ronda: S/D también fuerza ALTA probabilidad de hipertensión pulmonar, igual que S/S y S/SD.]</w:t>
      </w:r>
    </w:p>
    <w:p>
      <w:pPr>
        <w:pStyle w:val="Heading3"/>
      </w:pPr>
      <w:r>
        <w:t>Aneurisma del septum interauricular — descripción y conclusión reescritas para mayor claridad</w:t>
      </w:r>
    </w:p>
    <w:p>
      <w:r>
        <w:t>Nueva descripción anatómica: "Adelgazamiento aneurismático del septum interauricular en su tercio medio de ## x ## mm." La conclusión ahora distingue tres escenarios según el estado del foramen oval: sin ningún hallazgo de FOP → "ANEURISMA DEL SEPTUM INTERAURICULAR, SIN EVIDENCIA DE CORTOCIRCUITO."; con FOP dudoso (código FOP?) → "...(PROBABLE FORAMEN OVAL PERMEABLE)."; con FOP confirmado (con medidas) → "...(ASOCIADO A FORAMEN OVAL PERMEABLE)." Se reemplazó la frase anterior "(HALLAZGO ESTRUCTURAL ASOCIADO)", identificada como poco clara para médicos ajenos al desarrollo del sistema, que no comunicaba explícitamente la relación con el foramen oval.</w:t>
      </w:r>
    </w:p>
    <w:p>
      <w:pPr>
        <w:pStyle w:val="Heading3"/>
      </w:pPr>
      <w:r>
        <w:t>EXCAVADO — nueva condición</w:t>
      </w:r>
    </w:p>
    <w:p>
      <w:r>
        <w:t>Tórax excavado (pectus excavatum), agregado a la línea CONDICION del encabezado del informe.</w:t>
      </w:r>
    </w:p>
    <w:p>
      <w:pPr>
        <w:pStyle w:val="Heading1"/>
      </w:pPr>
      <w:r>
        <w:t>Módulo — Octava Ronda: Integración de IP en HP, Concordancia Gramatical y Duplicado en APEX BI</w:t>
      </w:r>
    </w:p>
    <w:p>
      <w:r>
        <w:t>Ronda breve de tres correcciones puntuales identificadas por revisión clínica cuidadosa de las conclusiones generadas.</w:t>
      </w:r>
    </w:p>
    <w:p>
      <w:pPr>
        <w:pStyle w:val="Heading3"/>
      </w:pPr>
      <w:r>
        <w:t>IP (regurgitación pulmonar) integrada en la conclusión de hipertensión pulmonar</w:t>
      </w:r>
    </w:p>
    <w:p>
      <w:r>
        <w:t>El código IP con gradiente ahora se incorpora a la línea de conclusión de hipertensión pulmonar, igual que ya ocurría con la tricúspide. Cuando solo hay hallazgo pulmonar: "REGURGITACION VALVULAR PULMONAR CON [probabilidad] PARA HIPERTENSION PULMONAR." Cuando coexisten pulmonar y tricúspide: "REGURGITACION VALVULAR PULMONAR Y TRICUSPIDEA CON [probabilidad] PARA HIPERTENSION PULMONAR." Antes, IP nunca aparecía en esta conclusión a pesar de estar correctamente descrito en Doppler.</w:t>
      </w:r>
    </w:p>
    <w:p>
      <w:pPr>
        <w:pStyle w:val="Heading3"/>
      </w:pPr>
      <w:r>
        <w:t>Concordancia de género corregida: "Jet" es masculino</w:t>
      </w:r>
    </w:p>
    <w:p>
      <w:r>
        <w:t>Las frases de Doppler ("Jet de regurgitación... [grado]") usaban los mismos adjetivos de grado definidos originalmente para concordar con "insuficiencia" (femenino, usado en conclusiones). Como "jet" es masculino, se agregó una función de conversión que ajusta "moderada"→"moderado" y "severa"→"severo" específicamente en las cuatro descripciones de Doppler (mitral, aórtica, pulmonar, tricuspídea), sin afectar el género correcto ya existente en las conclusiones.</w:t>
      </w:r>
    </w:p>
    <w:p>
      <w:pPr>
        <w:pStyle w:val="Heading3"/>
      </w:pPr>
      <w:r>
        <w:t>Duplicación corregida: APEX BI / APEX DER</w:t>
      </w:r>
    </w:p>
    <w:p>
      <w:r>
        <w:t>Se identificó que la dilatación de cavidades derechas por APEX BI o APEX DER (sin gradiente tricuspídeo medido) generaba dos menciones simultáneas en conclusiones: una línea independiente ("DILATACION DE CAVIDADES DERECHAS.") y otra integrada dentro de la frase de hipertensión pulmonar ("...CON DILATACION DE CAVIDADES DERECHAS."). Se eliminó la línea independiente redundante, ya que la integrada la cubre en todos los escenarios posibles sin pérdida de información.</w:t>
      </w:r>
    </w:p>
    <w:p>
      <w:pPr>
        <w:pStyle w:val="Heading1"/>
      </w:pPr>
      <w:r>
        <w:t>Módulo — Novena Ronda: Estenosis Mitral Consistente, Dilatación Ventricular Automática y Localización de Contraste</w:t>
      </w:r>
    </w:p>
    <w:p>
      <w:r>
        <w:t>Ronda extensa de seis correcciones identificadas mediante revisión cruzada de una hoja de Excel real con múltiples pacientes contra sus informes generados.</w:t>
      </w:r>
    </w:p>
    <w:p>
      <w:pPr>
        <w:pStyle w:val="Heading3"/>
      </w:pPr>
      <w:r>
        <w:t>CM+ANILLO — nuevo código combinado para válvula mitral</w:t>
      </w:r>
    </w:p>
    <w:p>
      <w:r>
        <w:t>Análogo a EM+ANILLO: describe esclerosis y calcificación de las hojuelas mitrales junto con calcio en el anillo valvular en una sola línea.</w:t>
      </w:r>
    </w:p>
    <w:p>
      <w:pPr>
        <w:pStyle w:val="Heading3"/>
      </w:pPr>
      <w:r>
        <w:t>BUG CRÍTICO corregido: contradicción entre descripción y conclusión en estenosis mitral (SM)</w:t>
      </w:r>
    </w:p>
    <w:p>
      <w:r>
        <w:t>El código SM generaba una contradicción real: la descripción decía "Mitral normal excursionando adecuadamente" (o simplemente "excursionando adecuadamente") mientras que la conclusión afirmaba "ESTENOSIS MITRAL" — dos afirmaciones incompatibles en el mismo informe. Corregido: la descripción base ahora refleja correctamente la restricción ("Válvula mitral con restricción de su apertura.", integrándose con la morfología si coexiste). Adicionalmente, se corrigió que la conclusión de estenosis mitral requería obligatoriamente un valor de AVM para generarse — ahora se genera siempre que se dicte SM, con o sin AVM.</w:t>
      </w:r>
    </w:p>
    <w:p>
      <w:pPr>
        <w:pStyle w:val="Heading3"/>
      </w:pPr>
      <w:r>
        <w:t>Estenosis mitral integrada con dilatación auricular izquierda</w:t>
      </w:r>
    </w:p>
    <w:p>
      <w:r>
        <w:t>Siguiendo el mismo patrón ya usado para insuficiencia mitral, cuando coexisten SM (estenosis) y AI dilatada, se genera una sola conclusión integrada: "ESTENOSIS MITRAL [GRADO] (AVM ## CM²) CON DILATACION AURICULAR IZQUIERDA ASOCIADA." en vez de dos líneas separadas.</w:t>
      </w:r>
    </w:p>
    <w:p>
      <w:pPr>
        <w:pStyle w:val="Heading3"/>
      </w:pPr>
      <w:r>
        <w:t>SEPTUM ↓↑ — orden inverso reconocido</w:t>
      </w:r>
    </w:p>
    <w:p>
      <w:r>
        <w:t>El código de septum con adelgazamiento y aumento de ecodensidad combinados ahora se reconoce tanto en el orden ↑↓ como ↓↑.</w:t>
      </w:r>
    </w:p>
    <w:p>
      <w:pPr>
        <w:pStyle w:val="Heading3"/>
      </w:pPr>
      <w:r>
        <w:t>Contraste espontáneo (HUMO/CE/SMOK/SMOCK) con localización explícita</w:t>
      </w:r>
    </w:p>
    <w:p>
      <w:r>
        <w:t>La descripción y conclusión ahora especifican "...en ventrículo izquierdo" por defecto, en vez de solo "intracavitario" sin mayor precisión anatómica.</w:t>
      </w:r>
    </w:p>
    <w:p>
      <w:pPr>
        <w:pStyle w:val="Heading3"/>
      </w:pPr>
      <w:r>
        <w:t>Dilatación ventricular izquierda por diámetro — respaldo automático</w:t>
      </w:r>
    </w:p>
    <w:p>
      <w:r>
        <w:t>Siguiendo el mismo principio ya aplicado a la aurícula izquierda, si el médico no dicta un código explícito de dilatación ventricular (VI DIL o VI↑), el sistema ahora clasifica automáticamente como dilatado cuando el diámetro diastólico (de la secuencia fija de 7 medidas) es ≥5.7 cm. Esto corrige casos donde un diámetro claramente anormal (ej. 6.9 cm) se describía erróneamente como "diámetros adecuados" por falta de un código explícito.</w:t>
      </w:r>
    </w:p>
    <w:p>
      <w:pPr>
        <w:pStyle w:val="Heading1"/>
      </w:pPr>
      <w:r>
        <w:t>Módulo — Décima Ronda: Consolidación de Contradicciones, Fusión de Conclusiones y Reubicación de Hallazgos</w:t>
      </w:r>
    </w:p>
    <w:p>
      <w:r>
        <w:t>Ronda extensa dedicada a la coherencia interna del informe: eliminar contradicciones entre descripción y conclusión, fusionar conclusiones relacionadas en una sola línea siguiendo el principio establecido desde el inicio del proyecto ("Anatomía → Función → Severidad", sin frases repetidas o redundantes), y reubicar hallazgos en la sección anatómicamente correcta.</w:t>
      </w:r>
    </w:p>
    <w:p>
      <w:pPr>
        <w:pStyle w:val="Heading3"/>
      </w:pPr>
      <w:r>
        <w:t>CA+ANILLO — nuevo código combinado para válvula aórtica</w:t>
      </w:r>
    </w:p>
    <w:p>
      <w:r>
        <w:t>Análogo a EA+ANILLO: describe esclerosis y calcificación de las hojuelas aórticas junto con calcio en el anillo valvular en una sola línea.</w:t>
      </w:r>
    </w:p>
    <w:p>
      <w:pPr>
        <w:pStyle w:val="Heading3"/>
      </w:pPr>
      <w:r>
        <w:t>BUG corregido: prótesis valvular con insuficiencia generaba dos conclusiones contradictorias</w:t>
      </w:r>
    </w:p>
    <w:p>
      <w:r>
        <w:t>Cuando una prótesis (mitral o aórtica) coexistía con un código de insuficiencia, el sistema generaba dos líneas: "PROTESIS...NORMOFUNCIONANTE" y, por separado, "INSUFICIENCIA VALVULAR..." — contradictorio, ya que una prótesis con insuficiencia relevante no puede considerarse simultáneamente normofuncionante. Corregido: ahora se integra en una sola línea, "PROTESIS VALVULAR [VÁLVULA] (código) CON INSUFICIENCIA [GRADO].", reservando "NORMOFUNCIONANTE" únicamente para cuando no hay insuficiencia dictada.</w:t>
      </w:r>
    </w:p>
    <w:p>
      <w:pPr>
        <w:pStyle w:val="Heading3"/>
      </w:pPr>
      <w:r>
        <w:t>BUG corregido: PERICARDIO sin valor perdía la mención de derrame</w:t>
      </w:r>
    </w:p>
    <w:p>
      <w:r>
        <w:t>El código PERICARDIO usado solo (sin espesor ni volumen dictado) generaba la conclusión "INFLAMACION PERICARDICA" sin ninguna mención de derrame. Corregido: ahora siempre antepone "DERRAME PERICARDICO LEVE" (asumiendo severidad leve por defecto cuando no hay valor cuantitativo) seguido de "CON SIGNOS DE INFLAMACION PERICARDICA" cuando corresponde.</w:t>
      </w:r>
    </w:p>
    <w:p>
      <w:pPr>
        <w:pStyle w:val="Heading3"/>
      </w:pPr>
      <w:r>
        <w:t>BUG corregido: DPP nunca se incluía en la descripción</w:t>
      </w:r>
    </w:p>
    <w:p>
      <w:r>
        <w:t>El valor numérico del código DPP (espesor del halo pericárdico posterior) se capturaba correctamente pero nunca se reflejaba en el texto de la descripción, que solo consideraba el código DP (anterior). Corregido: la descripción ahora distingue explícitamente "de predominio anterior" y "de predominio posterior", incluyendo el espesor o volumen correspondiente a cada uno, pudiendo combinarse si ambos se dictan.</w:t>
      </w:r>
    </w:p>
    <w:p>
      <w:pPr>
        <w:pStyle w:val="Heading3"/>
      </w:pPr>
      <w:r>
        <w:t>SEGMENTARIA? — nuevo sinónimo</w:t>
      </w:r>
    </w:p>
    <w:p>
      <w:r>
        <w:t>Reconocido igual que SEG? (contractilidad segmentaria no valorable adecuadamente).</w:t>
      </w:r>
    </w:p>
    <w:p>
      <w:pPr>
        <w:pStyle w:val="Heading3"/>
      </w:pPr>
      <w:r>
        <w:t>Corrección de coherencia clínica: función VI conservada con alteraciones segmentarias</w:t>
      </w:r>
    </w:p>
    <w:p>
      <w:r>
        <w:t>Se corrigió la contradicción lógica de decir "función ventricular izquierda conservada de origen isquémico" (una función conservada no puede tener "origen" isquémico). Ahora, cuando la FEVI está conservada pero existen alteraciones segmentarias, la conclusión es: "FUNCION VENTRICULAR IZQUIERDA CONSERVADA CON ALTERACIONES SEGMENTARIAS QUE SUGIEREN SUSTRATO ISQUEMICO." Los casos con función disminuida o severamente disminuida mantienen la frase "DE ORIGEN ISQUEMICO", donde sí es clínicamente apropiada.</w:t>
      </w:r>
    </w:p>
    <w:p>
      <w:pPr>
        <w:pStyle w:val="Heading3"/>
      </w:pPr>
      <w:r>
        <w:t>BUG corregido: estenosis aórtica (SA) generaba la misma contradicción que SM en mitral</w:t>
      </w:r>
    </w:p>
    <w:p>
      <w:r>
        <w:t>El código SA describía simultáneamente "apertura conservada" y "limitación para su apertura" en la misma frase. Corregido con el mismo mecanismo aplicado previamente a SM: la base descriptiva ahora refleja "con limitación para su apertura" cuando SA está presente, sin mencionar apertura conservada.</w:t>
      </w:r>
    </w:p>
    <w:p>
      <w:pPr>
        <w:pStyle w:val="Heading3"/>
      </w:pPr>
      <w:r>
        <w:t>Gradiente aórtico reubicado de Válvulas a Doppler</w:t>
      </w:r>
    </w:p>
    <w:p>
      <w:r>
        <w:t>El gradiente transvalvular aórtico (código A##/##) se describía dentro de la sección de Válvulas, siendo en realidad una medición Doppler. Se trasladó a la sección de Doppler del informe, donde corresponde anatómicamente.</w:t>
      </w:r>
    </w:p>
    <w:p>
      <w:pPr>
        <w:pStyle w:val="Heading3"/>
      </w:pPr>
      <w:r>
        <w:t>Estenosis e insuficiencia aórtica integradas en una sola conclusión</w:t>
      </w:r>
    </w:p>
    <w:p>
      <w:r>
        <w:t>Cuando coexisten estenosis (SA) e insuficiencia (IA) aórtica, antes se generaban dos líneas de conclusión separadas. Ahora se integran siguiendo el orden establecido del proyecto (morfología → estenosis → insuficiencia) en una sola línea: "[MORFOLOGIA] CON ESTENOSIS [GRADO] CON INSUFICIENCIA [GRADO]."</w:t>
      </w:r>
    </w:p>
    <w:p>
      <w:pPr>
        <w:pStyle w:val="Heading3"/>
      </w:pPr>
      <w:r>
        <w:t>Contraste espontáneo (CE/HUMO) reubicado en descripción y fusionado en conclusión</w:t>
      </w:r>
    </w:p>
    <w:p>
      <w:r>
        <w:t>La descripción del contraste espontáneo se trasladó de la sección "Hallazgos especiales" a la descripción del Ventrículo izquierdo dentro de Cavidades, ya que por defecto se localiza allí. La conclusión dejó de ser una línea independiente y ahora se integra como sufijo ("CON CONTRASTE ESPONTANEO INTRACAVITARIO") dentro de la línea de función ventricular izquierda, cualquiera sea su variante.</w:t>
      </w:r>
    </w:p>
    <w:p>
      <w:pPr>
        <w:pStyle w:val="Heading3"/>
      </w:pPr>
      <w:r>
        <w:t>DISINCRONIA — nuevo código</w:t>
      </w:r>
    </w:p>
    <w:p>
      <w:r>
        <w:t>Describe "Movimiento disincrónico septal." en la sección de contractilidad segmentaria. A diferencia de las alteraciones segmentarias por hipoquinesia/aquinesia/discinesia, este hallazgo NO activa la frase de "sustrato isquémico", ya que la disincronía septal se relaciona típicamente con trastornos de conducción eléctrica (ej. bloqueo de rama) y no con isquemia miocárdica.</w:t>
      </w:r>
    </w:p>
    <w:p>
      <w:pPr>
        <w:pStyle w:val="Heading3"/>
      </w:pPr>
      <w:r>
        <w:t>Hipertrofia ventricular izquierda integrada con función sistólica</w:t>
      </w:r>
    </w:p>
    <w:p>
      <w:r>
        <w:t>Siguiendo el mismo principio de fusión de conclusiones relacionadas, la hipertrofia ventricular izquierda (con o sin patrón geométrico específico) ya no genera una conclusión independiente, sino que se integra como sufijo dentro de la línea de función ventricular izquierda correspondiente, en cualquiera de sus cuatro variantes posibles.</w:t>
      </w:r>
    </w:p>
    <w:p>
      <w:pPr>
        <w:pStyle w:val="Heading3"/>
      </w:pPr>
      <w:r>
        <w:t>IOT — frase definitiva</w:t>
      </w:r>
    </w:p>
    <w:p>
      <w:r>
        <w:t>Se reemplazó por completo la frase anterior. La nueva frase, neutral en género, es: "Paciente en ventilación mecánica con intubación orotraqueal y en decúbito dorsal."</w:t>
      </w:r>
    </w:p>
    <w:p>
      <w:pPr>
        <w:pStyle w:val="Heading3"/>
      </w:pPr>
      <w:r>
        <w:t>IA EMI — nuevo sinónimo</w:t>
      </w:r>
    </w:p>
    <w:p>
      <w:r>
        <w:t>Reconocido igual que "IA ex mit": insuficiencia aórtica excéntrica dirigida hacia el velo anterior de la válvula mitral.</w:t>
      </w:r>
    </w:p>
    <w:p>
      <w:pPr>
        <w:pStyle w:val="Heading1"/>
      </w:pPr>
      <w:r>
        <w:t>Módulo — Undécima Ronda: Prótesis Biológica, Trombo Apical, Prolapso y Bug de Parseo de Cama</w:t>
      </w:r>
    </w:p>
    <w:p>
      <w:r>
        <w:t>Ronda de correcciones puntuales identificadas en revisión clínica exhaustiva de casos reales, incluyendo un bug de parseo que causaba pérdida silenciosa del nombre del paciente en camas con formato compuesto.</w:t>
      </w:r>
    </w:p>
    <w:p>
      <w:pPr>
        <w:pStyle w:val="Heading3"/>
      </w:pPr>
      <w:r>
        <w:t>PVAB — prótesis biológica aórtica con frase específica</w:t>
      </w:r>
    </w:p>
    <w:p>
      <w:r>
        <w:t>A diferencia del formato genérico de otras prótesis, PVAB ahora tiene wording dedicado sin mostrar el código en el texto: descripción "Prótesis biológica en posición aórtica con mecanismo oclusor funcionante."; conclusión "PROTESIS VALVULAR AORTICA BIOLOGICA FUNCIONANTE." (o con insuficiencia integrada si corresponde). De paso se corrigió un bug de agrupación en la expresión regular que afectaba el anclado de PVAM/PVAB.</w:t>
      </w:r>
    </w:p>
    <w:p>
      <w:pPr>
        <w:pStyle w:val="Heading3"/>
      </w:pPr>
      <w:r>
        <w:t>Trombo apical del ventrículo izquierdo reubicado en la descripción</w:t>
      </w:r>
    </w:p>
    <w:p>
      <w:r>
        <w:t>Cuando el trombo (código TX) se localiza en el ápex del ventrículo izquierdo — por defecto o explícitamente — su descripción ya no aparece en "Hallazgos especiales", sino integrada dentro de la descripción del Ventrículo izquierdo en Cavidades: "Imagen ecodensa en ápex cardiaco que sugiere trombo de ## x ## mm." La conclusión mantiene su prioridad alta habitual, sin cambios. Otras localizaciones del trombo (aurícula derecha, aurícula izquierda, etc.) continúan describiéndose en Hallazgos especiales como antes.</w:t>
      </w:r>
    </w:p>
    <w:p>
      <w:pPr>
        <w:pStyle w:val="Heading3"/>
      </w:pPr>
      <w:r>
        <w:t>Prolapso mitral (PM1/PM2/PM3) con severidad e integración completa</w:t>
      </w:r>
    </w:p>
    <w:p>
      <w:r>
        <w:t>PM1 obtuvo una frase clínica específica: "rectificación leve de sus velos (sugestivo de prolapso leve)", que se integra con la morfología valvular (esclerosis/calcificación) en lugar de reemplazarla por completo como ocurría antes. La conclusión ahora combina en una sola línea: morfología, prolapso, insuficiencia (cuando la hay) y dilatación auricular izquierda asociada (cuando la hay), siguiendo el principio de fusión establecido para todo el proyecto.</w:t>
      </w:r>
    </w:p>
    <w:p>
      <w:pPr>
        <w:pStyle w:val="Heading3"/>
      </w:pPr>
      <w:r>
        <w:t>BUG corregido: dilatación del ventrículo izquierdo ausente en conclusiones</w:t>
      </w:r>
    </w:p>
    <w:p>
      <w:r>
        <w:t>Se detectó que la dilatación ventricular izquierda (ya fuera dictada explícitamente con VI DIL/VI↑, o detectada automáticamente por diámetro ≥5.7 cm) se describía correctamente pero no generaba ninguna conclusión cuando no coincidía con un patrón de hipertrofia clasificable (por ejemplo, cuando no se conocía el sexo del paciente). Corregido: se agregó un sufijo "CON DILATACION DEL VENTRICULO IZQUIERDO" a las cuatro variantes de la línea de función ventricular izquierda, evitando duplicación cuando el hallazgo ya está cubierto por hipertrofia excéntrica o remodelado excéntrico.</w:t>
      </w:r>
    </w:p>
    <w:p>
      <w:pPr>
        <w:pStyle w:val="Heading3"/>
      </w:pPr>
      <w:r>
        <w:t>BUG corregido nuevamente: CMP↓ seguía siendo contradictorio en un caso</w:t>
      </w:r>
    </w:p>
    <w:p>
      <w:r>
        <w:t>Una revisión adicional confirmó que la corrección anterior de CMP↓ no cubría todos los casos: seguía apareciendo "Mitral excursionando adecuadamente" junto con "restricción de su excursión" en la misma descripción. Corregido de forma definitiva: cuando CMP↓ está presente, la descripción nunca afirma excursión adecuada.</w:t>
      </w:r>
    </w:p>
    <w:p>
      <w:pPr>
        <w:pStyle w:val="Heading3"/>
      </w:pPr>
      <w:r>
        <w:t>BUG corregido: límite de gradiente tricuspídeo excluía el valor exacto de 40 mmHg</w:t>
      </w:r>
    </w:p>
    <w:p>
      <w:r>
        <w:t>El umbral de clasificación de probabilidad de hipertensión pulmonar usaba "Sxx ≤ 40 → baja probabilidad" de forma incondicional, sin considerar signos de sobrecarga derecha (por ejemplo, dilatación de cavidades derechas) cuando el gradiente era exactamente 40 mmHg. Corregido: el umbral para "baja" automática ahora es estrictamente menor a 40 (Sxx &lt; 40); un valor de exactamente 40 mmHg evalúa la sobrecarga derecha antes de clasificar, pudiendo escalar a probabilidad intermedia o alta según corresponda.</w:t>
      </w:r>
    </w:p>
    <w:p>
      <w:pPr>
        <w:pStyle w:val="Heading3"/>
      </w:pPr>
      <w:r>
        <w:t>BUG IMPORTANTE corregido: pérdida del nombre del paciente en camas con espacio</w:t>
      </w:r>
    </w:p>
    <w:p>
      <w:r>
        <w:t>Se descubrió un bug de parseo real: cuando el número de cama incluía un espacio interno (por ejemplo, "603 A", un ala u observación de cama), el mecanismo tolerante que detecta "cama y nombre juntos en la misma línea" interpretaba erróneamente la letra suelta después del espacio como si fuera el nombre completo del paciente, dejando el nombre real (en la siguiente línea) sin procesar y apareciendo incorrectamente en "CODIGOS NO RECONOCIDOS". Corregido: el mecanismo tolerante ahora exige que el texto capturado como posible nombre contenga al menos dos palabras (nombre y apellido), evitando que un sufijo corto de cama se confunda con un nombre real.</w:t>
      </w:r>
    </w:p>
    <w:p>
      <w:pPr>
        <w:pStyle w:val="Heading3"/>
      </w:pPr>
      <w:r>
        <w:t>em↑ — nuevo código de morfología mitral</w:t>
      </w:r>
    </w:p>
    <w:p>
      <w:r>
        <w:t>Combinación no contemplada anteriormente: "em" minúscula (leve esclerosis) junto con la flecha de engrosamiento (↑). Ahora describe "leve esclerosis y engrosamiento en sus hojuelas", distinguiéndose tanto de "em" sola (solo leve esclerosis) como de "EM↑" en mayúscula (esclerosis y engrosamiento, sin el calificativo "leve").</w:t>
      </w:r>
    </w:p>
    <w:p>
      <w:pPr>
        <w:pStyle w:val="Heading3"/>
      </w:pPr>
      <w:r>
        <w:t>Extrasistolia fusionada con la línea de apertura del informe</w:t>
      </w:r>
    </w:p>
    <w:p>
      <w:r>
        <w:t>Siguiendo el mismo principio de fusión de conclusiones aplicado durante toda esta sesión, los códigos ESV, EV y EXTRASIST ya no generan una conclusión independiente ("FRECUENTE EXTRASISTOLIA."), sino que se integran directamente en la primera línea de conclusiones: "ESTUDIO ECOCARDIOGRAFICO REALIZADO EN RITMO [ritmo] CON FRECUENTE EXTRASISTOLIA [TIPO]." Cuando coexiste con BIGEMINISMO, ambos hallazgos se combinan en la misma línea.</w:t>
      </w:r>
    </w:p>
    <w:p>
      <w:pPr>
        <w:pStyle w:val="Heading3"/>
      </w:pPr>
      <w:r>
        <w:t>PM1/PM2/PM3 — escala de severidad simplificada (ajuste final)</w:t>
      </w:r>
    </w:p>
    <w:p>
      <w:r>
        <w:t>Se reemplazó la frase elaborada de PM1 ("rectificación leve de sus velos, sugestivo de prolapso leve") por una escala uniforme y más simple aplicable a los tres grados: PM1 → "prolapso leve de sus velos"; PM2 → "prolapso moderado de sus velos"; PM3 → "prolapso marcado de sus velos". El mismo texto se usa tanto en la descripción (minúsculas, integrado con la morfología valvular si coexiste) como en la conclusión (mayúsculas, integrada con insuficiencia y dilatación auricular izquierda cuando aplica).</w:t>
      </w:r>
    </w:p>
    <w:p>
      <w:pPr>
        <w:pStyle w:val="Heading1"/>
      </w:pPr>
      <w:r>
        <w:t>Módulo — Duodécima Ronda: Doppler tisular, E/e' automático y correcciones de reconocimiento</w:t>
      </w:r>
    </w:p>
    <w:p>
      <w:r>
        <w:t>Ronda centrada en datos que se perdían sin aviso: valores que se guardaban pero no se escribían, y variantes de escritura que no se reconocían.</w:t>
      </w:r>
    </w:p>
    <w:p>
      <w:pPr>
        <w:pStyle w:val="Heading3"/>
      </w:pPr>
      <w:r>
        <w:t>IAEM — sinónimo de IA EMI</w:t>
      </w:r>
    </w:p>
    <w:p>
      <w:r>
        <w:t>Insuficiencia aórtica excéntrica dirigida al velo anterior mitral. Antes se leía como IA central y el EM se descartaba sin aviso.</w:t>
      </w:r>
    </w:p>
    <w:p>
      <w:pPr>
        <w:pStyle w:val="Heading3"/>
      </w:pPr>
      <w:r>
        <w:t>BUG corregido: SEPT VIBRADO / SEPTUM VIBRADO</w:t>
      </w:r>
    </w:p>
    <w:p>
      <w:r>
        <w:t>Estas variantes se interpretaban como SEPTUM genérico y no escribían nada. Ahora describen "Septum interventricular con movimiento vibrado."</w:t>
      </w:r>
    </w:p>
    <w:p>
      <w:pPr>
        <w:pStyle w:val="Heading3"/>
      </w:pPr>
      <w:r>
        <w:t>E' lateral/septal: variantes de comilla y descripción en Doppler</w:t>
      </w:r>
    </w:p>
    <w:p>
      <w:r>
        <w:t>E'##, E´## y E’## se reconocen igual. El valor ahora se escribe en Doppler ("Velocidad de la onda e' lateral basal por Doppler tisular de ## cm/seg."); con E' SEP ## se describe la velocidad septal. Antes el valor se guardaba pero no aparecía en el informe.</w:t>
      </w:r>
    </w:p>
    <w:p>
      <w:pPr>
        <w:pStyle w:val="Heading3"/>
      </w:pPr>
      <w:r>
        <w:t>E/e' automático</w:t>
      </w:r>
    </w:p>
    <w:p>
      <w:r>
        <w:t>Cuando se dicta E/A y e' (lateral y/o septal), el motor calcula E/e' (con promedio si hay ambos e') y lo incluye como criterio del algoritmo de función diastólica y como línea de Doppler. Un E/e dictado directamente por el médico tiene prioridad. Queda pendiente decidir si, con criterios disponibles incompletos, más de la mitad positivos debe concluir disfunción diastólica (hoy exactamente 2 positivos = indeterminado).</w:t>
      </w:r>
    </w:p>
    <w:p>
      <w:pPr>
        <w:pStyle w:val="Heading3"/>
      </w:pPr>
      <w:r>
        <w:t>AVA — coma decimal y ubicación</w:t>
      </w:r>
    </w:p>
    <w:p>
      <w:r>
        <w:t>AVA 1,2 se leía como 1 cm². Corregido, y la descripción pasó a Doppler: "Área valvular aórtica calculada por continuidad de ## cm²."</w:t>
      </w:r>
    </w:p>
    <w:p>
      <w:pPr>
        <w:pStyle w:val="Heading3"/>
      </w:pPr>
      <w:r>
        <w:t>Morfología + ANILLO en una sola línea</w:t>
      </w:r>
    </w:p>
    <w:p>
      <w:r>
        <w:t>EAB, CAB, EMB, CMB, EA.., EM.., CM.. y variantes con flecha, seguidas de +ANILLO, ya no pierden el anillo: se describe "Anillo valvular calcificado." y la conclusión agrega "LEVE CALCIO EN SU ANILLO." EA/CA/EM/CM con +ANILLO conservan sus frases fusionadas específicas.</w:t>
      </w:r>
    </w:p>
    <w:p>
      <w:pPr>
        <w:pStyle w:val="Heading1"/>
      </w:pPr>
      <w:r>
        <w:t>Módulo — Decimotercera Ronda: Revisión de códigos no reconocidos</w:t>
      </w:r>
    </w:p>
    <w:p>
      <w:r>
        <w:t>Se revisó la lista filtrada de códigos que el motor no reconocía en el uso diario (37 códigos distintos). Se aceptaron variantes de escritura de códigos existentes, se definieron códigos nuevos con su frase y se decidió ignorar deliberadamente cinco (EPSTEIN, FO, EMB ↑, T54/38, AA11), que siguen apareciendo en la alerta de revisión manual.</w:t>
      </w:r>
    </w:p>
    <w:p>
      <w:pPr>
        <w:pStyle w:val="Heading3"/>
      </w:pPr>
      <w:r>
        <w:t>Variantes de escritura aceptadas</w:t>
      </w:r>
    </w:p>
    <w:p>
      <w:r>
        <w:t>PM 1/PM 3 con espacio, 4C ?/4 C?, SEGMENTRIA?, HK GENERAL/HPK GENERAL, HK - AS- M con espacios, EA .., M5/ sin espacio, BIGEMINA (= BIGEMINISMO), DIL (= VI dilatado), ANV ## (= AN VI, aneurisma apical), CM+ANILLO↑ (= CM↑ más anillo), FEVI ##% y rangos con espacios o % (57 - 60%), VEGETACION y EUSTACHIO como nombres completos de VEG y EUS.</w:t>
      </w:r>
    </w:p>
    <w:p>
      <w:pPr>
        <w:pStyle w:val="Heading3"/>
      </w:pPr>
      <w:r>
        <w:t>SEPTUM ## y DIASTOLE ## reemplazan la secuencia fija</w:t>
      </w:r>
    </w:p>
    <w:p>
      <w:r>
        <w:t>SEPTUM 12 (o SEPTIM 12) fija el septum en 1.2 cm y DIASTOLE 62 fija el diámetro diastólico del VI en 6.2 cm, reemplazando el valor de la secuencia de 7 medidas (enteros = mm; con decimal = cm). Bug corregido: SEPTUM 12 se interpretaba como "leve hipertrofia del septum" y el número se perdía sin aviso. Con DIASTOLE ≥5.7 cm se activa además la dilatación del VI en la conclusión.</w:t>
      </w:r>
    </w:p>
    <w:p>
      <w:pPr>
        <w:pStyle w:val="Heading3"/>
      </w:pPr>
      <w:r>
        <w:t>Condiciones nuevas</w:t>
      </w:r>
    </w:p>
    <w:p>
      <w:r>
        <w:t>D.DERECHO / D DERECHO → "Paciente en decúbito derecho". TRAQUEOSTOMIA → "Paciente con traqueostomía" (el código TX sigue siendo exclusivamente trombo). SX: → "Estudio realizado en cortes subxifoideos", análogo a 4C:.</w:t>
      </w:r>
    </w:p>
    <w:p>
      <w:pPr>
        <w:pStyle w:val="Heading3"/>
      </w:pPr>
      <w:r>
        <w:t>PERIC ## — pericardio inflamado con derrame</w:t>
      </w:r>
    </w:p>
    <w:p>
      <w:r>
        <w:t>Un valor ≥80 se toma como volumen en cc y uno &lt;80 como espesor en cm. La descripción no asume predominio anterior. La conclusión escribe el volumen entre paréntesis: "DERRAME PERICARDICO [severidad] (## CC) CON SIGNOS DE INFLAMACION PERICARDICA".</w:t>
      </w:r>
    </w:p>
    <w:p>
      <w:pPr>
        <w:pStyle w:val="Heading3"/>
      </w:pPr>
      <w:r>
        <w:t>TX? — trombo dudoso apical</w:t>
      </w:r>
    </w:p>
    <w:p>
      <w:r>
        <w:t>Descripción en el ventrículo izquierdo: "Imagen ecodensa en ápex cardiaco que sugiere trombo"; conclusión: "SUGIERE LA PRESENCIA DE TROMBO EN VENTRICULO IZQUIERDO". TX sin signo de interrogación conserva su conclusión definitiva.</w:t>
      </w:r>
    </w:p>
    <w:p>
      <w:pPr>
        <w:pStyle w:val="Heading3"/>
      </w:pPr>
      <w:r>
        <w:t>ABSCESO — absceso perivalvular</w:t>
      </w:r>
    </w:p>
    <w:p>
      <w:r>
        <w:t>Descripción en Hallazgos especiales: "Imagen sugestiva de absceso perivalvular de ## x ## cm, asociada a prótesis valvular." Conclusión: "SUGIERE LA PRESENCIA DE ABSCESO PERIVALVULAR ASOCIADO A PROTESIS VALVULAR" (con prioridad alta, junto a trombos y vegetaciones).</w:t>
      </w:r>
    </w:p>
    <w:p>
      <w:pPr>
        <w:pStyle w:val="Heading3"/>
      </w:pPr>
      <w:r>
        <w:t>APENDICE / AURICULILLA — apéndice auricular</w:t>
      </w:r>
    </w:p>
    <w:p>
      <w:r>
        <w:t>Códigos del diccionario original que nunca se habían implementado. Con base y profundidad en mm, describen: "Apéndice auricular libre, pequeño, con base de ## cm y profundidad ## cm, morfología en gorro de viento y libre de ecos." en la descripción de cavidades.</w:t>
      </w:r>
    </w:p>
    <w:p>
      <w:pPr>
        <w:pStyle w:val="Heading3"/>
      </w:pPr>
      <w:r>
        <w:t>BIVALVA? — válvula aórtica probablemente bivalva</w:t>
      </w:r>
    </w:p>
    <w:p>
      <w:r>
        <w:t>La descripción pasa de "Aórtica trivalva" a "Aórtica probablemente bivalva" y la conclusión agrega "VALVULA AORTICA PROBABLEMENTE BIVALVA" integrada con el resto de la conclusión aórtica. Impide la frase "ECOCARDIOGRAMA NORMAL".</w:t>
      </w:r>
    </w:p>
    <w:p>
      <w:pPr>
        <w:pStyle w:val="Heading3"/>
      </w:pPr>
      <w:r>
        <w:t>P ↑ ## — dilatación del tronco de la pulmonar</w:t>
      </w:r>
    </w:p>
    <w:p>
      <w:r>
        <w:t>"Dilatación del tronco de la pulmonar con diámetro de ## cm." en la descripción y "DILATACION DEL TRONCO DE LA PULMONAR (## CM)" en la conclusión. No se incorpora a la probabilidad de hipertensión pulmonar.</w:t>
      </w:r>
    </w:p>
    <w:p>
      <w:pPr>
        <w:pStyle w:val="Heading3"/>
      </w:pPr>
      <w:r>
        <w:t>Prótesis valvulares (PVAM, PVAB, PVMM, PVMB) — frase propia por tipo</w:t>
      </w:r>
    </w:p>
    <w:p>
      <w:r>
        <w:t>Convención: PV = prótesis valvular; tercera letra A/M = aórtica/mitral; cuarta letra M/B = mecánica/biológica. Las cuatro usan ahora el modelo antes reservado a PVAB: descripción "Prótesis [mecánica|biológica] en posición [aórtica|mitral] con mecanismo oclusor funcionante." y conclusión "PROTESIS VALVULAR [AORTICA|MITRAL] [MECANICA|BIOLOGICA] FUNCIONANTE." Si coexiste una insuficiencia, la conclusión pasa a "...CON INSUFICIENCIA [grado]." Ya no se imprime el código entre paréntesis ni la palabra "normofuncionante". Con una prótesis presente, los códigos de la válvula nativa (EM, EA, etc.) se ignoran deliberadamente.</w:t>
      </w:r>
    </w:p>
    <w:p>
      <w:pPr>
        <w:pStyle w:val="Heading1"/>
      </w:pPr>
      <w:r>
        <w:t>Módulo — Decimocuarta Ronda: Función diastólica según la guía ASE 2025 y ajustes de Doppler</w:t>
      </w:r>
    </w:p>
    <w:p>
      <w:r>
        <w:t>Se reemplazó el algoritmo de función diastólica de 2016 por el de la guía ASE 2025 y se incorporaron varios ajustes de reconocimiento de códigos y de redacción. La referencia es Nagueh SF et al., J Am Soc Echocardiogr 2025;38(7):537-569 (doi:10.1016/j.echo.2025.03.011). El detalle del algoritmo está en la sección "Algoritmo de disfunción diastólica (ASE 2025)".</w:t>
      </w:r>
    </w:p>
    <w:p>
      <w:pPr>
        <w:pStyle w:val="Heading3"/>
      </w:pPr>
      <w:r>
        <w:t>Algoritmo diastólico ASE 2025</w:t>
      </w:r>
    </w:p>
    <w:p>
      <w:r>
        <w:t>Reemplaza al de 2016. Es independiente de la FE, diagnostica con las Figuras 2 y 3 de la guía y no se aplica en fibrilación auricular, prótesis mitral ni estenosis mitral. Con el caso de referencia de prueba (E/A 60/100, e' lateral 7, S53, TRI 104) concluye disfunción diastólica grado 1.</w:t>
      </w:r>
    </w:p>
    <w:p>
      <w:pPr>
        <w:pStyle w:val="Heading3"/>
      </w:pPr>
      <w:r>
        <w:t>e' por edad y sin e' no se concluye nada</w:t>
      </w:r>
    </w:p>
    <w:p>
      <w:r>
        <w:t>Con edad dictada se usan los límites de la Tabla 6 de la guía; sin edad, los fijos de las figuras. Corrección: la versión anterior podía concluir una disfunción sin e' dictado cuando había dos marcadores (por ejemplo E/A 2.3 y volumen de AI alto). Ahora, sin e', no se escribe nada, porque la guía parte de e'.</w:t>
      </w:r>
    </w:p>
    <w:p>
      <w:pPr>
        <w:pStyle w:val="Heading3"/>
      </w:pPr>
      <w:r>
        <w:t>Código mixto H## / M##</w:t>
      </w:r>
    </w:p>
    <w:p>
      <w:r>
        <w:t>H65, H 65, M65 y M 65 fijan el sexo y la edad. El sexo actúa como H y M solos; la edad define los límites de e'. En modo ambulatorio la edad se imprime en el encabezado. No hay validación de rango; se exigen dos o tres dígitos para no confundir M 8/ con una edad.</w:t>
      </w:r>
    </w:p>
    <w:p>
      <w:pPr>
        <w:pStyle w:val="Heading3"/>
      </w:pPr>
      <w:r>
        <w:t>SDP — venas pulmonares</w:t>
      </w:r>
    </w:p>
    <w:p>
      <w:r>
        <w:t>SDP ##/## es la relación entre la onda S y la onda D de las venas pulmonares. Es una variable adicional: ≤0.67 indica presión de AI elevada. Con FE normal, un valor mayor de 0.67 no es informativo. No se usa S/D porque ese código ya es la sobrecarga septal diastólica.</w:t>
      </w:r>
    </w:p>
    <w:p>
      <w:pPr>
        <w:pStyle w:val="Heading3"/>
      </w:pPr>
      <w:r>
        <w:t>Función diastólica normal</w:t>
      </w:r>
    </w:p>
    <w:p>
      <w:r>
        <w:t>"FUNCION DIASTOLICA NORMAL" aparece cuando e' no está reducido, E/e' es normal y S## es de 31 mmHg o menos (corte único definido por el médico) y no hay disfunción según la Figura 2.</w:t>
      </w:r>
    </w:p>
    <w:p>
      <w:pPr>
        <w:pStyle w:val="Heading3"/>
      </w:pPr>
      <w:r>
        <w:t>Anillo mitral calcificado: EM + ANILLO ↑</w:t>
      </w:r>
    </w:p>
    <w:p>
      <w:r>
        <w:t>Denota engrosamiento y calcificación del anillo mitral. Descripción y conclusión lo integran con la esclerosis valvular. Como la guía excluye estos casos del algoritmo general, se aplica la Figura 4: E/A mayor de 1.8, o entre 0.8 y 1.8 con TRI menor de 80 ms, concluye "ELEVACION DE LA PRESION DE LLENADO DEL VENTRICULO IZQUIERDO". Si es normal no se escribe nada. CM+ANILLO↑ conserva su significado anterior.</w:t>
      </w:r>
    </w:p>
    <w:p>
      <w:pPr>
        <w:pStyle w:val="Heading3"/>
      </w:pPr>
      <w:r>
        <w:t>S/D fuerza ALTA probabilidad de HP</w:t>
      </w:r>
    </w:p>
    <w:p>
      <w:r>
        <w:t>S/S, S/SD y S/D fuerzan alta probabilidad de hipertensión pulmonar, aun con gradiente bajo. Reemplaza la regla anterior, en la que S/D no forzaba ALTA.</w:t>
      </w:r>
    </w:p>
    <w:p>
      <w:pPr>
        <w:pStyle w:val="Heading3"/>
      </w:pPr>
      <w:r>
        <w:t>Reconocimiento de códigos</w:t>
      </w:r>
    </w:p>
    <w:p>
      <w:r>
        <w:t>E/e', E/E' y E´/e´ con apóstrofe se reconocen como E/e. DD 2 con espacio equivale a DD2 y ya no se lee como decúbito dorsal; DD 4 avisa como no reconocido. DT/TD escriben su valor en Doppler. TRIV es sinónimo de TRI.</w:t>
      </w:r>
    </w:p>
    <w:p>
      <w:pPr>
        <w:pStyle w:val="Heading3"/>
      </w:pPr>
      <w:r>
        <w:t>Condiciones y redacción</w:t>
      </w:r>
    </w:p>
    <w:p>
      <w:r>
        <w:t>D DER, D DERECHO, D.DER y D.DERECHO describen "Paciente en decúbito lateral derecho". Se eliminó del informe el aviso "dictar sexo H/M para clasificar normal/anormal". Si se dictan varias fracciones de eyección (por ejemplo 65% y luego 69%), vale la última.</w:t>
      </w:r>
    </w:p>
    <w:p>
      <w:pPr>
        <w:pStyle w:val="Heading3"/>
      </w:pPr>
      <w:r>
        <w:t>Corte único S## = 31 mmHg</w:t>
      </w:r>
    </w:p>
    <w:p>
      <w:r>
        <w:t>La IT se considera aumentada cuando S## es mayor de 31 mmHg, equivalente a los 2.8 m/s de la guía, y la función diastólica puede declararse normal cuando S## es de 31 mmHg o menos. Un S## de 31 exacto cuenta como normal. Este corte reemplaza al de 34 mmHg que se había propuesto para la función normal, de modo que ya no existe una zona intermedia entre 31 y 34.</w:t>
      </w:r>
    </w:p>
    <w:p>
      <w:pPr>
        <w:pStyle w:val="Heading3"/>
      </w:pPr>
      <w:r>
        <w:t>Derrame pericárdico con inflamación: nueva redacción</w:t>
      </w:r>
    </w:p>
    <w:p>
      <w:r>
        <w:t>Cuando hay volumen y signos de inflamación pericárdica, la conclusión escribe el volumen entre paréntesis para evitar dos "CON" seguidos: "DERRAME PERICARDICO LEVE (140 CC) CON SIGNOS DE INFLAMACION PERICARDICA." Rige para PERIC con volumen y para DP con volumen más PERIC, con severidad leve hasta 150 cc, moderada de 151 a 300 y severa por encima de 300. Sin inflamación se conserva "DERRAME PERICARDICO LEVE, CON VOLUMEN ESTIMADO DE 140 CC." y sin volumen la frase no cambia.</w:t>
      </w:r>
    </w:p>
    <w:p>
      <w:pPr>
        <w:pStyle w:val="Heading3"/>
      </w:pPr>
      <w:r>
        <w:t>Edad sola: ## AÑOS y EDAD ##</w:t>
      </w:r>
    </w:p>
    <w:p>
      <w:r>
        <w:t>Se agregaron los formatos 23 AÑOS, 23AÑOS, 23 años, 23 AÑO, 23 ANOS y EDAD 23 (sin dos puntos), que guardan solo la edad. Antes salían como códigos no reconocidos; solo funcionaban EDAD:## y el código mixto H##/M##. Siguen exigiendo dos o tres dígitos y no validan el rango.</w:t>
      </w:r>
    </w:p>
    <w:p>
      <w:pPr>
        <w:pStyle w:val="Heading1"/>
        <w:spacing w:after="200" w:before="400"/>
      </w:pPr>
      <w:r>
        <w:t xml:space="preserve">Anexo — Registro de Decisiones de Diseño</w:t>
      </w:r>
    </w:p>
    <w:p>
      <w:pPr>
        <w:spacing w:after="120"/>
      </w:pPr>
      <w:r>
        <w:t xml:space="preserve">Este anexo documenta el motivo de cambios importantes del proyecto, para no perder contexto a medida que ORTIZNOR evoluciona.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79" w:val="clear"/>
            <w:tcMar>
              <w:top w:type="dxa" w:w="60"/>
              <w:left w:type="dxa" w:w="100"/>
              <w:bottom w:type="dxa" w:w="60"/>
              <w:right w:type="dxa" w:w="100"/>
            </w:tcMar>
          </w:tcPr>
          <w:p>
            <w:r>
              <w:rPr>
                <w:b/>
                <w:bCs/>
                <w:color w:val="FFFFFF"/>
                <w:sz w:val="20"/>
                <w:szCs w:val="20"/>
              </w:rPr>
              <w:t xml:space="preserve">Decisión</w:t>
            </w:r>
          </w:p>
        </w:tc>
        <w:tc>
          <w:tcPr>
            <w:tcW w:type="dxa" w:w="5400"/>
            <w:shd w:fill="1F4E79" w:val="clear"/>
            <w:tcMar>
              <w:top w:type="dxa" w:w="60"/>
              <w:left w:type="dxa" w:w="100"/>
              <w:bottom w:type="dxa" w:w="60"/>
              <w:right w:type="dxa" w:w="100"/>
            </w:tcMar>
          </w:tcPr>
          <w:p>
            <w:r>
              <w:rPr>
                <w:b/>
                <w:bCs/>
                <w:color w:val="FFFFFF"/>
                <w:sz w:val="20"/>
                <w:szCs w:val="20"/>
              </w:rPr>
              <w:t xml:space="preserve">Justificación</w:t>
            </w:r>
          </w:p>
        </w:tc>
      </w:tr>
      <w:tr>
        <w:tc>
          <w:tcPr>
            <w:tcW w:type="dxa" w:w="3600"/>
            <w:tcMar>
              <w:top w:type="dxa" w:w="60"/>
              <w:left w:type="dxa" w:w="100"/>
              <w:bottom w:type="dxa" w:w="60"/>
              <w:right w:type="dxa" w:w="100"/>
            </w:tcMar>
          </w:tcPr>
          <w:p>
            <w:r>
              <w:rPr>
                <w:b w:val="false"/>
                <w:bCs w:val="false"/>
                <w:color w:val="000000"/>
                <w:sz w:val="20"/>
                <w:szCs w:val="20"/>
              </w:rPr>
              <w:t xml:space="preserve">Mantener ASE/EACVI 2015 como base de cuantificación</w:t>
            </w:r>
          </w:p>
        </w:tc>
        <w:tc>
          <w:tcPr>
            <w:tcW w:type="dxa" w:w="5400"/>
            <w:tcMar>
              <w:top w:type="dxa" w:w="60"/>
              <w:left w:type="dxa" w:w="100"/>
              <w:bottom w:type="dxa" w:w="60"/>
              <w:right w:type="dxa" w:w="100"/>
            </w:tcMar>
          </w:tcPr>
          <w:p>
            <w:r>
              <w:rPr>
                <w:b w:val="false"/>
                <w:bCs w:val="false"/>
                <w:color w:val="000000"/>
                <w:sz w:val="20"/>
                <w:szCs w:val="20"/>
              </w:rPr>
              <w:t xml:space="preserve">Sigue siendo la referencia oficial vigente para valores normales de cavidades; se complementa (no se reemplaza) con conceptos de ASE 2025.</w:t>
            </w:r>
          </w:p>
        </w:tc>
      </w:tr>
      <w:tr>
        <w:tc>
          <w:tcPr>
            <w:tcW w:type="dxa" w:w="3600"/>
            <w:tcMar>
              <w:top w:type="dxa" w:w="60"/>
              <w:left w:type="dxa" w:w="100"/>
              <w:bottom w:type="dxa" w:w="60"/>
              <w:right w:type="dxa" w:w="100"/>
            </w:tcMar>
          </w:tcPr>
          <w:p>
            <w:r>
              <w:rPr>
                <w:b w:val="false"/>
                <w:bCs w:val="false"/>
                <w:color w:val="000000"/>
                <w:sz w:val="20"/>
                <w:szCs w:val="20"/>
              </w:rPr>
              <w:t xml:space="preserve">Incorporar ASE 2025 en diástole, corazón derecho y estandarización del reporte</w:t>
            </w:r>
          </w:p>
        </w:tc>
        <w:tc>
          <w:tcPr>
            <w:tcW w:type="dxa" w:w="5400"/>
            <w:tcMar>
              <w:top w:type="dxa" w:w="60"/>
              <w:left w:type="dxa" w:w="100"/>
              <w:bottom w:type="dxa" w:w="60"/>
              <w:right w:type="dxa" w:w="100"/>
            </w:tcMar>
          </w:tcPr>
          <w:p>
            <w:r>
              <w:rPr>
                <w:b w:val="false"/>
                <w:bCs w:val="false"/>
                <w:color w:val="000000"/>
                <w:sz w:val="20"/>
                <w:szCs w:val="20"/>
              </w:rPr>
              <w:t xml:space="preserve">Aporta un enfoque más fisiopatológico e integrador sin invalidar los valores de referencia de 2015.</w:t>
            </w:r>
          </w:p>
        </w:tc>
      </w:tr>
      <w:tr>
        <w:tc>
          <w:tcPr>
            <w:tcW w:type="dxa" w:w="3600"/>
            <w:tcMar>
              <w:top w:type="dxa" w:w="60"/>
              <w:left w:type="dxa" w:w="100"/>
              <w:bottom w:type="dxa" w:w="60"/>
              <w:right w:type="dxa" w:w="100"/>
            </w:tcMar>
          </w:tcPr>
          <w:p>
            <w:r>
              <w:rPr>
                <w:b w:val="false"/>
                <w:bCs w:val="false"/>
                <w:color w:val="000000"/>
                <w:sz w:val="20"/>
                <w:szCs w:val="20"/>
              </w:rPr>
              <w:t xml:space="preserve">AI y AD siempre se expresan como ÁREA, nunca diámetro</w:t>
            </w:r>
          </w:p>
        </w:tc>
        <w:tc>
          <w:tcPr>
            <w:tcW w:type="dxa" w:w="5400"/>
            <w:tcMar>
              <w:top w:type="dxa" w:w="60"/>
              <w:left w:type="dxa" w:w="100"/>
              <w:bottom w:type="dxa" w:w="60"/>
              <w:right w:type="dxa" w:w="100"/>
            </w:tcMar>
          </w:tcPr>
          <w:p>
            <w:r>
              <w:rPr>
                <w:b w:val="false"/>
                <w:bCs w:val="false"/>
                <w:color w:val="000000"/>
                <w:sz w:val="20"/>
                <w:szCs w:val="20"/>
              </w:rPr>
              <w:t xml:space="preserve">Evita ambigüedad de interpretación entre estudios y operadores.</w:t>
            </w:r>
          </w:p>
        </w:tc>
      </w:tr>
      <w:tr>
        <w:tc>
          <w:tcPr>
            <w:tcW w:type="dxa" w:w="3600"/>
            <w:tcMar>
              <w:top w:type="dxa" w:w="60"/>
              <w:left w:type="dxa" w:w="100"/>
              <w:bottom w:type="dxa" w:w="60"/>
              <w:right w:type="dxa" w:w="100"/>
            </w:tcMar>
          </w:tcPr>
          <w:p>
            <w:r>
              <w:rPr>
                <w:b w:val="false"/>
                <w:bCs w:val="false"/>
                <w:color w:val="000000"/>
                <w:sz w:val="20"/>
                <w:szCs w:val="20"/>
              </w:rPr>
              <w:t xml:space="preserve">TX como código general de trombo con formato diámetro mayor × menor</w:t>
            </w:r>
          </w:p>
        </w:tc>
        <w:tc>
          <w:tcPr>
            <w:tcW w:type="dxa" w:w="5400"/>
            <w:tcMar>
              <w:top w:type="dxa" w:w="60"/>
              <w:left w:type="dxa" w:w="100"/>
              <w:bottom w:type="dxa" w:w="60"/>
              <w:right w:type="dxa" w:w="100"/>
            </w:tcMar>
          </w:tcPr>
          <w:p>
            <w:r>
              <w:rPr>
                <w:b w:val="false"/>
                <w:bCs w:val="false"/>
                <w:color w:val="000000"/>
                <w:sz w:val="20"/>
                <w:szCs w:val="20"/>
              </w:rPr>
              <w:t xml:space="preserve">Estandariza el registro de masas y permite frases automáticas consistentes.</w:t>
            </w:r>
          </w:p>
        </w:tc>
      </w:tr>
      <w:tr>
        <w:tc>
          <w:tcPr>
            <w:tcW w:type="dxa" w:w="3600"/>
            <w:tcMar>
              <w:top w:type="dxa" w:w="60"/>
              <w:left w:type="dxa" w:w="100"/>
              <w:bottom w:type="dxa" w:w="60"/>
              <w:right w:type="dxa" w:w="100"/>
            </w:tcMar>
          </w:tcPr>
          <w:p>
            <w:r>
              <w:rPr>
                <w:b w:val="false"/>
                <w:bCs w:val="false"/>
                <w:color w:val="000000"/>
                <w:sz w:val="20"/>
                <w:szCs w:val="20"/>
              </w:rPr>
              <w:t xml:space="preserve">CE, HUMO, SMOK, SMOCK como sinónimos</w:t>
            </w:r>
          </w:p>
        </w:tc>
        <w:tc>
          <w:tcPr>
            <w:tcW w:type="dxa" w:w="5400"/>
            <w:tcMar>
              <w:top w:type="dxa" w:w="60"/>
              <w:left w:type="dxa" w:w="100"/>
              <w:bottom w:type="dxa" w:w="60"/>
              <w:right w:type="dxa" w:w="100"/>
            </w:tcMar>
          </w:tcPr>
          <w:p>
            <w:r>
              <w:rPr>
                <w:b w:val="false"/>
                <w:bCs w:val="false"/>
                <w:color w:val="000000"/>
                <w:sz w:val="20"/>
                <w:szCs w:val="20"/>
              </w:rPr>
              <w:t xml:space="preserve">Reconocimiento robusto de variaciones de dictado/escritura sin perder significado clínico.</w:t>
            </w:r>
          </w:p>
        </w:tc>
      </w:tr>
      <w:tr>
        <w:tc>
          <w:tcPr>
            <w:tcW w:type="dxa" w:w="3600"/>
            <w:tcMar>
              <w:top w:type="dxa" w:w="60"/>
              <w:left w:type="dxa" w:w="100"/>
              <w:bottom w:type="dxa" w:w="60"/>
              <w:right w:type="dxa" w:w="100"/>
            </w:tcMar>
          </w:tcPr>
          <w:p>
            <w:r>
              <w:rPr>
                <w:b w:val="false"/>
                <w:bCs w:val="false"/>
                <w:color w:val="000000"/>
                <w:sz w:val="20"/>
                <w:szCs w:val="20"/>
              </w:rPr>
              <w:t xml:space="preserve">Masas intracardíacas con máxima prioridad en conclusiones</w:t>
            </w:r>
          </w:p>
        </w:tc>
        <w:tc>
          <w:tcPr>
            <w:tcW w:type="dxa" w:w="5400"/>
            <w:tcMar>
              <w:top w:type="dxa" w:w="60"/>
              <w:left w:type="dxa" w:w="100"/>
              <w:bottom w:type="dxa" w:w="60"/>
              <w:right w:type="dxa" w:w="100"/>
            </w:tcMar>
          </w:tcPr>
          <w:p>
            <w:r>
              <w:rPr>
                <w:b w:val="false"/>
                <w:bCs w:val="false"/>
                <w:color w:val="000000"/>
                <w:sz w:val="20"/>
                <w:szCs w:val="20"/>
              </w:rPr>
              <w:t xml:space="preserve">Relevancia clínica y de seguridad del paciente (trombo, vegetación, tumor) por encima de hallazgos crónicos/estructurales.</w:t>
            </w:r>
          </w:p>
        </w:tc>
      </w:tr>
      <w:tr>
        <w:tc>
          <w:tcPr>
            <w:tcW w:type="dxa" w:w="3600"/>
            <w:tcMar>
              <w:top w:type="dxa" w:w="60"/>
              <w:left w:type="dxa" w:w="100"/>
              <w:bottom w:type="dxa" w:w="60"/>
              <w:right w:type="dxa" w:w="100"/>
            </w:tcMar>
          </w:tcPr>
          <w:p>
            <w:r>
              <w:rPr>
                <w:b w:val="false"/>
                <w:bCs w:val="false"/>
                <w:color w:val="000000"/>
                <w:sz w:val="20"/>
                <w:szCs w:val="20"/>
              </w:rPr>
              <w:t xml:space="preserve">TRI como parámetro de soporte, no decisor de diástole</w:t>
            </w:r>
          </w:p>
        </w:tc>
        <w:tc>
          <w:tcPr>
            <w:tcW w:type="dxa" w:w="5400"/>
            <w:tcMar>
              <w:top w:type="dxa" w:w="60"/>
              <w:left w:type="dxa" w:w="100"/>
              <w:bottom w:type="dxa" w:w="60"/>
              <w:right w:type="dxa" w:w="100"/>
            </w:tcMar>
          </w:tcPr>
          <w:p>
            <w:r>
              <w:rPr>
                <w:b w:val="false"/>
                <w:bCs w:val="false"/>
                <w:color w:val="000000"/>
                <w:sz w:val="20"/>
                <w:szCs w:val="20"/>
              </w:rPr>
              <w:t xml:space="preserve">Evita sobre-clasificar la función diastólica con un solo parámetro aislado.</w:t>
            </w:r>
          </w:p>
        </w:tc>
      </w:tr>
      <w:tr>
        <w:tc>
          <w:tcPr>
            <w:tcW w:type="dxa" w:w="3600"/>
            <w:tcMar>
              <w:top w:type="dxa" w:w="60"/>
              <w:left w:type="dxa" w:w="100"/>
              <w:bottom w:type="dxa" w:w="60"/>
              <w:right w:type="dxa" w:w="100"/>
            </w:tcMar>
          </w:tcPr>
          <w:p>
            <w:r>
              <w:rPr>
                <w:b w:val="false"/>
                <w:bCs w:val="false"/>
                <w:color w:val="000000"/>
                <w:sz w:val="20"/>
                <w:szCs w:val="20"/>
              </w:rPr>
              <w:t xml:space="preserve">El sistema nunca sobreinterpreta</w:t>
            </w:r>
          </w:p>
        </w:tc>
        <w:tc>
          <w:tcPr>
            <w:tcW w:type="dxa" w:w="5400"/>
            <w:tcMar>
              <w:top w:type="dxa" w:w="60"/>
              <w:left w:type="dxa" w:w="100"/>
              <w:bottom w:type="dxa" w:w="60"/>
              <w:right w:type="dxa" w:w="100"/>
            </w:tcMar>
          </w:tcPr>
          <w:p>
            <w:r>
              <w:rPr>
                <w:b w:val="false"/>
                <w:bCs w:val="false"/>
                <w:color w:val="000000"/>
                <w:sz w:val="20"/>
                <w:szCs w:val="20"/>
              </w:rPr>
              <w:t xml:space="preserve">Solo concluye cuando hay información suficiente; evita conclusiones no sustentadas (ej. "disfunción diastólica no clasificable" está prohibido).</w:t>
            </w:r>
          </w:p>
        </w:tc>
      </w:tr>
      <w:tr>
        <w:tc>
          <w:tcPr>
            <w:tcW w:type="dxa" w:w="3600"/>
            <w:tcMar>
              <w:top w:type="dxa" w:w="60"/>
              <w:left w:type="dxa" w:w="100"/>
              <w:bottom w:type="dxa" w:w="60"/>
              <w:right w:type="dxa" w:w="100"/>
            </w:tcMar>
          </w:tcPr>
          <w:p>
            <w:r>
              <w:rPr>
                <w:b w:val="false"/>
                <w:bCs w:val="false"/>
                <w:color w:val="000000"/>
                <w:sz w:val="20"/>
                <w:szCs w:val="20"/>
              </w:rPr>
              <w:t xml:space="preserve">Arquitectura offline / semi-offline</w:t>
            </w:r>
          </w:p>
        </w:tc>
        <w:tc>
          <w:tcPr>
            <w:tcW w:type="dxa" w:w="5400"/>
            <w:tcMar>
              <w:top w:type="dxa" w:w="60"/>
              <w:left w:type="dxa" w:w="100"/>
              <w:bottom w:type="dxa" w:w="60"/>
              <w:right w:type="dxa" w:w="100"/>
            </w:tcMar>
          </w:tcPr>
          <w:p>
            <w:r>
              <w:rPr>
                <w:b w:val="false"/>
                <w:bCs w:val="false"/>
                <w:color w:val="000000"/>
                <w:sz w:val="20"/>
                <w:szCs w:val="20"/>
              </w:rPr>
              <w:t xml:space="preserve">Prioriza estabilidad, velocidad y privacidad de datos clínicos; Internet solo para actualizar guías.</w:t>
            </w:r>
          </w:p>
        </w:tc>
      </w:tr>
      <w:tr>
        <w:tc>
          <w:tcPr>
            <w:tcW w:type="dxa" w:w="3600"/>
            <w:tcMar>
              <w:top w:type="dxa" w:w="60"/>
              <w:left w:type="dxa" w:w="100"/>
              <w:bottom w:type="dxa" w:w="60"/>
              <w:right w:type="dxa" w:w="100"/>
            </w:tcMar>
          </w:tcPr>
          <w:p>
            <w:r>
              <w:rPr>
                <w:b w:val="false"/>
                <w:bCs w:val="false"/>
                <w:color w:val="000000"/>
                <w:sz w:val="20"/>
                <w:szCs w:val="20"/>
              </w:rPr>
              <w:t xml:space="preserve">Separación conocimiento / interfaz</w:t>
            </w:r>
          </w:p>
        </w:tc>
        <w:tc>
          <w:tcPr>
            <w:tcW w:type="dxa" w:w="5400"/>
            <w:tcMar>
              <w:top w:type="dxa" w:w="60"/>
              <w:left w:type="dxa" w:w="100"/>
              <w:bottom w:type="dxa" w:w="60"/>
              <w:right w:type="dxa" w:w="100"/>
            </w:tcMar>
          </w:tcPr>
          <w:p>
            <w:r>
              <w:rPr>
                <w:b w:val="false"/>
                <w:bCs w:val="false"/>
                <w:color w:val="000000"/>
                <w:sz w:val="20"/>
                <w:szCs w:val="20"/>
              </w:rPr>
              <w:t xml:space="preserve">Permite que el mismo Motor ORTIZNOR alimente distintas plataformas futuras sin reconstruir la lógica clínica.</w:t>
            </w:r>
          </w:p>
        </w:tc>
      </w:tr>
    </w:tbl>
    <w:p>
      <w:pPr>
        <w:pStyle w:val="Heading1"/>
        <w:spacing w:after="200" w:before="400"/>
      </w:pPr>
      <w:r>
        <w:t xml:space="preserve">Estado del Proyecto</w:t>
      </w:r>
    </w:p>
    <w:p>
      <w:pPr>
        <w:spacing w:after="120"/>
      </w:pPr>
      <w:r>
        <w:t xml:space="preserve">Componentes ya definidos en este documento maestro:</w:t>
      </w:r>
    </w:p>
    <w:p>
      <w:pPr>
        <w:pStyle w:val="ListParagraph"/>
        <w:numPr>
          <w:ilvl w:val="0"/>
          <w:numId w:val="1"/>
        </w:numPr>
        <w:spacing w:after="60"/>
      </w:pPr>
      <w:r>
        <w:t xml:space="preserve">Lenguaje estructurado y filosofía general</w:t>
      </w:r>
    </w:p>
    <w:p>
      <w:pPr>
        <w:pStyle w:val="ListParagraph"/>
        <w:numPr>
          <w:ilvl w:val="0"/>
          <w:numId w:val="1"/>
        </w:numPr>
        <w:spacing w:after="60"/>
      </w:pPr>
      <w:r>
        <w:t xml:space="preserve">Diccionario clínico de códigos (más de 500 códigos consolidados)</w:t>
      </w:r>
    </w:p>
    <w:p>
      <w:pPr>
        <w:pStyle w:val="ListParagraph"/>
        <w:numPr>
          <w:ilvl w:val="0"/>
          <w:numId w:val="1"/>
        </w:numPr>
        <w:spacing w:after="60"/>
      </w:pPr>
      <w:r>
        <w:t xml:space="preserve">Reglas semánticas y de integración automática</w:t>
      </w:r>
    </w:p>
    <w:p>
      <w:pPr>
        <w:pStyle w:val="ListParagraph"/>
        <w:numPr>
          <w:ilvl w:val="0"/>
          <w:numId w:val="1"/>
        </w:numPr>
        <w:spacing w:after="60"/>
      </w:pPr>
      <w:r>
        <w:t xml:space="preserve">Cálculos automáticos (SC, LAVI, RAVI, masa VI, PSAP, gradientes)</w:t>
      </w:r>
    </w:p>
    <w:p>
      <w:pPr>
        <w:pStyle w:val="ListParagraph"/>
        <w:numPr>
          <w:ilvl w:val="0"/>
          <w:numId w:val="1"/>
        </w:numPr>
        <w:spacing w:after="60"/>
      </w:pPr>
      <w:r>
        <w:t xml:space="preserve">Reglas de hipertensión pulmonar</w:t>
      </w:r>
    </w:p>
    <w:p>
      <w:pPr>
        <w:pStyle w:val="ListParagraph"/>
        <w:numPr>
          <w:ilvl w:val="0"/>
          <w:numId w:val="1"/>
        </w:numPr>
        <w:spacing w:after="60"/>
      </w:pPr>
      <w:r>
        <w:t xml:space="preserve">Reglas de taponamiento cardíaco / pericardio</w:t>
      </w:r>
    </w:p>
    <w:p>
      <w:pPr>
        <w:pStyle w:val="ListParagraph"/>
        <w:numPr>
          <w:ilvl w:val="0"/>
          <w:numId w:val="1"/>
        </w:numPr>
        <w:spacing w:after="60"/>
      </w:pPr>
      <w:r>
        <w:t xml:space="preserve">Reglas de diástole</w:t>
      </w:r>
    </w:p>
    <w:p>
      <w:pPr>
        <w:pStyle w:val="ListParagraph"/>
        <w:numPr>
          <w:ilvl w:val="0"/>
          <w:numId w:val="1"/>
        </w:numPr>
        <w:spacing w:after="60"/>
      </w:pPr>
      <w:r>
        <w:t xml:space="preserve">Reglas de valvulopatías</w:t>
      </w:r>
    </w:p>
    <w:p>
      <w:pPr>
        <w:pStyle w:val="ListParagraph"/>
        <w:numPr>
          <w:ilvl w:val="0"/>
          <w:numId w:val="1"/>
        </w:numPr>
        <w:spacing w:after="60"/>
      </w:pPr>
      <w:r>
        <w:t xml:space="preserve">Módulo de masas intracardíacas y dispositivos</w:t>
      </w:r>
    </w:p>
    <w:p>
      <w:pPr>
        <w:pStyle w:val="ListParagraph"/>
        <w:numPr>
          <w:ilvl w:val="0"/>
          <w:numId w:val="1"/>
        </w:numPr>
        <w:spacing w:after="60"/>
      </w:pPr>
      <w:r>
        <w:t xml:space="preserve">Arquitectura conceptual para OCR y desarrollo de software</w:t>
      </w:r>
    </w:p>
    <w:p>
      <w:pPr>
        <w:spacing w:after="120"/>
      </w:pPr>
      <w:r>
        <w:t xml:space="preserve">Próximas fases:</w:t>
      </w:r>
    </w:p>
    <w:p>
      <w:pPr>
        <w:pStyle w:val="ListParagraph"/>
        <w:numPr>
          <w:ilvl w:val="0"/>
          <w:numId w:val="1"/>
        </w:numPr>
        <w:spacing w:after="60"/>
      </w:pPr>
      <w:r>
        <w:t xml:space="preserve">Revisar códigos adicionales pendientes de incorporar al diccionario.</w:t>
      </w:r>
    </w:p>
    <w:p>
      <w:pPr>
        <w:pStyle w:val="ListParagraph"/>
        <w:numPr>
          <w:ilvl w:val="0"/>
          <w:numId w:val="1"/>
        </w:numPr>
        <w:spacing w:after="60"/>
      </w:pPr>
      <w:r>
        <w:t xml:space="preserve">Construir el archivo/tabla maestra en Excel/CSV/JSON (Fase 2).</w:t>
      </w:r>
    </w:p>
    <w:p>
      <w:pPr>
        <w:pStyle w:val="ListParagraph"/>
        <w:numPr>
          <w:ilvl w:val="0"/>
          <w:numId w:val="1"/>
        </w:numPr>
        <w:spacing w:after="60"/>
      </w:pPr>
      <w:r>
        <w:t xml:space="preserve">Programar el motor de reglas (Fase 3).</w:t>
      </w:r>
    </w:p>
    <w:p>
      <w:pPr>
        <w:pStyle w:val="ListParagraph"/>
        <w:numPr>
          <w:ilvl w:val="0"/>
          <w:numId w:val="1"/>
        </w:numPr>
        <w:spacing w:after="60"/>
      </w:pPr>
      <w:r>
        <w:t xml:space="preserve">Diseñar la plantilla Word/PDF definitiva del informe.</w:t>
      </w:r>
    </w:p>
    <w:p>
      <w:pPr>
        <w:pStyle w:val="ListParagraph"/>
        <w:numPr>
          <w:ilvl w:val="0"/>
          <w:numId w:val="1"/>
        </w:numPr>
        <w:spacing w:after="60"/>
      </w:pPr>
      <w:r>
        <w:t xml:space="preserve">Integrar OCR para lectura de la hoja manuscrita.</w:t>
      </w:r>
    </w:p>
    <w:p>
      <w:pPr>
        <w:pStyle w:val="ListParagraph"/>
        <w:numPr>
          <w:ilvl w:val="0"/>
          <w:numId w:val="1"/>
        </w:numPr>
        <w:spacing w:after="60"/>
      </w:pPr>
      <w:r>
        <w:t xml:space="preserve">Validar el sistema con más casos reales (se cuenta con la prueba inicial de 5 pacientes).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4E79"/>
      <w:sz w:val="30"/>
      <w:szCs w:val="30"/>
    </w:rPr>
  </w:style>
  <w:style w:type="paragraph" w:styleId="Heading2">
    <w:name w:val="Heading 2"/>
    <w:basedOn w:val="Normal"/>
    <w:next w:val="Normal"/>
    <w:qFormat/>
    <w:pPr>
      <w:spacing w:after="150" w:before="300"/>
    </w:pPr>
    <w:rPr>
      <w:b/>
      <w:bCs/>
      <w:color w:val="2E74B5"/>
      <w:sz w:val="26"/>
      <w:szCs w:val="26"/>
    </w:rPr>
  </w:style>
  <w:style w:type="paragraph" w:styleId="Heading3">
    <w:name w:val="Heading 3"/>
    <w:basedOn w:val="Normal"/>
    <w:next w:val="Normal"/>
    <w:qFormat/>
    <w:pPr>
      <w:spacing w:after="100" w:before="200"/>
    </w:pPr>
    <w:rPr>
      <w:b/>
      <w:bCs/>
      <w:color w:val="1F4E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2026-07-25T22:30:26.693Z</dcterms:created>
  <dcterms:modified xsi:type="dcterms:W3CDTF">2026-07-25T22:30:26.706Z</dcterms:modified>
</cp:coreProperties>
</file>

<file path=docProps/custom.xml><?xml version="1.0" encoding="utf-8"?>
<Properties xmlns="http://schemas.openxmlformats.org/officeDocument/2006/custom-properties" xmlns:vt="http://schemas.openxmlformats.org/officeDocument/2006/docPropsVTypes"/>
</file>