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charts/chart1.xml" ContentType="application/vnd.openxmlformats-officedocument.drawingml.chart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0" w:name="_Hlk116546167"/>
      <w:bookmarkStart w:id="1" w:name="_Hlk116546167"/>
      <w:bookmarkEnd w:id="1"/>
    </w:p>
    <w:p>
      <w:pPr>
        <w:pStyle w:val="Normal"/>
        <w:rPr>
          <w:rFonts w:ascii="Arial" w:hAnsi="Arial" w:cs="Arial"/>
        </w:rPr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59" w:before="0" w:after="184"/>
        <w:rPr>
          <w:rFonts w:ascii="Rubik" w:hAnsi="Rubik" w:cs="Rubik"/>
          <w:color w:val="FA4616"/>
          <w:sz w:val="36"/>
          <w:szCs w:val="36"/>
          <w:lang w:val="pt-BR"/>
        </w:rPr>
      </w:pPr>
      <w:r>
        <w:rPr>
          <w:rFonts w:cs="Rubik" w:ascii="Rubik" w:hAnsi="Rubik"/>
          <w:color w:val="FA4616"/>
          <w:sz w:val="36"/>
          <w:szCs w:val="36"/>
          <w:lang w:val="pt-BR"/>
        </w:rPr>
        <w:t>RELATÓRIO DE VULNERABILIDADES</w:t>
      </w:r>
    </w:p>
    <w:p>
      <w:pPr>
        <w:pStyle w:val="Normal"/>
        <w:spacing w:lineRule="auto" w:line="259" w:before="0" w:after="184"/>
        <w:rPr>
          <w:rFonts w:ascii="Rubik" w:hAnsi="Rubik" w:cs="Rubik"/>
          <w:color w:val="FA4616"/>
          <w:sz w:val="28"/>
          <w:szCs w:val="28"/>
          <w:lang w:val="pt-BR"/>
        </w:rPr>
      </w:pPr>
      <w:r>
        <w:rPr>
          <w:rFonts w:cs="Rubik" w:ascii="Rubik" w:hAnsi="Rubik"/>
          <w:color w:val="FA4616"/>
          <w:sz w:val="28"/>
          <w:szCs w:val="28"/>
          <w:lang w:val="pt-BR"/>
        </w:rPr>
        <w:t>Escopo: exemplo.com.br</w:t>
      </w:r>
      <w:r>
        <w:rPr>
          <w:rFonts w:cs="Rubik" w:ascii="Rubik" w:hAnsi="Rubik"/>
          <w:color w:val="FA4616"/>
          <w:sz w:val="28"/>
          <w:szCs w:val="28"/>
          <w:vertAlign w:val="subscript"/>
          <w:lang w:val="pt-BR"/>
        </w:rPr>
        <w:t xml:space="preserve"> </w:t>
      </w:r>
      <w:r>
        <w:rPr>
          <w:rFonts w:cs="Rubik" w:ascii="Rubik" w:hAnsi="Rubik"/>
          <w:color w:val="FA4616"/>
          <w:sz w:val="28"/>
          <w:szCs w:val="28"/>
          <w:lang w:val="pt-BR"/>
        </w:rPr>
        <w:t xml:space="preserve">  </w:t>
      </w:r>
    </w:p>
    <w:p>
      <w:pPr>
        <w:pStyle w:val="Normal"/>
        <w:tabs>
          <w:tab w:val="clear" w:pos="709"/>
          <w:tab w:val="right" w:pos="10416" w:leader="none"/>
        </w:tabs>
        <w:spacing w:lineRule="auto" w:line="259" w:before="0" w:after="171"/>
        <w:rPr>
          <w:rFonts w:ascii="Rubik" w:hAnsi="Rubik" w:cs="Rubik"/>
          <w:color w:val="FA4616"/>
          <w:lang w:val="pt-BR"/>
        </w:rPr>
      </w:pPr>
      <w:r>
        <w:rPr>
          <w:rFonts w:cs="Rubik" w:ascii="Rubik" w:hAnsi="Rubik"/>
          <w:color w:val="FA4616"/>
          <w:sz w:val="16"/>
          <w:lang w:val="pt-BR"/>
        </w:rPr>
        <w:t xml:space="preserve">  </w:t>
      </w:r>
      <w:r>
        <w:rPr>
          <w:rFonts w:cs="Rubik" w:ascii="Rubik" w:hAnsi="Rubik"/>
          <w:color w:val="FA4616"/>
          <w:sz w:val="16"/>
          <w:lang w:val="pt-BR"/>
        </w:rPr>
        <w:t xml:space="preserve">Referência: </w:t>
      </w:r>
      <w:r>
        <w:rPr>
          <w:rFonts w:cs="Rubik" w:ascii="Rubik" w:hAnsi="Rubik"/>
          <w:color w:val="FA4616"/>
          <w:sz w:val="16"/>
          <w:lang w:val="pt-BR"/>
        </w:rPr>
        <w:t>Novembro</w:t>
      </w:r>
      <w:r>
        <w:rPr>
          <w:rFonts w:cs="Rubik" w:ascii="Rubik" w:hAnsi="Rubik"/>
          <w:color w:val="FA4616"/>
          <w:sz w:val="16"/>
          <w:lang w:val="pt-BR"/>
        </w:rPr>
        <w:t>/2025</w:t>
        <w:tab/>
        <w:t>Informações confidenciais da empresa</w:t>
      </w:r>
      <w:r>
        <w:rPr>
          <w:rFonts w:cs="Rubik" w:ascii="Rubik" w:hAnsi="Rubik"/>
          <w:color w:val="FA4616"/>
          <w:lang w:val="pt-BR"/>
        </w:rPr>
        <w:t xml:space="preserve"> </w:t>
      </w:r>
      <w:r>
        <w:rPr>
          <w:rFonts w:cs="Rubik" w:ascii="Rubik" w:hAnsi="Rubik"/>
          <w:color w:val="FA4616"/>
          <w:lang w:val="pt-BR"/>
        </w:rPr>
        <mc:AlternateContent>
          <mc:Choice Requires="wpg">
            <w:drawing>
              <wp:inline distT="0" distB="0" distL="0" distR="0" wp14:anchorId="536D56DB">
                <wp:extent cx="6438900" cy="8890"/>
                <wp:effectExtent l="0" t="0" r="0" b="0"/>
                <wp:docPr id="1" name="Group 296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60" cy="9000"/>
                          <a:chOff x="0" y="0"/>
                          <a:chExt cx="6438960" cy="9000"/>
                        </a:xfrm>
                      </wpg:grpSpPr>
                      <wps:wsp>
                        <wps:cNvPr id="2" name="Shape 3618"/>
                        <wps:cNvSpPr/>
                        <wps:spPr>
                          <a:xfrm>
                            <a:off x="0" y="0"/>
                            <a:ext cx="6438960" cy="9000"/>
                          </a:xfrm>
                          <a:custGeom>
                            <a:avLst/>
                            <a:gdLst>
                              <a:gd name="textAreaLeft" fmla="*/ 0 w 3650400"/>
                              <a:gd name="textAreaRight" fmla="*/ 3659040 w 3650400"/>
                              <a:gd name="textAreaTop" fmla="*/ 0 h 5040"/>
                              <a:gd name="textAreaBottom" fmla="*/ 18360 h 5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438900" h="9144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  <a:lnTo>
                                  <a:pt x="6438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a461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962" style="position:absolute;margin-left:0pt;margin-top:-0.75pt;width:507pt;height:0.7pt" coordorigin="0,-15" coordsize="10140,14"/>
            </w:pict>
          </mc:Fallback>
        </mc:AlternateContent>
      </w:r>
      <w:r>
        <w:rPr>
          <w:rFonts w:cs="Rubik" w:ascii="Rubik" w:hAnsi="Rubik"/>
          <w:color w:val="FA4616"/>
          <w:lang w:val="pt-BR"/>
        </w:rPr>
        <w:t xml:space="preserve">   </w:t>
      </w:r>
    </w:p>
    <w:p>
      <w:pPr>
        <w:pStyle w:val="Normal"/>
        <w:spacing w:lineRule="auto" w:line="259" w:before="0" w:after="64"/>
        <w:ind w:hanging="0" w:start="598"/>
        <w:rPr>
          <w:rFonts w:ascii="Rubik" w:hAnsi="Rubik" w:cs="Rubik"/>
          <w:lang w:val="pt-BR"/>
        </w:rPr>
      </w:pPr>
      <w:r>
        <w:rPr>
          <w:rFonts w:cs="Rubik" w:ascii="Rubik" w:hAnsi="Rubik"/>
          <w:sz w:val="16"/>
          <w:lang w:val="pt-BR"/>
        </w:rPr>
        <w:t xml:space="preserve"> </w:t>
      </w:r>
      <w:r>
        <w:rPr>
          <w:rFonts w:cs="Rubik" w:ascii="Rubik" w:hAnsi="Rubik"/>
          <w:lang w:val="pt-BR"/>
        </w:rPr>
        <w:t xml:space="preserve">   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tabs>
          <w:tab w:val="clear" w:pos="709"/>
          <w:tab w:val="left" w:pos="7093" w:leader="none"/>
        </w:tabs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TitlePage-Normal"/>
        <w:tabs>
          <w:tab w:val="clear" w:pos="709"/>
          <w:tab w:val="left" w:pos="8683" w:leader="none"/>
        </w:tabs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Page-Normal"/>
        <w:tabs>
          <w:tab w:val="clear" w:pos="709"/>
          <w:tab w:val="left" w:pos="8683" w:leader="none"/>
        </w:tabs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Page-Normal"/>
        <w:tabs>
          <w:tab w:val="clear" w:pos="709"/>
          <w:tab w:val="left" w:pos="8683" w:leader="none"/>
        </w:tabs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Page-Normal"/>
        <w:tabs>
          <w:tab w:val="clear" w:pos="709"/>
          <w:tab w:val="left" w:pos="8683" w:leader="none"/>
        </w:tabs>
        <w:jc w:val="start"/>
        <w:rPr>
          <w:rFonts w:ascii="Arial" w:hAnsi="Arial" w:cs="Arial"/>
          <w:lang w:val="pt-BR"/>
        </w:rPr>
      </w:pPr>
      <w:r>
        <w:rPr/>
      </w:r>
    </w:p>
    <w:p>
      <w:pPr>
        <w:pStyle w:val="TitlePage-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Page-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color w:val="FF4000"/>
        </w:rPr>
      </w:pPr>
      <w:r>
        <w:rPr>
          <w:color w:val="FF4000"/>
        </w:rPr>
      </w:r>
    </w:p>
    <w:p>
      <w:pPr>
        <w:pStyle w:val="Normal"/>
        <w:rPr>
          <w:color w:val="FF4000"/>
        </w:rPr>
      </w:pPr>
      <w:r>
        <w:rPr>
          <w:rFonts w:cs="Arial" w:ascii="Arial" w:hAnsi="Arial"/>
          <w:b/>
          <w:bCs/>
          <w:color w:val="FF4000"/>
          <w:sz w:val="28"/>
          <w:szCs w:val="28"/>
        </w:rPr>
        <w:t>Controle de Versões:</w:t>
      </w:r>
    </w:p>
    <w:p>
      <w:pPr>
        <w:pStyle w:val="Heading1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pPr w:vertAnchor="text" w:horzAnchor="margin" w:leftFromText="180" w:rightFromText="180" w:tblpX="0" w:tblpY="105"/>
        <w:tblW w:w="10086" w:type="dxa"/>
        <w:jc w:val="start"/>
        <w:tblInd w:w="-5" w:type="dxa"/>
        <w:tblLayout w:type="fixed"/>
        <w:tblCellMar>
          <w:top w:w="0" w:type="dxa"/>
          <w:start w:w="53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1904"/>
        <w:gridCol w:w="3080"/>
        <w:gridCol w:w="5102"/>
      </w:tblGrid>
      <w:tr>
        <w:trPr>
          <w:trHeight w:val="415" w:hRule="atLeast"/>
          <w:cantSplit w:val="true"/>
        </w:trPr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Table-HeaderText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DATA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Table-HeaderText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VERSÃO</w:t>
            </w:r>
          </w:p>
        </w:tc>
        <w:tc>
          <w:tcPr>
            <w:tcW w:w="5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Table-HeaderText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AUTOR</w:t>
            </w:r>
          </w:p>
        </w:tc>
      </w:tr>
      <w:tr>
        <w:trPr>
          <w:trHeight w:val="421" w:hRule="atLeast"/>
          <w:cantSplit w:val="true"/>
        </w:trPr>
        <w:tc>
          <w:tcPr>
            <w:tcW w:w="1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BodyText"/>
              <w:widowControl w:val="false"/>
              <w:spacing w:lineRule="auto" w:line="240" w:before="0" w:after="0"/>
              <w:contextualSpacing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</w:rPr>
              <w:t>19/02/20</w:t>
            </w:r>
            <w:r>
              <w:rPr>
                <w:rFonts w:cs="Arial" w:ascii="Arial" w:hAnsi="Arial"/>
                <w:lang w:val="pt-BR"/>
              </w:rPr>
              <w:t>24</w:t>
            </w:r>
          </w:p>
        </w:tc>
        <w:tc>
          <w:tcPr>
            <w:tcW w:w="3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BodyText"/>
              <w:widowControl w:val="false"/>
              <w:spacing w:lineRule="auto" w:line="240" w:before="0" w:after="0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1.0</w:t>
            </w:r>
          </w:p>
        </w:tc>
        <w:tc>
          <w:tcPr>
            <w:tcW w:w="5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widowControl w:val="false"/>
              <w:spacing w:lineRule="auto" w:line="240" w:before="0" w:after="0"/>
              <w:contextualSpacing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Carlos Tuma</w:t>
            </w:r>
          </w:p>
        </w:tc>
      </w:tr>
    </w:tbl>
    <w:p>
      <w:pPr>
        <w:pStyle w:val="Heading1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06" w:type="dxa"/>
        <w:jc w:val="start"/>
        <w:tblInd w:w="-5" w:type="dxa"/>
        <w:tblLayout w:type="fixed"/>
        <w:tblCellMar>
          <w:top w:w="0" w:type="dxa"/>
          <w:start w:w="53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10206"/>
      </w:tblGrid>
      <w:tr>
        <w:trPr>
          <w:trHeight w:val="491" w:hRule="atLeast"/>
          <w:cantSplit w:val="true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i/>
                <w:i/>
                <w:iCs/>
                <w:color w:themeColor="background2" w:val="E7E6E6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themeColor="background2" w:val="E7E6E6"/>
              </w:rPr>
              <w:t>CONFIDENCIAL</w:t>
            </w:r>
          </w:p>
        </w:tc>
      </w:tr>
      <w:tr>
        <w:trPr>
          <w:cantSplit w:val="true"/>
        </w:trPr>
        <w:tc>
          <w:tcPr>
            <w:tcW w:w="10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iCs/>
                <w:lang w:val="pt-BR"/>
              </w:rPr>
            </w:pPr>
            <w:r>
              <w:rPr>
                <w:rFonts w:cs="Arial" w:ascii="Arial" w:hAnsi="Arial"/>
                <w:i/>
                <w:iCs/>
                <w:lang w:val="pt-BR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iCs/>
                <w:lang w:val="pt-BR"/>
              </w:rPr>
            </w:pPr>
            <w:r>
              <w:rPr>
                <w:rFonts w:cs="Arial" w:ascii="Arial" w:hAnsi="Arial"/>
                <w:i/>
                <w:iCs/>
                <w:lang w:val="pt-BR"/>
              </w:rPr>
              <w:t xml:space="preserve">Este documento contém informações proprietárias e confidenciais. Todos os dados identificados durante os testes e registrados neste relatório foram tratados com rigor para assegurar a privacidade e a confidencialidade, garantindo a proteção total das informações.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i/>
                <w:i/>
                <w:iCs/>
                <w:lang w:val="pt-BR"/>
              </w:rPr>
            </w:pPr>
            <w:r>
              <w:rPr>
                <w:rFonts w:cs="Arial" w:ascii="Arial" w:hAnsi="Arial"/>
                <w:i/>
                <w:iCs/>
                <w:lang w:val="pt-BR"/>
              </w:rPr>
            </w:r>
          </w:p>
        </w:tc>
      </w:tr>
    </w:tbl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  <w:bookmarkStart w:id="2" w:name="__RefHeading___Toc8573_375462287"/>
      <w:bookmarkStart w:id="3" w:name="__RefHeading___Toc8573_375462287"/>
      <w:bookmarkEnd w:id="3"/>
    </w:p>
    <w:p>
      <w:pPr>
        <w:pStyle w:val="Heading2"/>
        <w:numPr>
          <w:ilvl w:val="0"/>
          <w:numId w:val="0"/>
        </w:numPr>
        <w:ind w:hanging="0" w:start="0"/>
        <w:rPr>
          <w:color w:val="FF4000"/>
        </w:rPr>
      </w:pPr>
      <w:r>
        <w:rPr>
          <w:rFonts w:cs="Arial" w:ascii="Arial" w:hAnsi="Arial"/>
          <w:color w:val="FF4000"/>
          <w:sz w:val="28"/>
          <w:szCs w:val="28"/>
          <w:lang w:val="pt-BR"/>
        </w:rPr>
        <w:t>Introdução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 equipe de segurança ofensiva RedTeam da SUA</w:t>
      </w:r>
      <w:r>
        <w:rPr>
          <w:rFonts w:cs="Arial" w:ascii="Arial" w:hAnsi="Arial"/>
          <w:b/>
          <w:bCs/>
          <w:color w:themeColor="accent2" w:themeShade="bf" w:val="C45911"/>
          <w:lang w:val="pt-BR"/>
        </w:rPr>
        <w:t>EMPRESAAQUI</w:t>
      </w:r>
      <w:r>
        <w:rPr>
          <w:rFonts w:cs="Arial" w:ascii="Arial" w:hAnsi="Arial"/>
          <w:lang w:val="pt-BR"/>
        </w:rPr>
        <w:t>, conduziu uma avaliação de segurança (</w:t>
      </w:r>
      <w:r>
        <w:rPr>
          <w:rFonts w:cs="Arial" w:ascii="Arial" w:hAnsi="Arial"/>
          <w:i/>
          <w:iCs/>
          <w:lang w:val="pt-BR"/>
        </w:rPr>
        <w:t>Penetration Testing</w:t>
      </w:r>
      <w:r>
        <w:rPr>
          <w:rFonts w:cs="Arial" w:ascii="Arial" w:hAnsi="Arial"/>
          <w:lang w:val="pt-BR"/>
        </w:rPr>
        <w:t>) no ambiente digital da exemplo</w:t>
      </w:r>
      <w:r>
        <w:rPr>
          <w:rFonts w:cs="Arial" w:ascii="Arial" w:hAnsi="Arial"/>
          <w:b/>
          <w:bCs/>
          <w:lang w:val="pt-BR"/>
        </w:rPr>
        <w:t>.com.br</w:t>
      </w:r>
      <w:r>
        <w:rPr>
          <w:rFonts w:cs="Arial" w:ascii="Arial" w:hAnsi="Arial"/>
          <w:lang w:val="pt-BR"/>
        </w:rPr>
        <w:t xml:space="preserve">. </w:t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 avaliação foi conduzida de maneira a simular um ciberataque à partir da internet com o objetivo de determinar o impacto que possíveis vulnerabilidades de segurança possam ter no que diz respeito à </w:t>
      </w:r>
      <w:r>
        <w:rPr>
          <w:rFonts w:cs="Arial" w:ascii="Arial" w:hAnsi="Arial"/>
          <w:b/>
          <w:bCs/>
          <w:lang w:val="pt-BR"/>
        </w:rPr>
        <w:t>integridade, disponibilidade e confidencialidade</w:t>
      </w:r>
      <w:r>
        <w:rPr>
          <w:rFonts w:cs="Arial" w:ascii="Arial" w:hAnsi="Arial"/>
          <w:lang w:val="pt-BR"/>
        </w:rPr>
        <w:t xml:space="preserve"> das informações da empresa contratante.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Os testes foram realizados entre os dias 18 Fevereiro à 19 de </w:t>
      </w:r>
      <w:r>
        <w:rPr>
          <w:rFonts w:cs="Arial" w:ascii="Arial" w:hAnsi="Arial"/>
          <w:b w:val="false"/>
          <w:bCs w:val="false"/>
          <w:lang w:val="pt-BR"/>
        </w:rPr>
        <w:t>Fevereiro</w:t>
      </w:r>
      <w:r>
        <w:rPr>
          <w:rFonts w:cs="Arial" w:ascii="Arial" w:hAnsi="Arial"/>
          <w:lang w:val="pt-BR"/>
        </w:rPr>
        <w:t xml:space="preserve"> de 2025 este documento contém todos os resultados.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método utilizado para a execução do serviço proposto segue rigorosamente as melhores práticas de mercado, garantindo a adequação às normas internacionais de segurança da informação, e os relatórios gerados apontam evidências quanto à segurança do ambiente definido no escopo.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Heading1"/>
        <w:spacing w:before="120" w:after="0"/>
        <w:contextualSpacing/>
        <w:rPr>
          <w:color w:val="FF4000"/>
        </w:rPr>
      </w:pPr>
      <w:r>
        <w:rPr>
          <w:rFonts w:cs="Arial" w:ascii="Arial" w:hAnsi="Arial"/>
          <w:b/>
          <w:bCs/>
          <w:color w:val="FF4000"/>
          <w:sz w:val="28"/>
          <w:szCs w:val="28"/>
        </w:rPr>
        <w:t>Escopo</w:t>
      </w:r>
    </w:p>
    <w:p>
      <w:pPr>
        <w:pStyle w:val="Normal"/>
        <w:spacing w:before="0" w:after="0"/>
        <w:contextualSpacing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990" w:type="dxa"/>
        <w:jc w:val="start"/>
        <w:tblInd w:w="-24" w:type="dxa"/>
        <w:tblLayout w:type="fixed"/>
        <w:tblCellMar>
          <w:top w:w="0" w:type="dxa"/>
          <w:start w:w="53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4697"/>
        <w:gridCol w:w="5293"/>
      </w:tblGrid>
      <w:tr>
        <w:trPr>
          <w:trHeight w:val="406" w:hRule="atLeast"/>
          <w:cantSplit w:val="true"/>
        </w:trPr>
        <w:tc>
          <w:tcPr>
            <w:tcW w:w="4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Table-HeaderText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 DE AVALIAÇÃO</w:t>
            </w:r>
          </w:p>
        </w:tc>
        <w:tc>
          <w:tcPr>
            <w:tcW w:w="5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4000" w:val="clear"/>
            <w:vAlign w:val="center"/>
          </w:tcPr>
          <w:p>
            <w:pPr>
              <w:pStyle w:val="Table-HeaderText"/>
              <w:widowControl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DETALHES</w:t>
            </w:r>
          </w:p>
        </w:tc>
      </w:tr>
      <w:tr>
        <w:trPr>
          <w:trHeight w:val="744" w:hRule="atLeast"/>
          <w:cantSplit w:val="true"/>
        </w:trPr>
        <w:tc>
          <w:tcPr>
            <w:tcW w:w="4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Pentest Glay Box Externo</w:t>
            </w:r>
          </w:p>
        </w:tc>
        <w:tc>
          <w:tcPr>
            <w:tcW w:w="52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HOST: dominio.com.br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cs="Arial" w:ascii="Arial" w:hAnsi="Arial"/>
          <w:shd w:fill="FFFF00" w:val="clear"/>
          <w:lang w:val="pt-BR"/>
        </w:rPr>
        <w:t xml:space="preserve">De acordo com o combinado e acordado entre as partes, a avaliação escolhida foi do tipo </w:t>
      </w:r>
      <w:r>
        <w:rPr>
          <w:rFonts w:cs="Arial" w:ascii="Arial" w:hAnsi="Arial"/>
          <w:b/>
          <w:bCs/>
          <w:shd w:fill="FFFF00" w:val="clear"/>
          <w:lang w:val="pt-BR"/>
        </w:rPr>
        <w:t>Glay</w:t>
      </w:r>
      <w:r>
        <w:rPr>
          <w:rFonts w:cs="Arial" w:ascii="Arial" w:hAnsi="Arial"/>
          <w:shd w:fill="FFFF00" w:val="clear"/>
          <w:lang w:val="pt-BR"/>
        </w:rPr>
        <w:t xml:space="preserve"> </w:t>
      </w:r>
      <w:r>
        <w:rPr>
          <w:rFonts w:cs="Arial" w:ascii="Arial" w:hAnsi="Arial"/>
          <w:b/>
          <w:bCs/>
          <w:i/>
          <w:iCs/>
          <w:shd w:fill="FFFF00" w:val="clear"/>
          <w:lang w:val="pt-BR"/>
        </w:rPr>
        <w:t>Box</w:t>
      </w:r>
      <w:r>
        <w:rPr>
          <w:rFonts w:cs="Arial" w:ascii="Arial" w:hAnsi="Arial"/>
          <w:shd w:fill="FFFF00" w:val="clear"/>
          <w:lang w:val="pt-BR"/>
        </w:rPr>
        <w:t>, onde credencias de acesso e o endereço do host, foram localizadas na dark web.</w:t>
      </w:r>
    </w:p>
    <w:p>
      <w:pPr>
        <w:pStyle w:val="Normal"/>
        <w:jc w:val="both"/>
        <w:rPr>
          <w:rFonts w:ascii="Arial" w:hAnsi="Arial" w:cs="Arial"/>
          <w:highlight w:val="none"/>
          <w:shd w:fill="FFFF00" w:val="clear"/>
          <w:lang w:val="pt-BR"/>
        </w:rPr>
      </w:pPr>
      <w:r>
        <w:rPr>
          <w:rFonts w:cs="Arial" w:ascii="Arial" w:hAnsi="Arial"/>
          <w:shd w:fill="FFFF00" w:val="clear"/>
          <w:lang w:val="pt-BR"/>
        </w:rPr>
      </w:r>
    </w:p>
    <w:p>
      <w:pPr>
        <w:pStyle w:val="Heading2"/>
        <w:numPr>
          <w:ilvl w:val="0"/>
          <w:numId w:val="0"/>
        </w:numPr>
        <w:ind w:hanging="0" w:start="0"/>
        <w:rPr>
          <w:rFonts w:ascii="Arial" w:hAnsi="Arial" w:cs="Arial"/>
          <w:color w:themeColor="text2" w:val="44546A"/>
          <w:sz w:val="28"/>
          <w:szCs w:val="28"/>
          <w:lang w:val="pt-BR"/>
        </w:rPr>
      </w:pPr>
      <w:r>
        <w:rPr>
          <w:rFonts w:cs="Arial" w:ascii="Arial" w:hAnsi="Arial"/>
          <w:color w:themeColor="text2" w:val="44546A"/>
          <w:sz w:val="28"/>
          <w:szCs w:val="28"/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Heading2"/>
        <w:numPr>
          <w:ilvl w:val="1"/>
          <w:numId w:val="2"/>
        </w:numPr>
        <w:rPr>
          <w:color w:val="FF4000"/>
        </w:rPr>
      </w:pPr>
      <w:r>
        <w:rPr>
          <w:color w:val="FF4000"/>
        </w:rPr>
      </w:r>
    </w:p>
    <w:p>
      <w:pPr>
        <w:pStyle w:val="Heading2"/>
        <w:numPr>
          <w:ilvl w:val="1"/>
          <w:numId w:val="2"/>
        </w:numPr>
        <w:rPr>
          <w:color w:val="FF4000"/>
        </w:rPr>
      </w:pPr>
      <w:r>
        <w:rPr>
          <w:rFonts w:cs="Arial" w:ascii="Arial" w:hAnsi="Arial"/>
          <w:color w:val="FF4000"/>
          <w:sz w:val="28"/>
          <w:szCs w:val="28"/>
        </w:rPr>
        <w:t>Metodologia</w:t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lang w:val="pt-BR"/>
        </w:rPr>
        <w:t xml:space="preserve">Para execução deste trabalho, a equipe de segurança ofensiva RedTeam da </w:t>
      </w:r>
      <w:r>
        <w:rPr>
          <w:rFonts w:cs="Arial" w:ascii="Arial" w:hAnsi="Arial"/>
          <w:b/>
          <w:bCs/>
          <w:color w:themeColor="accent2" w:themeShade="bf" w:val="C45911"/>
          <w:lang w:val="pt-BR"/>
        </w:rPr>
        <w:t>SUAEMPRESA</w:t>
      </w:r>
      <w:r>
        <w:rPr>
          <w:rFonts w:cs="Arial" w:ascii="Arial" w:hAnsi="Arial"/>
          <w:lang w:val="pt-BR"/>
        </w:rPr>
        <w:t>, adotou a metodologia própria mesclada com padrões existentes e solidamente reconhecidos, tais como</w:t>
      </w:r>
      <w:r>
        <w:rPr>
          <w:rFonts w:cs="Arial" w:ascii="Arial" w:hAnsi="Arial"/>
          <w:i/>
          <w:iCs/>
          <w:lang w:val="pt-BR"/>
        </w:rPr>
        <w:t xml:space="preserve"> PTES</w:t>
      </w:r>
      <w:r>
        <w:rPr>
          <w:rFonts w:cs="Arial" w:ascii="Arial" w:hAnsi="Arial"/>
          <w:lang w:val="pt-BR"/>
        </w:rPr>
        <w:t xml:space="preserve"> </w:t>
      </w:r>
      <w:r>
        <w:rPr>
          <w:rFonts w:cs="Arial" w:ascii="Arial" w:hAnsi="Arial"/>
          <w:i/>
          <w:iCs/>
          <w:lang w:val="pt-BR"/>
        </w:rPr>
        <w:t>(Penetration Testing Execution Standard), OWASP (Open Web Application Security Project) , NIST (National Institute of Standards and Technology) e OSSTMM (</w:t>
      </w:r>
      <w:r>
        <w:rPr>
          <w:rFonts w:eastAsia="Times New Roman" w:cs="Arial" w:ascii="Arial" w:hAnsi="Arial"/>
          <w:i/>
          <w:iCs/>
          <w:color w:val="auto"/>
          <w:kern w:val="0"/>
          <w:sz w:val="24"/>
          <w:szCs w:val="24"/>
          <w:lang w:val="pt-BR" w:eastAsia="en-US" w:bidi="ar-SA"/>
        </w:rPr>
        <w:t xml:space="preserve">Open Source Security Testing Methodology Manual </w:t>
      </w:r>
      <w:r>
        <w:rPr>
          <w:rFonts w:cs="Arial" w:ascii="Arial" w:hAnsi="Arial"/>
          <w:i/>
          <w:iCs/>
          <w:lang w:val="pt-BR"/>
        </w:rPr>
        <w:t>).</w:t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/>
          </w:tcPr>
          <w:p>
            <w:pPr>
              <w:pStyle w:val="Contedodatabelauser"/>
              <w:widowControl w:val="false"/>
              <w:rPr/>
            </w:pPr>
            <w:r>
              <w:rPr/>
              <w:drawing>
                <wp:inline distT="0" distB="0" distL="0" distR="0">
                  <wp:extent cx="918845" cy="735330"/>
                  <wp:effectExtent l="0" t="0" r="0" b="0"/>
                  <wp:docPr id="3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845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     </w:t>
            </w:r>
            <w:r>
              <w:rPr/>
              <w:drawing>
                <wp:inline distT="0" distB="0" distL="0" distR="0">
                  <wp:extent cx="1914525" cy="677545"/>
                  <wp:effectExtent l="0" t="0" r="0" b="0"/>
                  <wp:docPr id="4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677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    </w:t>
            </w:r>
            <w:r>
              <w:rPr/>
              <w:drawing>
                <wp:inline distT="0" distB="0" distL="0" distR="0">
                  <wp:extent cx="698500" cy="735965"/>
                  <wp:effectExtent l="0" t="0" r="0" b="0"/>
                  <wp:docPr id="5" name="Figur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500" cy="735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behindDoc="0" distT="0" distB="0" distL="0" distR="0" simplePos="0" locked="0" layoutInCell="1" allowOverlap="1" relativeHeight="26">
                  <wp:simplePos x="0" y="0"/>
                  <wp:positionH relativeFrom="column">
                    <wp:posOffset>4147185</wp:posOffset>
                  </wp:positionH>
                  <wp:positionV relativeFrom="paragraph">
                    <wp:posOffset>73025</wp:posOffset>
                  </wp:positionV>
                  <wp:extent cx="2002155" cy="666115"/>
                  <wp:effectExtent l="0" t="0" r="0" b="0"/>
                  <wp:wrapSquare wrapText="largest"/>
                  <wp:docPr id="6" name="Figur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Figur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155" cy="666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US"/>
              </w:rPr>
              <w:t xml:space="preserve">             </w:t>
            </w:r>
          </w:p>
        </w:tc>
      </w:tr>
    </w:tbl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BodyText"/>
        <w:spacing w:lineRule="auto" w:line="276" w:before="57" w:after="57"/>
        <w:jc w:val="both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  <w:t>Nossa metodologia de execução de projetos é estruturada em cinco fases, conforme o ciclo de vida descrito abaixo. Esse modelo combina práticas consagradas de gerenciamento de projetos do PMI (Project Management Institute) com a flexibilidade e dinamismo da metodologia ágil.</w:t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</w:r>
    </w:p>
    <w:p>
      <w:pPr>
        <w:pStyle w:val="Normal"/>
        <w:spacing w:lineRule="auto" w:line="276" w:before="57" w:after="57"/>
        <w:jc w:val="both"/>
        <w:rPr>
          <w:rFonts w:ascii="Arial" w:hAnsi="Arial" w:cs="Arial"/>
          <w:i/>
          <w:i/>
          <w:iCs/>
          <w:lang w:val="pt-BR"/>
        </w:rPr>
      </w:pPr>
      <w:r>
        <w:rPr>
          <w:rFonts w:cs="Arial" w:ascii="Arial" w:hAnsi="Arial"/>
          <w:i/>
          <w:iCs/>
          <w:lang w:val="pt-BR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1094105</wp:posOffset>
            </wp:positionH>
            <wp:positionV relativeFrom="paragraph">
              <wp:posOffset>-6350</wp:posOffset>
            </wp:positionV>
            <wp:extent cx="3848735" cy="3231515"/>
            <wp:effectExtent l="0" t="0" r="0" b="0"/>
            <wp:wrapSquare wrapText="largest"/>
            <wp:docPr id="7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BodyText"/>
        <w:numPr>
          <w:ilvl w:val="0"/>
          <w:numId w:val="0"/>
        </w:numPr>
        <w:ind w:hanging="0" w:start="0"/>
        <w:rPr>
          <w:color w:val="FF4000"/>
          <w:sz w:val="28"/>
          <w:szCs w:val="28"/>
        </w:rPr>
      </w:pPr>
      <w:r>
        <w:rPr>
          <w:color w:val="FF4000"/>
          <w:sz w:val="28"/>
          <w:szCs w:val="28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BodyText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</w:r>
    </w:p>
    <w:p>
      <w:pPr>
        <w:pStyle w:val="Heading1"/>
        <w:rPr>
          <w:color w:val="FF4000"/>
        </w:rPr>
      </w:pPr>
      <w:r>
        <w:rPr>
          <w:rFonts w:cs="Arial" w:ascii="Arial" w:hAnsi="Arial"/>
          <w:b/>
          <w:bCs/>
          <w:color w:val="FF4000"/>
          <w:sz w:val="32"/>
          <w:szCs w:val="32"/>
          <w:lang w:val="pt-BR"/>
        </w:rPr>
        <w:t>Sumário Executivo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 equipe de segurança ofensiva RedTeam da </w:t>
      </w:r>
      <w:r>
        <w:rPr>
          <w:rFonts w:cs="Arial" w:ascii="Arial" w:hAnsi="Arial"/>
          <w:b/>
          <w:bCs/>
          <w:color w:val="FF8000"/>
          <w:lang w:val="pt-BR"/>
        </w:rPr>
        <w:t>SUAEMPRESA</w:t>
      </w:r>
      <w:r>
        <w:rPr>
          <w:rFonts w:cs="Arial" w:ascii="Arial" w:hAnsi="Arial"/>
          <w:b/>
          <w:bCs/>
          <w:lang w:val="pt-BR"/>
        </w:rPr>
        <w:t>,</w:t>
      </w:r>
      <w:r>
        <w:rPr>
          <w:rFonts w:cs="Arial" w:ascii="Arial" w:hAnsi="Arial"/>
          <w:lang w:val="pt-BR"/>
        </w:rPr>
        <w:t xml:space="preserve"> avaliou a postura de segurança do domínio exemplo</w:t>
      </w:r>
      <w:r>
        <w:rPr>
          <w:rFonts w:cs="Arial" w:ascii="Arial" w:hAnsi="Arial"/>
          <w:b/>
          <w:bCs/>
          <w:lang w:val="pt-BR"/>
        </w:rPr>
        <w:t>.com.br</w:t>
      </w:r>
      <w:r>
        <w:rPr>
          <w:rFonts w:cs="Arial" w:ascii="Arial" w:hAnsi="Arial"/>
          <w:lang w:val="pt-BR"/>
        </w:rPr>
        <w:t>,</w:t>
      </w:r>
      <w:r>
        <w:rPr>
          <w:rFonts w:cs="Arial" w:ascii="Arial" w:hAnsi="Arial"/>
          <w:caps/>
          <w:lang w:val="pt-BR"/>
        </w:rPr>
        <w:t xml:space="preserve"> </w:t>
      </w:r>
      <w:r>
        <w:rPr>
          <w:rFonts w:cs="Arial" w:ascii="Arial" w:hAnsi="Arial"/>
          <w:lang w:val="pt-BR"/>
        </w:rPr>
        <w:t>através de uma análise externa durante o período de 18 de Fevereiro à 19 de Fevereiro de 2025. Os resultados das avaliações efetuadas no ambiente a partir de um computador neutro, utilizando conexão de internet externa, nada envolvendo uso VPN, foram utilizados diversos testes.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Os testes demonstram que a empresa possui sérios riscos cibernéticos com a presença de vulnerabilidades de nível </w:t>
      </w:r>
      <w:r>
        <w:rPr>
          <w:rFonts w:cs="Arial" w:ascii="Arial" w:hAnsi="Arial"/>
          <w:b/>
          <w:bCs/>
          <w:lang w:val="pt-BR"/>
        </w:rPr>
        <w:t xml:space="preserve">Crítico </w:t>
      </w:r>
      <w:r>
        <w:rPr>
          <w:rFonts w:cs="Arial" w:ascii="Arial" w:hAnsi="Arial"/>
          <w:lang w:val="pt-BR"/>
        </w:rPr>
        <w:t>que</w:t>
      </w:r>
      <w:r>
        <w:rPr>
          <w:rFonts w:cs="Arial" w:ascii="Arial" w:hAnsi="Arial"/>
          <w:b/>
          <w:bCs/>
          <w:lang w:val="pt-BR"/>
        </w:rPr>
        <w:t xml:space="preserve"> comprometem a integridade, disponibilidade e o sigilo</w:t>
      </w:r>
      <w:r>
        <w:rPr>
          <w:rFonts w:cs="Arial" w:ascii="Arial" w:hAnsi="Arial"/>
          <w:lang w:val="pt-BR"/>
        </w:rPr>
        <w:t xml:space="preserve"> </w:t>
      </w:r>
      <w:r>
        <w:rPr>
          <w:rFonts w:cs="Arial" w:ascii="Arial" w:hAnsi="Arial"/>
          <w:b/>
          <w:bCs/>
          <w:lang w:val="pt-BR"/>
        </w:rPr>
        <w:t>de informações</w:t>
      </w:r>
      <w:r>
        <w:rPr>
          <w:rFonts w:cs="Arial" w:ascii="Arial" w:hAnsi="Arial"/>
          <w:lang w:val="pt-BR"/>
        </w:rPr>
        <w:t xml:space="preserve"> </w:t>
      </w:r>
      <w:r>
        <w:rPr>
          <w:rFonts w:cs="Arial" w:ascii="Arial" w:hAnsi="Arial"/>
          <w:b/>
          <w:bCs/>
          <w:lang w:val="pt-BR"/>
        </w:rPr>
        <w:t>sensíveis</w:t>
      </w:r>
      <w:r>
        <w:rPr>
          <w:rFonts w:cs="Arial" w:ascii="Arial" w:hAnsi="Arial"/>
          <w:lang w:val="pt-BR"/>
        </w:rPr>
        <w:t>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  <w:t>Classificação das Vulnerabilidades</w:t>
      </w:r>
    </w:p>
    <w:p>
      <w:pPr>
        <w:pStyle w:val="Normal"/>
        <w:jc w:val="center"/>
        <w:rPr>
          <w:rFonts w:ascii="Arial" w:hAnsi="Arial" w:cs="Arial"/>
          <w:b/>
          <w:bCs/>
          <w:sz w:val="32"/>
          <w:szCs w:val="32"/>
          <w:lang w:val="pt-BR"/>
        </w:rPr>
      </w:pPr>
      <w:r>
        <w:rPr>
          <w:rFonts w:cs="Arial" w:ascii="Arial" w:hAnsi="Arial"/>
          <w:b/>
          <w:bCs/>
          <w:sz w:val="32"/>
          <w:szCs w:val="32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2505" cy="2700655"/>
            <wp:effectExtent l="0" t="0" r="0" b="0"/>
            <wp:wrapSquare wrapText="largest"/>
            <wp:docPr id="8" name="Objeto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964" w:type="dxa"/>
        <w:jc w:val="start"/>
        <w:tblInd w:w="-5" w:type="dxa"/>
        <w:tblLayout w:type="fixed"/>
        <w:tblCellMar>
          <w:top w:w="0" w:type="dxa"/>
          <w:start w:w="53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4594"/>
        <w:gridCol w:w="1073"/>
        <w:gridCol w:w="1073"/>
        <w:gridCol w:w="1073"/>
        <w:gridCol w:w="1073"/>
        <w:gridCol w:w="1078"/>
      </w:tblGrid>
      <w:tr>
        <w:trPr>
          <w:trHeight w:val="452" w:hRule="atLeast"/>
          <w:cantSplit w:val="true"/>
        </w:trPr>
        <w:tc>
          <w:tcPr>
            <w:tcW w:w="459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sz w:val="21"/>
                <w:szCs w:val="21"/>
                <w:lang w:val="pt-BR"/>
              </w:rPr>
              <w:t>Domínio</w:t>
            </w:r>
          </w:p>
        </w:tc>
        <w:tc>
          <w:tcPr>
            <w:tcW w:w="5370" w:type="dxa"/>
            <w:gridSpan w:val="5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sz w:val="21"/>
                <w:szCs w:val="21"/>
                <w:lang w:val="pt-BR"/>
              </w:rPr>
              <w:t>SEVERIDADE</w:t>
            </w:r>
          </w:p>
        </w:tc>
      </w:tr>
      <w:tr>
        <w:trPr>
          <w:trHeight w:val="448" w:hRule="atLeast"/>
        </w:trPr>
        <w:tc>
          <w:tcPr>
            <w:tcW w:w="459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20E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color w:val="FFFFFF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1"/>
                <w:szCs w:val="21"/>
                <w:lang w:val="pt-BR"/>
              </w:rPr>
              <w:t>exemplo.com.br</w:t>
            </w:r>
          </w:p>
        </w:tc>
        <w:tc>
          <w:tcPr>
            <w:tcW w:w="1073" w:type="dxa"/>
            <w:tcBorders>
              <w:start w:val="single" w:sz="2" w:space="0" w:color="000000"/>
              <w:bottom w:val="single" w:sz="2" w:space="0" w:color="000000"/>
            </w:tcBorders>
            <w:shd w:fill="FF0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73" w:type="dxa"/>
            <w:tcBorders>
              <w:start w:val="single" w:sz="2" w:space="0" w:color="000000"/>
              <w:bottom w:val="single" w:sz="2" w:space="0" w:color="000000"/>
            </w:tcBorders>
            <w:shd w:fill="FF8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cs="Arial" w:ascii="Arial" w:hAnsi="Arial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073" w:type="dxa"/>
            <w:tcBorders>
              <w:start w:val="single" w:sz="2" w:space="0" w:color="000000"/>
              <w:bottom w:val="single" w:sz="2" w:space="0" w:color="000000"/>
            </w:tcBorders>
            <w:shd w:fill="FFFF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cs="Arial" w:ascii="Arial" w:hAnsi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073" w:type="dxa"/>
            <w:tcBorders>
              <w:start w:val="single" w:sz="2" w:space="0" w:color="000000"/>
              <w:bottom w:val="single" w:sz="2" w:space="0" w:color="000000"/>
            </w:tcBorders>
            <w:shd w:fill="00A933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cs="Arial" w:ascii="Arial" w:hAnsi="Arial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078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004586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cs="Arial" w:ascii="Arial" w:hAnsi="Arial"/>
                <w:b/>
                <w:bCs/>
                <w:sz w:val="21"/>
                <w:szCs w:val="21"/>
              </w:rPr>
              <w:t>1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970" w:type="dxa"/>
        <w:jc w:val="start"/>
        <w:tblInd w:w="-11" w:type="dxa"/>
        <w:tblLayout w:type="fixed"/>
        <w:tblCellMar>
          <w:top w:w="0" w:type="dxa"/>
          <w:start w:w="53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1300"/>
        <w:gridCol w:w="8670"/>
      </w:tblGrid>
      <w:tr>
        <w:trPr>
          <w:trHeight w:val="452" w:hRule="atLeast"/>
          <w:cantSplit w:val="true"/>
        </w:trPr>
        <w:tc>
          <w:tcPr>
            <w:tcW w:w="13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sz w:val="21"/>
                <w:szCs w:val="21"/>
                <w:lang w:val="pt-BR"/>
              </w:rPr>
              <w:t>RISCO</w:t>
            </w:r>
          </w:p>
        </w:tc>
        <w:tc>
          <w:tcPr>
            <w:tcW w:w="86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</w:rPr>
            </w:pPr>
            <w:r>
              <w:rPr>
                <w:rFonts w:cs="Arial" w:ascii="Arial" w:hAnsi="Arial"/>
                <w:b/>
                <w:bCs/>
                <w:color w:themeColor="background1" w:val="FFFFFF"/>
                <w:sz w:val="21"/>
                <w:szCs w:val="21"/>
                <w:lang w:val="pt-BR"/>
              </w:rPr>
              <w:t>VULNERABILIDADE</w:t>
            </w:r>
          </w:p>
        </w:tc>
      </w:tr>
      <w:tr>
        <w:trPr>
          <w:trHeight w:val="448" w:hRule="atLeast"/>
        </w:trPr>
        <w:tc>
          <w:tcPr>
            <w:tcW w:w="13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pt-BR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1"/>
                <w:szCs w:val="21"/>
                <w:lang w:val="pt-BR"/>
              </w:rPr>
              <w:t>Crítico</w:t>
            </w:r>
          </w:p>
        </w:tc>
        <w:tc>
          <w:tcPr>
            <w:tcW w:w="8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A01_2021- Broken_Access_Control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A07_2021- Identification_and_Authentication_Failures</w:t>
            </w:r>
          </w:p>
        </w:tc>
      </w:tr>
      <w:tr>
        <w:trPr>
          <w:trHeight w:val="448" w:hRule="atLeast"/>
        </w:trPr>
        <w:tc>
          <w:tcPr>
            <w:tcW w:w="13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Cs/>
                <w:color w:val="000000"/>
                <w:sz w:val="21"/>
                <w:szCs w:val="21"/>
                <w:lang w:val="pt-BR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21"/>
                <w:szCs w:val="21"/>
                <w:lang w:val="pt-BR" w:eastAsia="en-US" w:bidi="ar-SA"/>
              </w:rPr>
              <w:t>Crítico</w:t>
            </w:r>
          </w:p>
        </w:tc>
        <w:tc>
          <w:tcPr>
            <w:tcW w:w="867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API1:2023 Broken Object Level Authorization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É altamente recomendável que a equipe técnica responsável pelo domínio envolvido,</w:t>
      </w:r>
      <w:r>
        <w:rPr>
          <w:rFonts w:cs="Arial" w:ascii="Arial" w:hAnsi="Arial"/>
          <w:caps/>
          <w:lang w:val="pt-BR"/>
        </w:rPr>
        <w:t xml:space="preserve"> </w:t>
      </w:r>
      <w:r>
        <w:rPr>
          <w:rFonts w:cs="Arial" w:ascii="Arial" w:hAnsi="Arial"/>
          <w:lang w:val="pt-BR"/>
        </w:rPr>
        <w:t xml:space="preserve">resolva as vulnerabilidades classificadas, visto que é passível de serem exploradas através da internet. 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 tabela abaixo resume as principais vulnerabilidades e riscos encontrados durante os testes realizados e ao final deste relatório são propostas as recomendações para mitigação dos problemas encontrados.</w:t>
      </w:r>
      <w:bookmarkStart w:id="4" w:name="__RefHeading___Toc8587_375462287"/>
      <w:bookmarkStart w:id="5" w:name="__RefHeading___Toc8591_375462287"/>
      <w:bookmarkStart w:id="6" w:name="__RefHeading___Toc8593_375462287"/>
      <w:bookmarkEnd w:id="4"/>
      <w:bookmarkEnd w:id="5"/>
      <w:bookmarkEnd w:id="6"/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990" w:type="dxa"/>
        <w:jc w:val="start"/>
        <w:tblInd w:w="-5" w:type="dxa"/>
        <w:tblLayout w:type="fixed"/>
        <w:tblCellMar>
          <w:top w:w="0" w:type="dxa"/>
          <w:start w:w="58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1985"/>
        <w:gridCol w:w="8005"/>
      </w:tblGrid>
      <w:tr>
        <w:trPr>
          <w:trHeight w:val="456" w:hRule="atLeast"/>
        </w:trPr>
        <w:tc>
          <w:tcPr>
            <w:tcW w:w="999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jc w:val="center"/>
              <w:rPr>
                <w:color w:val="auto"/>
              </w:rPr>
            </w:pPr>
            <w:r>
              <w:rPr>
                <w:rFonts w:cs="Arial" w:ascii="sans-serif" w:hAnsi="sans-serif"/>
                <w:color w:val="auto"/>
                <w:sz w:val="24"/>
                <w:lang w:val="pt-BR"/>
              </w:rPr>
              <w:t>Classificação de Risco:</w:t>
            </w:r>
            <w:r>
              <w:rPr>
                <w:color w:val="auto"/>
                <w:lang w:val="pt-BR"/>
              </w:rPr>
              <w:t xml:space="preserve"> </w:t>
            </w:r>
            <w:r>
              <w:rPr>
                <w:rFonts w:cs="Arial" w:ascii="sans-serif" w:hAnsi="sans-serif"/>
                <w:b/>
                <w:bCs/>
                <w:color w:val="auto"/>
                <w:sz w:val="24"/>
                <w:lang w:val="pt-BR"/>
              </w:rPr>
              <w:t xml:space="preserve"> Crítico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CWE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CWE-639: Authorization Bypass Through User-Controlled Key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CWE-284: Improper Access Control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CWE-862: Missing Authorization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CWE-522: Insufficiently Protected Credentials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CVE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N/D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OWASP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A01_2021- Broken_Access_Control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eastAsia="Times New Roman" w:cs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>A07_2021- Identification_and_Authentication_Failures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 xml:space="preserve">Score CVSS 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  <w:t>9.0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Status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sz w:val="21"/>
                <w:szCs w:val="21"/>
                <w:lang w:val="pt-BR"/>
              </w:rPr>
              <w:t>Aberto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</w:rPr>
              <w:t>Descrição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>Foi identificado que a API possui uma vulnerabilidade de IDOR (Insecure Direct Object Reference) combinada com uma falha de autenticação. A vulnerabilidade ocorre quando um endpoint permite o acesso direto a recursos por meio de identificadores (como IDs numéricos ou UUIDs) sem a devida validação de permissões. Além disso, foi observado que não há verificação de autenticação, permitindo que usuários não autenticados acessem informações ou recursos restritos.</w:t>
            </w:r>
          </w:p>
        </w:tc>
      </w:tr>
      <w:tr>
        <w:trPr>
          <w:trHeight w:val="266" w:hRule="atLeast"/>
        </w:trPr>
        <w:tc>
          <w:tcPr>
            <w:tcW w:w="19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Impacto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Usuários mal-intencionados podem acessar dados confidenciais de outros usuários.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Acesso a informações administrativas ou privilegiadas sem as devidas credenciais.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eastAsia="Times New Roman" w:cs="Arial" w:ascii="Arial" w:hAnsi="Arial"/>
                <w:bCs/>
                <w:color w:val="auto"/>
                <w:kern w:val="0"/>
                <w:sz w:val="20"/>
                <w:szCs w:val="20"/>
                <w:lang w:val="pt-BR" w:eastAsia="en-US" w:bidi="ar-SA"/>
              </w:rPr>
              <w:t xml:space="preserve">Violação das políticas de acesso e confidencialidade da aplicação. </w:t>
            </w:r>
          </w:p>
        </w:tc>
      </w:tr>
      <w:tr>
        <w:trPr>
          <w:trHeight w:val="371" w:hRule="atLeast"/>
        </w:trPr>
        <w:tc>
          <w:tcPr>
            <w:tcW w:w="19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bCs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</w:rPr>
              <w:t>Sistema</w:t>
            </w:r>
          </w:p>
        </w:tc>
        <w:tc>
          <w:tcPr>
            <w:tcW w:w="8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Heading1"/>
              <w:widowControl w:val="false"/>
              <w:spacing w:before="120" w:after="0"/>
              <w:rPr/>
            </w:pPr>
            <w:r>
              <w:rPr>
                <w:rFonts w:eastAsia="Times New Roman" w:cs="Arial" w:ascii="Helvetica" w:hAnsi="Helvetica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n-US" w:eastAsia="en-US" w:bidi="ar-SA"/>
              </w:rPr>
              <w:t>https://exemplo.com.br?seqCota=103994</w:t>
            </w:r>
          </w:p>
        </w:tc>
      </w:tr>
      <w:tr>
        <w:trPr>
          <w:trHeight w:val="419" w:hRule="atLeast"/>
        </w:trPr>
        <w:tc>
          <w:tcPr>
            <w:tcW w:w="19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bCs/>
                <w:color w:themeColor="background2" w:val="E7E6E6"/>
                <w:sz w:val="20"/>
                <w:szCs w:val="20"/>
                <w:lang w:val="pt-BR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  <w:lang w:val="pt-BR"/>
              </w:rPr>
              <w:t>Recomendação</w:t>
            </w:r>
          </w:p>
        </w:tc>
        <w:tc>
          <w:tcPr>
            <w:tcW w:w="8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>Exija autenticação para todos os endpoints sensíveis.</w:t>
              <w:br/>
              <w:t>Verifique se o usuário autenticado tem permissão para acessar ou manipular o recurso solicitado.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Nunca confie apenas nos IDs fornecidos pelo cliente.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Implemente verificações no servidor para garantir que o usuário só acesse seus próprios dados.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Use tokens ou UUIDs complexos em vez de identificadores previsíveis como números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>sequenciais.</w:t>
              <w:br/>
              <w:t>Garanta que os usuários tenham acesso apenas ao que é estritamente necessário.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start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>Garanta que endpoints sensíveis sejam acessíveis apenas com uma sessão autenticada e válida.</w:t>
            </w:r>
          </w:p>
        </w:tc>
      </w:tr>
    </w:tbl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BodyText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rPr>
          <w:color w:val="FF4000"/>
        </w:rPr>
      </w:pPr>
      <w:bookmarkStart w:id="7" w:name="__RefHeading___Toc8581_375462287"/>
      <w:bookmarkEnd w:id="7"/>
      <w:r>
        <w:rPr>
          <w:rFonts w:cs="Arial" w:ascii="Arial" w:hAnsi="Arial"/>
          <w:b/>
          <w:bCs/>
          <w:color w:val="FF4000"/>
          <w:sz w:val="28"/>
          <w:szCs w:val="28"/>
          <w:lang w:val="pt-BR"/>
        </w:rPr>
        <w:t>1 - Narrativa da Análise Técnica – Host: exemplo.com.br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Os testes iniciaram no dia </w:t>
      </w:r>
      <w:r>
        <w:rPr>
          <w:rFonts w:cs="Arial" w:ascii="Arial" w:hAnsi="Arial"/>
          <w:b/>
          <w:bCs/>
          <w:lang w:val="pt-BR"/>
        </w:rPr>
        <w:t>18/02/2025</w:t>
      </w:r>
      <w:r>
        <w:rPr>
          <w:rFonts w:cs="Arial" w:ascii="Arial" w:hAnsi="Arial"/>
          <w:lang w:val="pt-BR"/>
        </w:rPr>
        <w:t xml:space="preserve"> de posse apenas do endereço do host.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AQUI TODOS OS TESTES FEITOS , LOGO A BAIXO O QUE FOI LOCALIZADO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tbl>
      <w:tblPr>
        <w:tblW w:w="9990" w:type="dxa"/>
        <w:jc w:val="start"/>
        <w:tblInd w:w="-5" w:type="dxa"/>
        <w:tblLayout w:type="fixed"/>
        <w:tblCellMar>
          <w:top w:w="0" w:type="dxa"/>
          <w:start w:w="58" w:type="dxa"/>
          <w:bottom w:w="0" w:type="dxa"/>
          <w:end w:w="58" w:type="dxa"/>
        </w:tblCellMar>
        <w:tblLook w:firstRow="1" w:noVBand="1" w:lastRow="0" w:firstColumn="1" w:lastColumn="0" w:noHBand="0" w:val="04a0"/>
      </w:tblPr>
      <w:tblGrid>
        <w:gridCol w:w="1985"/>
        <w:gridCol w:w="8005"/>
      </w:tblGrid>
      <w:tr>
        <w:trPr>
          <w:trHeight w:val="456" w:hRule="atLeast"/>
        </w:trPr>
        <w:tc>
          <w:tcPr>
            <w:tcW w:w="999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2F5496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jc w:val="center"/>
              <w:rPr>
                <w:color w:val="auto"/>
              </w:rPr>
            </w:pPr>
            <w:r>
              <w:rPr>
                <w:rFonts w:cs="Arial" w:ascii="sans-serif" w:hAnsi="sans-serif"/>
                <w:color w:val="auto"/>
                <w:sz w:val="24"/>
                <w:lang w:val="pt-BR"/>
              </w:rPr>
              <w:t>Classificação de Risco:</w:t>
            </w:r>
            <w:r>
              <w:rPr>
                <w:color w:val="auto"/>
                <w:lang w:val="pt-BR"/>
              </w:rPr>
              <w:t xml:space="preserve"> </w:t>
            </w:r>
            <w:r>
              <w:rPr>
                <w:rFonts w:cs="Arial" w:ascii="sans-serif" w:hAnsi="sans-serif"/>
                <w:color w:val="auto"/>
                <w:sz w:val="24"/>
                <w:lang w:val="pt-BR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auto"/>
                <w:sz w:val="24"/>
                <w:lang w:val="pt-BR"/>
              </w:rPr>
              <w:t>info</w:t>
            </w:r>
          </w:p>
        </w:tc>
      </w:tr>
      <w:tr>
        <w:trPr>
          <w:trHeight w:val="456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</w:rPr>
              <w:t>ENDPOINT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Heading1"/>
              <w:widowControl w:val="false"/>
              <w:spacing w:before="120" w:after="0"/>
              <w:rPr>
                <w:rFonts w:ascii="Helvetica" w:hAnsi="Helvetica" w:eastAsia="Times New Roman" w:cs="Arial"/>
                <w:b w:val="false"/>
                <w:bCs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Times New Roman" w:cs="Arial" w:ascii="Helvetica" w:hAnsi="Helvetica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n-US" w:eastAsia="en-US" w:bidi="ar-SA"/>
              </w:rPr>
              <w:t>http://exemplor/</w:t>
            </w:r>
          </w:p>
        </w:tc>
      </w:tr>
      <w:tr>
        <w:trPr>
          <w:trHeight w:val="266" w:hRule="atLeast"/>
        </w:trPr>
        <w:tc>
          <w:tcPr>
            <w:tcW w:w="19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color w:themeColor="background2" w:val="E7E6E6"/>
                <w:sz w:val="20"/>
                <w:szCs w:val="20"/>
              </w:rPr>
            </w:pPr>
            <w:r>
              <w:rPr>
                <w:rFonts w:cs="Arial" w:ascii="Arial" w:hAnsi="Arial"/>
                <w:color w:themeColor="background2" w:val="E7E6E6"/>
                <w:sz w:val="20"/>
                <w:szCs w:val="20"/>
              </w:rPr>
              <w:t>Poc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Heading1"/>
              <w:widowControl w:val="false"/>
              <w:spacing w:before="120" w:after="0"/>
              <w:rPr>
                <w:rFonts w:ascii="Helvetica" w:hAnsi="Helvetica" w:eastAsia="Times New Roman" w:cs="Arial"/>
                <w:b w:val="false"/>
                <w:bCs/>
                <w:i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Times New Roman" w:cs="Arial" w:ascii="Helvetica" w:hAnsi="Helvetica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kern w:val="0"/>
                <w:sz w:val="21"/>
                <w:szCs w:val="21"/>
                <w:lang w:val="en-US" w:eastAsia="en-US" w:bidi="ar-SA"/>
              </w:rPr>
              <w:t>http://exemplo/</w:t>
            </w:r>
          </w:p>
        </w:tc>
      </w:tr>
      <w:tr>
        <w:trPr>
          <w:trHeight w:val="419" w:hRule="atLeast"/>
        </w:trPr>
        <w:tc>
          <w:tcPr>
            <w:tcW w:w="19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bCs/>
                <w:color w:themeColor="background2" w:val="E7E6E6"/>
                <w:sz w:val="20"/>
                <w:szCs w:val="20"/>
                <w:lang w:val="pt-BR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  <w:lang w:val="pt-BR"/>
              </w:rPr>
              <w:t>DESCRIÇÃO</w:t>
            </w:r>
          </w:p>
        </w:tc>
        <w:tc>
          <w:tcPr>
            <w:tcW w:w="80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Durante a avaliação, foi identificado que o servidor está expondo a página padrão do </w:t>
            </w:r>
            <w:r>
              <w:rPr>
                <w:rStyle w:val="Strong"/>
                <w:rFonts w:cs="Arial" w:ascii="Arial" w:hAnsi="Arial"/>
                <w:lang w:val="pt-BR"/>
              </w:rPr>
              <w:t>Internet Information Services (IIS)</w:t>
            </w:r>
            <w:r>
              <w:rPr>
                <w:rFonts w:cs="Arial" w:ascii="Arial" w:hAnsi="Arial"/>
                <w:bCs/>
                <w:lang w:val="pt-BR"/>
              </w:rPr>
              <w:t xml:space="preserve">, serviço web nativo do </w:t>
            </w:r>
            <w:r>
              <w:rPr>
                <w:rStyle w:val="Strong"/>
                <w:rFonts w:cs="Arial" w:ascii="Arial" w:hAnsi="Arial"/>
                <w:lang w:val="pt-BR"/>
              </w:rPr>
              <w:t>Windows Server</w:t>
            </w:r>
            <w:r>
              <w:rPr>
                <w:rFonts w:cs="Arial" w:ascii="Arial" w:hAnsi="Arial"/>
                <w:bCs/>
                <w:lang w:val="pt-BR"/>
              </w:rPr>
              <w:t xml:space="preserve">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A página padrão revela informações sobre a tecnologia utilizada (IIS e Windows Server), facilitando o reconhecimento e planejamento de ataques direcionados. </w:t>
            </w:r>
          </w:p>
        </w:tc>
      </w:tr>
      <w:tr>
        <w:trPr>
          <w:trHeight w:val="419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bCs/>
                <w:color w:themeColor="background2" w:val="E7E6E6"/>
                <w:sz w:val="20"/>
                <w:szCs w:val="20"/>
                <w:lang w:val="pt-BR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  <w:lang w:val="pt-BR"/>
              </w:rPr>
              <w:t>RECOMENDAÇÃO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Substitua a página padrão do IIS por uma página personalizada ou configure o servidor para não exibir conteúdo desnecessário.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Desative o serviço web ou restrinja o acesso via firewall e permissões de acesso. </w:t>
            </w:r>
          </w:p>
        </w:tc>
      </w:tr>
      <w:tr>
        <w:trPr>
          <w:trHeight w:val="419" w:hRule="atLeast"/>
        </w:trPr>
        <w:tc>
          <w:tcPr>
            <w:tcW w:w="19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4000" w:val="clear"/>
            <w:vAlign w:val="center"/>
          </w:tcPr>
          <w:p>
            <w:pPr>
              <w:pStyle w:val="FindingTableLabel"/>
              <w:widowControl w:val="false"/>
              <w:spacing w:before="0" w:after="0"/>
              <w:contextualSpacing/>
              <w:rPr>
                <w:rFonts w:ascii="Arial" w:hAnsi="Arial" w:cs="Arial"/>
                <w:bCs/>
                <w:color w:themeColor="background2" w:val="E7E6E6"/>
                <w:sz w:val="20"/>
                <w:szCs w:val="20"/>
                <w:lang w:val="pt-BR"/>
              </w:rPr>
            </w:pPr>
            <w:r>
              <w:rPr>
                <w:rFonts w:cs="Arial" w:ascii="Arial" w:hAnsi="Arial"/>
                <w:bCs/>
                <w:color w:themeColor="background2" w:val="E7E6E6"/>
                <w:sz w:val="20"/>
                <w:szCs w:val="20"/>
                <w:lang w:val="pt-BR"/>
              </w:rPr>
              <w:t>REFERENCIA</w:t>
            </w:r>
          </w:p>
        </w:tc>
        <w:tc>
          <w:tcPr>
            <w:tcW w:w="800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color="auto" w:fill="auto" w:val="clear"/>
            <w:vAlign w:val="center"/>
          </w:tcPr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https://owasp.org/Top10/A05_2021-Security_Misconfiguration/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https://cwe.mitre.org/data/definitions/200.html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 xml:space="preserve">https://cwe.mitre.org/data/definitions/16.html </w:t>
            </w:r>
          </w:p>
          <w:p>
            <w:pPr>
              <w:pStyle w:val="TableText-Medio"/>
              <w:widowControl w:val="false"/>
              <w:spacing w:before="0" w:after="0"/>
              <w:contextualSpacing/>
              <w:jc w:val="both"/>
              <w:rPr>
                <w:rFonts w:ascii="Arial" w:hAnsi="Arial" w:cs="Arial"/>
                <w:bCs/>
                <w:lang w:val="pt-BR"/>
              </w:rPr>
            </w:pPr>
            <w:r>
              <w:rPr>
                <w:rFonts w:cs="Arial" w:ascii="Arial" w:hAnsi="Arial"/>
                <w:bCs/>
                <w:lang w:val="pt-BR"/>
              </w:rPr>
              <w:t>https://learn.microsoft.com/pt-br/troubleshoot/developer/webapps/iis/www-administration-management/default-permissions-user-rights</w:t>
            </w:r>
          </w:p>
        </w:tc>
      </w:tr>
    </w:tbl>
    <w:p>
      <w:pPr>
        <w:pStyle w:val="Normal"/>
        <w:spacing w:lineRule="auto" w:line="276" w:before="57" w:after="57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  <w:t>Caso a porta 80 não seja utilizada é necessário o bloqueio da mesma, informa que a porta 80 é vulnerável a ataques Man-in-the-Middle, devido o protocolo transmitir sua comunicação em texto claro, sem nenhuma proteção de criptografia.</w:t>
      </w:r>
    </w:p>
    <w:p>
      <w:pPr>
        <w:pStyle w:val="Normal"/>
        <w:jc w:val="both"/>
        <w:rPr>
          <w:color w:val="FF4000"/>
        </w:rPr>
      </w:pPr>
      <w:r>
        <w:rPr>
          <w:color w:val="FF4000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  <w:t>Foi possível identificar um misconfiguration na porta 80 possibilitando a identificação do webserve, é necessário bloquear a pagina default.</w:t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  <w:t>É possível chegar na aplicação diretamente com seu IP, é aconselhado direcionar para o waf, impossibilitando acesso ao diretamente ao IP.</w:t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2240" w:h="15840"/>
          <w:pgMar w:left="1134" w:right="1134" w:gutter="0" w:header="0" w:top="0" w:footer="0" w:bottom="568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tabs>
          <w:tab w:val="clear" w:pos="709"/>
          <w:tab w:val="left" w:pos="0" w:leader="none"/>
        </w:tabs>
        <w:ind w:hanging="283" w:start="70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tabs>
          <w:tab w:val="clear" w:pos="709"/>
          <w:tab w:val="left" w:pos="0" w:leader="none"/>
        </w:tabs>
        <w:ind w:hanging="283" w:start="709"/>
        <w:rPr>
          <w:sz w:val="16"/>
          <w:szCs w:val="16"/>
        </w:rPr>
      </w:pPr>
      <w:r>
        <w:rPr>
          <w:sz w:val="16"/>
          <w:szCs w:val="16"/>
        </w:rPr>
      </w:r>
    </w:p>
    <w:p>
      <w:pPr>
        <w:sectPr>
          <w:type w:val="continuous"/>
          <w:pgSz w:w="12240" w:h="15840"/>
          <w:pgMar w:left="1134" w:right="1134" w:gutter="0" w:header="0" w:top="0" w:footer="0" w:bottom="568"/>
          <w:cols w:num="2" w:space="282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uto" w:line="276" w:before="57" w:after="57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spacing w:lineRule="auto" w:line="276" w:before="57" w:after="57"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center"/>
        <w:rPr>
          <w:color w:val="FF4000"/>
        </w:rPr>
      </w:pPr>
      <w:r>
        <w:rPr>
          <w:rFonts w:cs="Arial" w:ascii="Arial" w:hAnsi="Arial"/>
          <w:b/>
          <w:bCs/>
          <w:color w:val="FF4000"/>
          <w:sz w:val="32"/>
          <w:szCs w:val="32"/>
          <w:lang w:val="pt-BR"/>
        </w:rPr>
        <w:t>Conclusão da Análise Técnica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TableText-Medio"/>
        <w:widowControl w:val="false"/>
        <w:spacing w:before="0" w:after="0"/>
        <w:contextualSpacing/>
        <w:jc w:val="both"/>
        <w:rPr/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  <w:t>A divulgação de informações sobre a tecnologia do servidor pode facilitar ataques direcionados. Recomendamos desabilitar ou ocultar cabeçalhos como X-Powered-By e Server para reduzir a superfície de ataque e dificultar a exploração de vulnerabilidades conhecidas.</w:t>
      </w:r>
    </w:p>
    <w:p>
      <w:pPr>
        <w:pStyle w:val="TableText-Medio"/>
        <w:widowControl w:val="false"/>
        <w:spacing w:before="0" w:after="0"/>
        <w:contextualSpacing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  <w:br/>
      </w:r>
    </w:p>
    <w:p>
      <w:pPr>
        <w:pStyle w:val="TableText-Medio"/>
        <w:widowControl w:val="false"/>
        <w:spacing w:before="0" w:after="0"/>
        <w:contextualSpacing/>
        <w:jc w:val="both"/>
        <w:rPr>
          <w:rFonts w:ascii="Arial" w:hAnsi="Arial" w:eastAsia="Times New Roman" w:cs="Arial"/>
          <w:color w:val="auto"/>
          <w:kern w:val="0"/>
          <w:sz w:val="24"/>
          <w:szCs w:val="24"/>
          <w:lang w:val="pt-BR" w:eastAsia="en-US" w:bidi="ar-SA"/>
        </w:rPr>
      </w:pPr>
      <w:r>
        <w:rPr>
          <w:rFonts w:eastAsia="Times New Roman" w:cs="Arial" w:ascii="Arial" w:hAnsi="Arial"/>
          <w:color w:val="auto"/>
          <w:kern w:val="0"/>
          <w:sz w:val="24"/>
          <w:szCs w:val="24"/>
          <w:lang w:val="pt-BR" w:eastAsia="en-US" w:bidi="ar-SA"/>
        </w:rPr>
      </w:r>
    </w:p>
    <w:p>
      <w:pPr>
        <w:pStyle w:val="Normal"/>
        <w:jc w:val="center"/>
        <w:rPr>
          <w:color w:val="FF4000"/>
        </w:rPr>
      </w:pPr>
      <w:r>
        <w:rPr>
          <w:color w:val="FF4000"/>
        </w:rPr>
      </w:r>
    </w:p>
    <w:p>
      <w:pPr>
        <w:pStyle w:val="Normal"/>
        <w:jc w:val="center"/>
        <w:rPr>
          <w:color w:val="FF4000"/>
        </w:rPr>
      </w:pPr>
      <w:r>
        <w:rPr>
          <w:color w:val="FF4000"/>
        </w:rPr>
      </w:r>
    </w:p>
    <w:sectPr>
      <w:type w:val="continuous"/>
      <w:pgSz w:w="12240" w:h="15840"/>
      <w:pgMar w:left="1134" w:right="1134" w:gutter="0" w:header="0" w:top="0" w:footer="0" w:bottom="568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entury Gothic">
    <w:charset w:val="00" w:characterSet="windows-1252"/>
    <w:family w:val="roman"/>
    <w:pitch w:val="variable"/>
  </w:font>
  <w:font w:name="Franklin Gothic Book">
    <w:charset w:val="00" w:characterSet="windows-1252"/>
    <w:family w:val="roman"/>
    <w:pitch w:val="variable"/>
  </w:font>
  <w:font w:name="Calibri Light">
    <w:charset w:val="00" w:characterSet="windows-1252"/>
    <w:family w:val="swiss"/>
    <w:pitch w:val="variable"/>
  </w:font>
  <w:font w:name="Rubik">
    <w:charset w:val="00" w:characterSet="windows-1252"/>
    <w:family w:val="roman"/>
    <w:pitch w:val="variable"/>
  </w:font>
  <w:font w:name="sans-serif">
    <w:altName w:val="Arial"/>
    <w:charset w:val="00" w:characterSet="windows-1252"/>
    <w:family w:val="roman"/>
    <w:pitch w:val="variable"/>
  </w:font>
  <w:font w:name="Helvetica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16510" distL="0" distR="15875" simplePos="0" locked="0" layoutInCell="0" allowOverlap="1" relativeHeight="6" wp14:anchorId="4116BBE5">
              <wp:simplePos x="0" y="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635" r="0" b="0"/>
              <wp:wrapSquare wrapText="bothSides"/>
              <wp:docPr id="9" name="Caixa de Texto 30" descr="Uso intern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FF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lIns="63360" rIns="0" t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30" path="m0,0l-2147483645,0l-2147483645,-2147483646l0,-2147483646xe" stroked="f" o:allowincell="f" style="position:absolute;margin-left:0pt;margin-top:0.05pt;width:34.9pt;height:34.9pt;mso-wrap-style:square;v-text-anchor:top;mso-position-horizontal:left;mso-position-horizontal-relative:page" wp14:anchorId="4116BBE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FF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17145" distL="0" distR="15875" simplePos="0" locked="0" layoutInCell="0" allowOverlap="1" relativeHeight="21" wp14:anchorId="48A7213F">
              <wp:simplePos x="0" y="0"/>
              <wp:positionH relativeFrom="leftMargin">
                <wp:align>left</wp:align>
              </wp:positionH>
              <wp:positionV relativeFrom="paragraph">
                <wp:posOffset>-9748520</wp:posOffset>
              </wp:positionV>
              <wp:extent cx="443865" cy="153670"/>
              <wp:effectExtent l="0" t="0" r="0" b="0"/>
              <wp:wrapSquare wrapText="bothSides"/>
              <wp:docPr id="10" name="Caixa de Texto 1" descr="Uso intern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63360" rIns="0" t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1" path="m0,0l-2147483645,0l-2147483645,-2147483646l0,-2147483646xe" stroked="f" o:allowincell="f" style="position:absolute;margin-left:0pt;margin-top:-767.6pt;width:34.9pt;height:12.05pt;mso-wrap-style:none;v-text-anchor:middle;mso-position-horizontal:left;mso-position-horizontal-relative:page" wp14:anchorId="48A7213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17145" distL="0" distR="15875" simplePos="0" locked="0" layoutInCell="0" allowOverlap="1" relativeHeight="21" wp14:anchorId="48A7213F">
              <wp:simplePos x="0" y="0"/>
              <wp:positionH relativeFrom="leftMargin">
                <wp:align>left</wp:align>
              </wp:positionH>
              <wp:positionV relativeFrom="paragraph">
                <wp:posOffset>-9748520</wp:posOffset>
              </wp:positionV>
              <wp:extent cx="443865" cy="153670"/>
              <wp:effectExtent l="0" t="0" r="0" b="0"/>
              <wp:wrapSquare wrapText="bothSides"/>
              <wp:docPr id="11" name="Caixa de Texto 1" descr="Uso intern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15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FF0000"/>
                              <w:sz w:val="20"/>
                              <w:szCs w:val="20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63360" rIns="0" t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1" path="m0,0l-2147483645,0l-2147483645,-2147483646l0,-2147483646xe" stroked="f" o:allowincell="f" style="position:absolute;margin-left:0pt;margin-top:-767.6pt;width:34.9pt;height:12.05pt;mso-wrap-style:none;v-text-anchor:middle;mso-position-horizontal:left;mso-position-horizontal-relative:page" wp14:anchorId="48A7213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FF0000"/>
                        <w:sz w:val="20"/>
                        <w:szCs w:val="20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2d05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Ttulouser"/>
    <w:next w:val="Normal"/>
    <w:uiPriority w:val="9"/>
    <w:qFormat/>
    <w:pPr>
      <w:keepLines/>
      <w:spacing w:before="120" w:after="0"/>
      <w:outlineLvl w:val="0"/>
    </w:pPr>
    <w:rPr>
      <w:rFonts w:ascii="Liberation Serif" w:hAnsi="Liberation Serif" w:eastAsia="Calibri" w:cs="DejaVu Sans"/>
      <w:sz w:val="36"/>
      <w:szCs w:val="36"/>
    </w:rPr>
  </w:style>
  <w:style w:type="paragraph" w:styleId="Heading2">
    <w:name w:val="heading 2"/>
    <w:basedOn w:val="Ttulouser"/>
    <w:next w:val="BodyText"/>
    <w:uiPriority w:val="9"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103a0"/>
    <w:rPr>
      <w:color w:themeColor="hyperlink" w:val="0563C1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Vnculodendiceuser" w:customStyle="1">
    <w:name w:val="Vínculo de índice (user)"/>
    <w:qFormat/>
    <w:rPr/>
  </w:style>
  <w:style w:type="character" w:styleId="CabealhoChar" w:customStyle="1">
    <w:name w:val="Cabeçalho Char"/>
    <w:basedOn w:val="DefaultParagraphFont"/>
    <w:uiPriority w:val="99"/>
    <w:qFormat/>
    <w:rsid w:val="00882b79"/>
    <w:rPr>
      <w:b/>
      <w:bCs/>
      <w:sz w:val="32"/>
      <w:szCs w:val="32"/>
    </w:rPr>
  </w:style>
  <w:style w:type="character" w:styleId="RodapChar" w:customStyle="1">
    <w:name w:val="Rodapé Char"/>
    <w:basedOn w:val="DefaultParagraphFont"/>
    <w:uiPriority w:val="99"/>
    <w:qFormat/>
    <w:rsid w:val="00882b79"/>
    <w:rPr>
      <w:sz w:val="24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b30aa2"/>
    <w:rPr>
      <w:color w:val="605E5C"/>
      <w:shd w:fill="E1DFDD" w:val="clea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150522"/>
    <w:rPr>
      <w:rFonts w:ascii="Times New Roman" w:hAnsi="Times New Roman" w:eastAsia="Times New Roman" w:cs="Times New Roman"/>
      <w:kern w:val="0"/>
      <w:sz w:val="18"/>
      <w:szCs w:val="18"/>
      <w:lang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9c0d53"/>
    <w:rPr>
      <w:color w:themeColor="followedHyperlink" w:val="954F72"/>
      <w:u w:val="single"/>
    </w:rPr>
  </w:style>
  <w:style w:type="character" w:styleId="Cdigo-fonteuser" w:customStyle="1">
    <w:name w:val="Código-fonte (user)"/>
    <w:qFormat/>
    <w:rPr>
      <w:rFonts w:ascii="Liberation Mono" w:hAnsi="Liberation Mono" w:eastAsia="Liberation Mono" w:cs="Liberation Mono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81e3c"/>
    <w:rPr>
      <w:color w:val="605E5C"/>
      <w:shd w:fill="E1DFDD" w:val="clear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mbolosdenumeraouser">
    <w:name w:val="Símbolos de numeração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 w:customStyle="1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spacing w:before="0" w:after="0"/>
      <w:contextualSpacing/>
      <w:jc w:val="center"/>
    </w:pPr>
    <w:rPr>
      <w:b/>
      <w:spacing w:val="-10"/>
      <w:sz w:val="44"/>
      <w:szCs w:val="56"/>
    </w:rPr>
  </w:style>
  <w:style w:type="paragraph" w:styleId="TitlePage-Normal" w:customStyle="1">
    <w:name w:val="Title Page - Normal"/>
    <w:basedOn w:val="Normal"/>
    <w:qFormat/>
    <w:pPr>
      <w:jc w:val="center"/>
    </w:pPr>
    <w:rPr>
      <w:sz w:val="36"/>
    </w:rPr>
  </w:style>
  <w:style w:type="paragraph" w:styleId="TitlePage-Version" w:customStyle="1">
    <w:name w:val="Title Page - Version"/>
    <w:basedOn w:val="Normal"/>
    <w:next w:val="TitlePage-Normal"/>
    <w:qFormat/>
    <w:pPr>
      <w:jc w:val="center"/>
    </w:pPr>
    <w:rPr>
      <w:i/>
    </w:rPr>
  </w:style>
  <w:style w:type="paragraph" w:styleId="FrameContents" w:customStyle="1">
    <w:name w:val="Frame Contents"/>
    <w:basedOn w:val="Normal"/>
    <w:qFormat/>
    <w:pPr/>
    <w:rPr/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Footer">
    <w:name w:val="footer"/>
    <w:basedOn w:val="Normal"/>
    <w:link w:val="RodapChar"/>
    <w:uiPriority w:val="99"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-Line3" w:customStyle="1">
    <w:name w:val="Footer - Line 3"/>
    <w:basedOn w:val="Normal"/>
    <w:next w:val="Spacer"/>
    <w:qFormat/>
    <w:pPr/>
    <w:rPr/>
  </w:style>
  <w:style w:type="paragraph" w:styleId="Spacer" w:customStyle="1">
    <w:name w:val="*Spacer"/>
    <w:basedOn w:val="Normal"/>
    <w:qFormat/>
    <w:pPr/>
    <w:rPr>
      <w:sz w:val="12"/>
    </w:rPr>
  </w:style>
  <w:style w:type="paragraph" w:styleId="Footer-Line2" w:customStyle="1">
    <w:name w:val="Footer - Line 2"/>
    <w:basedOn w:val="Normal"/>
    <w:next w:val="Footer-Line3"/>
    <w:qFormat/>
    <w:pPr/>
    <w:rPr/>
  </w:style>
  <w:style w:type="paragraph" w:styleId="Textoprformatadouser" w:customStyle="1">
    <w:name w:val="Texto préformatado (user)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Header">
    <w:name w:val="header"/>
    <w:basedOn w:val="Normal"/>
    <w:link w:val="CabealhoChar"/>
    <w:uiPriority w:val="99"/>
    <w:pPr>
      <w:tabs>
        <w:tab w:val="clear" w:pos="709"/>
        <w:tab w:val="right" w:pos="10080" w:leader="none"/>
      </w:tabs>
      <w:jc w:val="end"/>
    </w:pPr>
    <w:rPr>
      <w:b/>
      <w:bCs/>
      <w:sz w:val="32"/>
      <w:szCs w:val="32"/>
    </w:rPr>
  </w:style>
  <w:style w:type="paragraph" w:styleId="Header-SubHeadline" w:customStyle="1">
    <w:name w:val="Header - SubHeadline"/>
    <w:basedOn w:val="Header"/>
    <w:qFormat/>
    <w:pPr>
      <w:pBdr>
        <w:bottom w:val="single" w:sz="18" w:space="1" w:color="000000"/>
      </w:pBdr>
    </w:pPr>
    <w:rPr>
      <w:b w:val="false"/>
      <w:bCs w:val="false"/>
      <w:i/>
      <w:iCs/>
      <w:sz w:val="26"/>
      <w:szCs w:val="26"/>
    </w:rPr>
  </w:style>
  <w:style w:type="paragraph" w:styleId="BodyBlockLabel" w:customStyle="1">
    <w:name w:val="*Body Block Label"/>
    <w:basedOn w:val="Normal"/>
    <w:qFormat/>
    <w:pPr/>
    <w:rPr>
      <w:b/>
    </w:rPr>
  </w:style>
  <w:style w:type="paragraph" w:styleId="BodyBlockLabelnonTOC" w:customStyle="1">
    <w:name w:val="*Body Block Label (non TOC)"/>
    <w:basedOn w:val="BodyBlockLabel"/>
    <w:qFormat/>
    <w:pPr/>
    <w:rPr>
      <w:rFonts w:eastAsia="Calibri"/>
      <w:szCs w:val="20"/>
    </w:rPr>
  </w:style>
  <w:style w:type="paragraph" w:styleId="HeadingParentStyle" w:customStyle="1">
    <w:name w:val="Heading Parent Style"/>
    <w:basedOn w:val="Normal"/>
    <w:qFormat/>
    <w:pPr/>
    <w:rPr>
      <w:rFonts w:ascii="Century Gothic" w:hAnsi="Century Gothic"/>
      <w:b/>
    </w:rPr>
  </w:style>
  <w:style w:type="paragraph" w:styleId="Table-HeaderText" w:customStyle="1">
    <w:name w:val="Table - Header Text"/>
    <w:basedOn w:val="HeadingParentStyle"/>
    <w:qFormat/>
    <w:pPr>
      <w:jc w:val="center"/>
    </w:pPr>
    <w:rPr>
      <w:bCs/>
      <w:color w:val="FFFFFF"/>
      <w:sz w:val="22"/>
      <w:szCs w:val="20"/>
    </w:rPr>
  </w:style>
  <w:style w:type="paragraph" w:styleId="TableText" w:customStyle="1">
    <w:name w:val="Table Text"/>
    <w:basedOn w:val="Normal"/>
    <w:qFormat/>
    <w:pPr/>
    <w:rPr>
      <w:rFonts w:eastAsia="MS Mincho"/>
      <w:szCs w:val="20"/>
    </w:rPr>
  </w:style>
  <w:style w:type="paragraph" w:styleId="Contedodatabelauser" w:customStyle="1">
    <w:name w:val="Conteúdo da tabela (user)"/>
    <w:basedOn w:val="Normal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240"/>
      <w:ind w:hanging="0" w:start="720"/>
      <w:contextualSpacing/>
    </w:pPr>
    <w:rPr/>
  </w:style>
  <w:style w:type="paragraph" w:styleId="TableText-Small" w:customStyle="1">
    <w:name w:val="Table Text - Small"/>
    <w:basedOn w:val="Normal"/>
    <w:qFormat/>
    <w:pPr>
      <w:spacing w:before="120" w:after="120"/>
    </w:pPr>
    <w:rPr>
      <w:sz w:val="20"/>
      <w:szCs w:val="20"/>
    </w:rPr>
  </w:style>
  <w:style w:type="paragraph" w:styleId="TableHeaderText" w:customStyle="1">
    <w:name w:val="*Table Header Text"/>
    <w:basedOn w:val="Normal"/>
    <w:qFormat/>
    <w:pPr>
      <w:jc w:val="center"/>
    </w:pPr>
    <w:rPr>
      <w:b/>
      <w:bCs/>
      <w:color w:val="FFFFFF"/>
      <w:sz w:val="22"/>
      <w:szCs w:val="20"/>
    </w:rPr>
  </w:style>
  <w:style w:type="paragraph" w:styleId="FindingTableLabel" w:customStyle="1">
    <w:name w:val="*Finding Table Label"/>
    <w:basedOn w:val="Normal"/>
    <w:qFormat/>
    <w:pPr>
      <w:ind w:hanging="0" w:end="-170"/>
    </w:pPr>
    <w:rPr>
      <w:b/>
      <w:sz w:val="22"/>
    </w:rPr>
  </w:style>
  <w:style w:type="paragraph" w:styleId="ReferenceSmall" w:customStyle="1">
    <w:name w:val="*Reference (Small)"/>
    <w:basedOn w:val="Normal"/>
    <w:qFormat/>
    <w:pPr/>
    <w:rPr>
      <w:sz w:val="18"/>
      <w:szCs w:val="20"/>
    </w:rPr>
  </w:style>
  <w:style w:type="paragraph" w:styleId="Finding" w:customStyle="1">
    <w:name w:val="*Finding"/>
    <w:basedOn w:val="Normal"/>
    <w:qFormat/>
    <w:pPr/>
    <w:rPr>
      <w:rFonts w:ascii="Franklin Gothic Book" w:hAnsi="Franklin Gothic Book"/>
      <w:b/>
      <w:bCs/>
      <w:i/>
      <w:iCs/>
    </w:rPr>
  </w:style>
  <w:style w:type="paragraph" w:styleId="toaheading">
    <w:name w:val="toa heading"/>
    <w:basedOn w:val="Ttulouser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ndiceuser"/>
    <w:uiPriority w:val="39"/>
    <w:pPr>
      <w:tabs>
        <w:tab w:val="clear" w:pos="709"/>
        <w:tab w:val="right" w:pos="9972" w:leader="dot"/>
      </w:tabs>
    </w:pPr>
    <w:rPr/>
  </w:style>
  <w:style w:type="paragraph" w:styleId="TOC2">
    <w:name w:val="toc 2"/>
    <w:basedOn w:val="ndiceuser"/>
    <w:uiPriority w:val="39"/>
    <w:pPr>
      <w:tabs>
        <w:tab w:val="clear" w:pos="709"/>
        <w:tab w:val="right" w:pos="9689" w:leader="dot"/>
      </w:tabs>
      <w:ind w:hanging="0" w:start="283"/>
    </w:pPr>
    <w:rPr/>
  </w:style>
  <w:style w:type="paragraph" w:styleId="TableText-Medio" w:customStyle="1">
    <w:name w:val="Table Text - Medio"/>
    <w:basedOn w:val="TableText-Small"/>
    <w:qFormat/>
    <w:pPr/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50522"/>
    <w:pPr/>
    <w:rPr>
      <w:sz w:val="18"/>
      <w:szCs w:val="18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642d"/>
    <w:pPr>
      <w:spacing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Contedodoquadrouser">
    <w:name w:val="Conteúdo do quadro (user)"/>
    <w:basedOn w:val="Normal"/>
    <w:qFormat/>
    <w:pPr/>
    <w:rPr/>
  </w:style>
  <w:style w:type="paragraph" w:styleId="Figurauser">
    <w:name w:val="Figura (user)"/>
    <w:basedOn w:val="Caption"/>
    <w:qFormat/>
    <w:pPr/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1">
    <w:name w:val="Light Shading Accent 1"/>
    <w:basedOn w:val="Tabelanormal"/>
    <w:uiPriority w:val="60"/>
    <w:rsid w:val="00284ea2"/>
    <w:rPr>
      <w:rFonts w:asciiTheme="minorHAnsi" w:hAnsiTheme="minorHAnsi" w:eastAsiaTheme="minorHAnsi" w:cstheme="minorBidi"/>
      <w:lang w:val="pt-BR" w:eastAsia="en-US" w:bidi="ar-SA"/>
      <w:color w:themeColor="accent1" w:themeShade="bf"/>
      <w:sz w:val="22"/>
      <w:szCs w:val="22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elacomgrade">
    <w:name w:val="Table Grid"/>
    <w:basedOn w:val="Tabelanormal"/>
    <w:uiPriority w:val="39"/>
    <w:rsid w:val="00b72c8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chart" Target="charts/chart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autoTitleDeleted val="1"/>
    <c:view3D>
      <c:rotX val="30"/>
      <c:rotY val="0"/>
      <c:rAngAx val="0"/>
      <c:perspective val="10"/>
    </c:view3D>
    <c:floor>
      <c:spPr>
        <a:solidFill>
          <a:srgbClr val="d9d9d9"/>
        </a:solidFill>
        <a:ln w="0">
          <a:noFill/>
        </a:ln>
      </c:spPr>
    </c:floor>
    <c:sideWall>
      <c:spPr>
        <a:solidFill>
          <a:srgbClr val="d9d9d9"/>
        </a:solidFill>
        <a:ln w="0">
          <a:noFill/>
        </a:ln>
      </c:spPr>
    </c:sideWall>
    <c:backWall>
      <c:spPr>
        <a:solidFill>
          <a:srgbClr val="d9d9d9"/>
        </a:solidFill>
        <a:ln w="0">
          <a:noFill/>
        </a:ln>
      </c:spPr>
    </c:backWall>
    <c:plotArea>
      <c:pie3D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Coluna 1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00a933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ff0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ff8000"/>
              </a:solidFill>
              <a:ln w="0">
                <a:noFill/>
              </a:ln>
            </c:spPr>
          </c:dPt>
          <c:dPt>
            <c:idx val="4"/>
            <c:spPr>
              <a:solidFill>
                <a:srgbClr val="ff0000"/>
              </a:solidFill>
              <a:ln w="0">
                <a:noFill/>
              </a:ln>
            </c:spPr>
          </c:dPt>
          <c:dLbls>
            <c:numFmt formatCode="General" sourceLinked="0"/>
            <c:dLbl>
              <c:idx val="0"/>
              <c:numFmt formatCode="General" sourceLinked="0"/>
              <c:txPr>
                <a:bodyPr wrap="none"/>
                <a:lstStyle/>
                <a:p>
                  <a:pPr>
                    <a:defRPr b="1" sz="2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1"/>
              <c:numFmt formatCode="General" sourceLinked="0"/>
              <c:txPr>
                <a:bodyPr wrap="none"/>
                <a:lstStyle/>
                <a:p>
                  <a:pPr>
                    <a:defRPr b="1" sz="2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2"/>
              <c:numFmt formatCode="General" sourceLinked="0"/>
              <c:txPr>
                <a:bodyPr wrap="none"/>
                <a:lstStyle/>
                <a:p>
                  <a:pPr>
                    <a:defRPr b="1" sz="2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3"/>
              <c:numFmt formatCode="General" sourceLinked="0"/>
              <c:txPr>
                <a:bodyPr wrap="none"/>
                <a:lstStyle/>
                <a:p>
                  <a:pPr>
                    <a:defRPr b="1" sz="2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dLbl>
              <c:idx val="4"/>
              <c:numFmt formatCode="General" sourceLinked="0"/>
              <c:txPr>
                <a:bodyPr wrap="none"/>
                <a:lstStyle/>
                <a:p>
                  <a:pPr>
                    <a:defRPr b="1" sz="2000" strike="noStrike" u="none">
                      <a:solidFill>
                        <a:srgbClr val="000000"/>
                      </a:solidFill>
                      <a:uFillTx/>
                      <a:latin typeface="Arial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1" sz="2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eparator> </c:separator>
            <c:showLeaderLines val="1"/>
            <c:leaderLines>
              <c:spPr>
                <a:ln w="0">
                  <a:solidFill>
                    <a:srgbClr val="000000"/>
                  </a:solidFill>
                </a:ln>
              </c:spPr>
            </c:leaderLines>
          </c:dLbls>
          <c:cat>
            <c:strRef>
              <c:f>categories</c:f>
              <c:strCache>
                <c:ptCount val="5"/>
                <c:pt idx="0">
                  <c:v>Info</c:v>
                </c:pt>
                <c:pt idx="1">
                  <c:v>Baixa</c:v>
                </c:pt>
                <c:pt idx="2">
                  <c:v>Média</c:v>
                </c:pt>
                <c:pt idx="3">
                  <c:v>Alta</c:v>
                </c:pt>
                <c:pt idx="4">
                  <c:v>Crítico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3</c:v>
                </c:pt>
                <c:pt idx="2">
                  <c:v>3</c:v>
                </c:pt>
                <c:pt idx="3">
                  <c:v>0</c:v>
                </c:pt>
                <c:pt idx="4">
                  <c:v>2</c:v>
                </c:pt>
              </c:numCache>
            </c:numRef>
          </c:val>
        </c:ser>
      </c:pie3DChart>
    </c:plotArea>
    <c:legend>
      <c:legendPos val="r"/>
      <c:layout>
        <c:manualLayout>
          <c:xMode val="edge"/>
          <c:yMode val="edge"/>
          <c:x val="0.807875"/>
          <c:y val="0.327"/>
          <c:w val="0.176323520220014"/>
          <c:h val="0.457717524169352"/>
        </c:manualLayout>
      </c:layout>
      <c:overlay val="0"/>
      <c:spPr>
        <a:noFill/>
        <a:ln w="0">
          <a:noFill/>
        </a:ln>
      </c:spPr>
      <c:txPr>
        <a:bodyPr/>
        <a:lstStyle/>
        <a:p>
          <a:pPr>
            <a:defRPr b="0" sz="14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zero"/>
  </c:chart>
  <c:spPr>
    <a:noFill/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B95D1E-96B4-47E7-AA00-88BE1660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34211</TotalTime>
  <Application>LibreOffice/25.8.2.2$Windows_X86_64 LibreOffice_project/d401f2107ccab8f924a8e2df40f573aab7605b6f</Application>
  <AppVersion>15.0000</AppVersion>
  <Pages>8</Pages>
  <Words>948</Words>
  <Characters>6165</Characters>
  <CharactersWithSpaces>7073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2022-10-13T14:13:00Z</dcterms:created>
  <dc:creator>Carlos Tuma</dc:creator>
  <dc:description/>
  <dc:language>en-US</dc:language>
  <cp:lastModifiedBy/>
  <dcterms:modified xsi:type="dcterms:W3CDTF">2025-11-18T20:34:21Z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#ff0000,10,Calibri</vt:lpwstr>
  </property>
  <property fmtid="{D5CDD505-2E9C-101B-9397-08002B2CF9AE}" pid="3" name="ClassificationContentMarkingFooterShapeIds">
    <vt:lpwstr>3,1e,1f</vt:lpwstr>
  </property>
  <property fmtid="{D5CDD505-2E9C-101B-9397-08002B2CF9AE}" pid="4" name="ClassificationContentMarkingFooterText">
    <vt:lpwstr>Uso interno</vt:lpwstr>
  </property>
  <property fmtid="{D5CDD505-2E9C-101B-9397-08002B2CF9AE}" pid="5" name="MSIP_Label_1b0f1af0-6c9b-449f-9890-747d328726f3_ActionId">
    <vt:lpwstr>b89f6528-875c-4119-ab12-b99a934f07d8</vt:lpwstr>
  </property>
  <property fmtid="{D5CDD505-2E9C-101B-9397-08002B2CF9AE}" pid="6" name="MSIP_Label_1b0f1af0-6c9b-449f-9890-747d328726f3_ContentBits">
    <vt:lpwstr>2</vt:lpwstr>
  </property>
  <property fmtid="{D5CDD505-2E9C-101B-9397-08002B2CF9AE}" pid="7" name="MSIP_Label_1b0f1af0-6c9b-449f-9890-747d328726f3_Enabled">
    <vt:lpwstr>true</vt:lpwstr>
  </property>
  <property fmtid="{D5CDD505-2E9C-101B-9397-08002B2CF9AE}" pid="8" name="MSIP_Label_1b0f1af0-6c9b-449f-9890-747d328726f3_Method">
    <vt:lpwstr>Privileged</vt:lpwstr>
  </property>
  <property fmtid="{D5CDD505-2E9C-101B-9397-08002B2CF9AE}" pid="9" name="MSIP_Label_1b0f1af0-6c9b-449f-9890-747d328726f3_Name">
    <vt:lpwstr>Interno</vt:lpwstr>
  </property>
  <property fmtid="{D5CDD505-2E9C-101B-9397-08002B2CF9AE}" pid="10" name="MSIP_Label_1b0f1af0-6c9b-449f-9890-747d328726f3_SetDate">
    <vt:lpwstr>2022-10-11T19:36:14Z</vt:lpwstr>
  </property>
  <property fmtid="{D5CDD505-2E9C-101B-9397-08002B2CF9AE}" pid="11" name="MSIP_Label_1b0f1af0-6c9b-449f-9890-747d328726f3_SiteId">
    <vt:lpwstr>6c323b1c-4f63-4552-a20f-6d0da0bbf032</vt:lpwstr>
  </property>
</Properties>
</file>