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Acta — Reunión sobre facturación, cobros y contabilidad</w:t>
      </w:r>
    </w:p>
    <w:p>
      <w:r>
        <w:t>Fecha: 16 de septiembre de 2026. Asistentes: Rafael Monzón (contabilidad), Elena Sanchís (gerencia), Teresa Gállego (responsable de Huellas Ribera), Andrés Royo (Estudio Norte Software).</w:t>
      </w:r>
    </w:p>
    <w:p>
      <w:pPr>
        <w:pStyle w:val="Heading1"/>
      </w:pPr>
      <w:r>
        <w:t>1. Series y numeración de facturas</w:t>
      </w:r>
    </w:p>
    <w:p>
      <w:r>
        <w:t>Cada clínica tiene hoy su propia serie de facturas: C (Centro), N (Norte), R (Ribera) y M (Montaña), con numeración correlativa por año (C-2026-000123). Rafael pide mantenerlo así porque la gestoría lo tiene configurado. Las facturas rectificativas llevan su propia serie por clínica (CR, NR, RR y MR) y siempre referencian la factura que rectifican.</w:t>
      </w:r>
    </w:p>
    <w:p>
      <w:r>
        <w:t>Una factura emitida no se puede borrar ni modificar: si hay un error, se hace una rectificativa. Rafael insiste en que esto lo cumpla la plataforma sin excepciones, también para los responsables de clínica.</w:t>
      </w:r>
    </w:p>
    <w:p>
      <w:pPr>
        <w:pStyle w:val="Heading1"/>
      </w:pPr>
      <w:r>
        <w:t>2. Factura simplificada y completa</w:t>
      </w:r>
    </w:p>
    <w:p>
      <w:r>
        <w:t>Por defecto se emite factura simplificada (ticket) salvo que el cliente pida factura completa con sus datos fiscales. Si un cliente pide la factura completa días después, se emite una factura completa que sustituye a la simplificada, en la serie correspondiente. Las empresas (protectoras, criaderos, ayuntamientos con convenio) siempre reciben factura completa.</w:t>
      </w:r>
    </w:p>
    <w:p>
      <w:pPr>
        <w:pStyle w:val="Heading1"/>
      </w:pPr>
      <w:r>
        <w:t>3. Cierre de caja</w:t>
      </w:r>
    </w:p>
    <w:p>
      <w:pPr>
        <w:pStyle w:val="ListBullet"/>
      </w:pPr>
      <w:r>
        <w:t>Cada clínica cierra caja al final del día: efectivo contado frente a efectivo esperado, cobros con tarjeta frente al listado del datáfono y cobros en línea.</w:t>
      </w:r>
    </w:p>
    <w:p>
      <w:pPr>
        <w:pStyle w:val="ListBullet"/>
      </w:pPr>
      <w:r>
        <w:t>Las diferencias de efectivo superiores a 5 euros se justifican por escrito y las revisa el responsable de clínica.</w:t>
      </w:r>
    </w:p>
    <w:p>
      <w:pPr>
        <w:pStyle w:val="ListBullet"/>
      </w:pPr>
      <w:r>
        <w:t>Un cierre de caja hecho no se puede reabrir; los cobros que lleguen después cuentan para el día siguiente.</w:t>
      </w:r>
    </w:p>
    <w:p>
      <w:pPr>
        <w:pStyle w:val="ListBullet"/>
      </w:pPr>
      <w:r>
        <w:t>Huellas Centro tiene dos cierres: el de la recepción de día (a las 21:00) y el de urgencias (a las 9:00 del día siguiente).</w:t>
      </w:r>
    </w:p>
    <w:p>
      <w:pPr>
        <w:pStyle w:val="Heading1"/>
      </w:pPr>
      <w:r>
        <w:t>4. Exportación contable</w:t>
      </w:r>
    </w:p>
    <w:p>
      <w:r>
        <w:t>Rafael necesita un fichero mensual por clínica con una línea por factura: serie, número, fecha, cliente o NIF si es factura completa, base imponible por tipo de IVA (21 %, 10 % y exento), cuota de IVA, total y forma de cobro. Las facturas a aseguradoras se separan en dos líneas: la parte de la aseguradora y la del cliente. El formato es un fichero de texto separado por punto y coma; Rafael enviará un ejemplo.</w:t>
      </w:r>
    </w:p>
    <w:p>
      <w:pPr>
        <w:pStyle w:val="Heading1"/>
      </w:pPr>
      <w:r>
        <w:t>5. Pagos fraccionados y deudas</w:t>
      </w:r>
    </w:p>
    <w:p>
      <w:r>
        <w:t>Los pagos fraccionados se usan sobre todo en cirugías y hospitalizaciones largas. Teresa comenta que en Ribera se han dado fraccionamientos de cuatro y cinco plazos a clientes de confianza. Gerencia confirma que el máximo son tres plazos y que cualquier excepción la autoriza gerencia, no el responsable de clínica.</w:t>
      </w:r>
    </w:p>
    <w:p>
      <w:r>
        <w:t>Cuando un cliente acumula una deuda de más de 150 euros con más de 60 días de antigüedad, recepción le recuerda la deuda al dar la siguiente cita. No se le niega la atención de urgencia en ningún caso. Rafael quiere un listado mensual de deudas por antigüedad (0-30, 31-60, 61-90 y más de 90 días).</w:t>
      </w:r>
    </w:p>
    <w:p>
      <w:pPr>
        <w:pStyle w:val="Heading1"/>
      </w:pPr>
      <w:r>
        <w:t>6. Domiciliaciones de los planes de salud</w:t>
      </w:r>
    </w:p>
    <w:p>
      <w:r>
        <w:t>Las cuotas de los planes se cobran el día 5 de cada mes mediante remesa bancaria. Contabilidad genera la remesa a partir de los planes activos y la sube al banco. Los recibos devueltos llegan del banco en un fichero que hay que cargar para marcar los planes como impagados. Al segundo recibo devuelto seguido, el plan se da de baja y se aplica la regla de permanencia.</w:t>
      </w:r>
    </w:p>
    <w:p>
      <w:pPr>
        <w:pStyle w:val="Heading1"/>
      </w:pPr>
      <w:r>
        <w:t>7. Aseguradoras</w:t>
      </w:r>
    </w:p>
    <w:p>
      <w:r>
        <w:t>Seguros Animalia: fichero mensual con las facturas de sus asegurados, el número de póliza y el importe a su cargo; pagan a 60 días. Mascota Protegida: además de la autorización previa para cirugías, pide que la factura lleve su número de autorización; paga a 30 días. Rafael quiere ver en la plataforma qué está pendiente de cobrar de cada aseguradora y desde cuándo.</w:t>
      </w:r>
    </w:p>
    <w:p>
      <w:pPr>
        <w:pStyle w:val="Heading1"/>
      </w:pPr>
      <w:r>
        <w:t>8. Acuerdos</w:t>
      </w:r>
    </w:p>
    <w:p>
      <w:pPr>
        <w:pStyle w:val="ListNumber"/>
      </w:pPr>
      <w:r>
        <w:t>Mantener las series por clínica y crear las series rectificativas.</w:t>
      </w:r>
    </w:p>
    <w:p>
      <w:pPr>
        <w:pStyle w:val="ListNumber"/>
      </w:pPr>
      <w:r>
        <w:t>Fraccionamiento máximo de tres plazos; excepciones solo con autorización de gerencia.</w:t>
      </w:r>
    </w:p>
    <w:p>
      <w:pPr>
        <w:pStyle w:val="ListNumber"/>
      </w:pPr>
      <w:r>
        <w:t>Rafael enviará el ejemplo del fichero contable y del fichero de devoluciones del banco.</w:t>
      </w:r>
    </w:p>
    <w:p>
      <w:pPr>
        <w:pStyle w:val="ListNumber"/>
      </w:pPr>
      <w:r>
        <w:t>Estudio Norte Software incluirá en la especificación el cierre de caja doble de Huellas Centro.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