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left"/>
      </w:pPr>
      <w:r>
        <w:t>ONTOLOGY REUSE AND ALIGNMENT</w:t>
      </w:r>
    </w:p>
    <w:p>
      <w:pPr>
        <w:pStyle w:val="Heading2"/>
        <w:keepNext/>
        <w:widowControl/>
      </w:pPr>
      <w:r>
        <w:t>SIoTSecurity Ontology</w:t>
      </w:r>
    </w:p>
    <w:p>
      <w:pPr>
        <w:pStyle w:val="Heading3"/>
        <w:keepNext/>
        <w:widowControl/>
      </w:pPr>
      <w:r>
        <w:t>Step 2 - Reuse Ontologies and Metadata</w:t>
      </w:r>
    </w:p>
    <w:p>
      <w:pPr>
        <w:widowControl/>
      </w:pPr>
    </w:p>
    <w:p>
      <w:pPr>
        <w:pStyle w:val="Heading2"/>
        <w:keepNext/>
        <w:widowControl/>
      </w:pPr>
      <w:r>
        <w:t>Document Control</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2608"/>
            <w:vAlign w:val="top"/>
            <w:tcMar>
              <w:top w:w="70" w:type="dxa"/>
              <w:start w:w="80" w:type="dxa"/>
              <w:bottom w:w="70" w:type="dxa"/>
              <w:end w:w="80" w:type="dxa"/>
            </w:tcMar>
            <w:shd w:fill="D9EAF7"/>
          </w:tcPr>
          <w:p>
            <w:pPr>
              <w:spacing w:after="30" w:before="0" w:line="240" w:lineRule="auto"/>
            </w:pPr>
            <w:r>
              <w:rPr>
                <w:b/>
                <w:sz w:val="18"/>
              </w:rPr>
              <w:t>Field</w:t>
            </w:r>
          </w:p>
        </w:tc>
        <w:tc>
          <w:tcPr>
            <w:tcW w:type="dxa" w:w="6803"/>
            <w:vAlign w:val="top"/>
            <w:tcMar>
              <w:top w:w="70" w:type="dxa"/>
              <w:start w:w="80" w:type="dxa"/>
              <w:bottom w:w="70" w:type="dxa"/>
              <w:end w:w="80" w:type="dxa"/>
            </w:tcMar>
            <w:shd w:fill="D9EAF7"/>
          </w:tcPr>
          <w:p>
            <w:pPr>
              <w:spacing w:after="30" w:before="0" w:line="240" w:lineRule="auto"/>
            </w:pPr>
            <w:r>
              <w:rPr>
                <w:b/>
                <w:sz w:val="18"/>
              </w:rPr>
              <w:t>Value</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Document name</w:t>
            </w:r>
          </w:p>
        </w:tc>
        <w:tc>
          <w:tcPr>
            <w:tcW w:type="dxa" w:w="6803"/>
            <w:vAlign w:val="top"/>
            <w:tcMar>
              <w:top w:w="70" w:type="dxa"/>
              <w:start w:w="80" w:type="dxa"/>
              <w:bottom w:w="70" w:type="dxa"/>
              <w:end w:w="80" w:type="dxa"/>
            </w:tcMar>
          </w:tcPr>
          <w:p>
            <w:pPr>
              <w:spacing w:after="30" w:before="0" w:line="240" w:lineRule="auto"/>
            </w:pPr>
            <w:r>
              <w:rPr>
                <w:sz w:val="18"/>
              </w:rPr>
              <w:t>SIoTSecurity Ontology Reuse</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Methodological stage</w:t>
            </w:r>
          </w:p>
        </w:tc>
        <w:tc>
          <w:tcPr>
            <w:tcW w:type="dxa" w:w="6803"/>
            <w:vAlign w:val="top"/>
            <w:tcMar>
              <w:top w:w="70" w:type="dxa"/>
              <w:start w:w="80" w:type="dxa"/>
              <w:bottom w:w="70" w:type="dxa"/>
              <w:end w:w="80" w:type="dxa"/>
            </w:tcMar>
          </w:tcPr>
          <w:p>
            <w:pPr>
              <w:spacing w:after="30" w:before="0" w:line="240" w:lineRule="auto"/>
            </w:pPr>
            <w:r>
              <w:rPr>
                <w:sz w:val="18"/>
              </w:rPr>
              <w:t>Formal Abstraction Stage</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Methodological step</w:t>
            </w:r>
          </w:p>
        </w:tc>
        <w:tc>
          <w:tcPr>
            <w:tcW w:type="dxa" w:w="6803"/>
            <w:vAlign w:val="top"/>
            <w:tcMar>
              <w:top w:w="70" w:type="dxa"/>
              <w:start w:w="80" w:type="dxa"/>
              <w:bottom w:w="70" w:type="dxa"/>
              <w:end w:w="80" w:type="dxa"/>
            </w:tcMar>
          </w:tcPr>
          <w:p>
            <w:pPr>
              <w:spacing w:after="30" w:before="0" w:line="240" w:lineRule="auto"/>
            </w:pPr>
            <w:r>
              <w:rPr>
                <w:sz w:val="18"/>
              </w:rPr>
              <w:t>Step 2 - Reuse Ontologies and Metadata</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Version</w:t>
            </w:r>
          </w:p>
        </w:tc>
        <w:tc>
          <w:tcPr>
            <w:tcW w:type="dxa" w:w="6803"/>
            <w:vAlign w:val="top"/>
            <w:tcMar>
              <w:top w:w="70" w:type="dxa"/>
              <w:start w:w="80" w:type="dxa"/>
              <w:bottom w:w="70" w:type="dxa"/>
              <w:end w:w="80" w:type="dxa"/>
            </w:tcMar>
          </w:tcPr>
          <w:p>
            <w:pPr>
              <w:spacing w:after="30" w:before="0" w:line="240" w:lineRule="auto"/>
            </w:pPr>
            <w:r>
              <w:rPr>
                <w:sz w:val="18"/>
              </w:rPr>
              <w:t>1.0</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Status</w:t>
            </w:r>
          </w:p>
        </w:tc>
        <w:tc>
          <w:tcPr>
            <w:tcW w:type="dxa" w:w="6803"/>
            <w:vAlign w:val="top"/>
            <w:tcMar>
              <w:top w:w="70" w:type="dxa"/>
              <w:start w:w="80" w:type="dxa"/>
              <w:bottom w:w="70" w:type="dxa"/>
              <w:end w:w="80" w:type="dxa"/>
            </w:tcMar>
          </w:tcPr>
          <w:p>
            <w:pPr>
              <w:spacing w:after="30" w:before="0" w:line="240" w:lineRule="auto"/>
            </w:pPr>
            <w:r>
              <w:rPr>
                <w:sz w:val="18"/>
              </w:rPr>
              <w:t>COMPLETED FOR REVIEW</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Completion date</w:t>
            </w:r>
          </w:p>
        </w:tc>
        <w:tc>
          <w:tcPr>
            <w:tcW w:type="dxa" w:w="6803"/>
            <w:vAlign w:val="top"/>
            <w:tcMar>
              <w:top w:w="70" w:type="dxa"/>
              <w:start w:w="80" w:type="dxa"/>
              <w:bottom w:w="70" w:type="dxa"/>
              <w:end w:w="80" w:type="dxa"/>
            </w:tcMar>
          </w:tcPr>
          <w:p>
            <w:pPr>
              <w:spacing w:after="30" w:before="0" w:line="240" w:lineRule="auto"/>
            </w:pPr>
            <w:r>
              <w:rPr>
                <w:sz w:val="18"/>
              </w:rPr>
              <w:t>7 August 2026</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Step 1 baseline</w:t>
            </w:r>
          </w:p>
        </w:tc>
        <w:tc>
          <w:tcPr>
            <w:tcW w:type="dxa" w:w="6803"/>
            <w:vAlign w:val="top"/>
            <w:tcMar>
              <w:top w:w="70" w:type="dxa"/>
              <w:start w:w="80" w:type="dxa"/>
              <w:bottom w:w="70" w:type="dxa"/>
              <w:end w:w="80" w:type="dxa"/>
            </w:tcMar>
          </w:tcPr>
          <w:p>
            <w:pPr>
              <w:spacing w:after="30" w:before="0" w:line="240" w:lineRule="auto"/>
            </w:pPr>
            <w:r>
              <w:rPr>
                <w:sz w:val="18"/>
              </w:rPr>
              <w:t>SIoTSecurity Ontology Formalization v1.1 - APPROVED</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Primary ontology language</w:t>
            </w:r>
          </w:p>
        </w:tc>
        <w:tc>
          <w:tcPr>
            <w:tcW w:type="dxa" w:w="6803"/>
            <w:vAlign w:val="top"/>
            <w:tcMar>
              <w:top w:w="70" w:type="dxa"/>
              <w:start w:w="80" w:type="dxa"/>
              <w:bottom w:w="70" w:type="dxa"/>
              <w:end w:w="80" w:type="dxa"/>
            </w:tcMar>
          </w:tcPr>
          <w:p>
            <w:pPr>
              <w:spacing w:after="30" w:before="0" w:line="240" w:lineRule="auto"/>
            </w:pPr>
            <w:r>
              <w:rPr>
                <w:sz w:val="18"/>
              </w:rPr>
              <w:t>English</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Secondary annotation language</w:t>
            </w:r>
          </w:p>
        </w:tc>
        <w:tc>
          <w:tcPr>
            <w:tcW w:type="dxa" w:w="6803"/>
            <w:vAlign w:val="top"/>
            <w:tcMar>
              <w:top w:w="70" w:type="dxa"/>
              <w:start w:w="80" w:type="dxa"/>
              <w:bottom w:w="70" w:type="dxa"/>
              <w:end w:w="80" w:type="dxa"/>
            </w:tcMar>
          </w:tcPr>
          <w:p>
            <w:pPr>
              <w:spacing w:after="30" w:before="0" w:line="240" w:lineRule="auto"/>
            </w:pPr>
            <w:r>
              <w:rPr>
                <w:sz w:val="18"/>
              </w:rPr>
              <w:t>Spanish</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Target representation language</w:t>
            </w:r>
          </w:p>
        </w:tc>
        <w:tc>
          <w:tcPr>
            <w:tcW w:type="dxa" w:w="6803"/>
            <w:vAlign w:val="top"/>
            <w:tcMar>
              <w:top w:w="70" w:type="dxa"/>
              <w:start w:w="80" w:type="dxa"/>
              <w:bottom w:w="70" w:type="dxa"/>
              <w:end w:w="80" w:type="dxa"/>
            </w:tcMar>
          </w:tcPr>
          <w:p>
            <w:pPr>
              <w:spacing w:after="30" w:before="0" w:line="240" w:lineRule="auto"/>
            </w:pPr>
            <w:r>
              <w:rPr>
                <w:sz w:val="18"/>
              </w:rPr>
              <w:t>OWL 2 DL</w:t>
            </w:r>
          </w:p>
        </w:tc>
      </w:tr>
      <w:tr>
        <w:trPr>
          <w:cantSplit/>
        </w:trPr>
        <w:tc>
          <w:tcPr>
            <w:tcW w:type="dxa" w:w="2608"/>
            <w:vAlign w:val="top"/>
            <w:tcMar>
              <w:top w:w="70" w:type="dxa"/>
              <w:start w:w="80" w:type="dxa"/>
              <w:bottom w:w="70" w:type="dxa"/>
              <w:end w:w="80" w:type="dxa"/>
            </w:tcMar>
          </w:tcPr>
          <w:p>
            <w:pPr>
              <w:spacing w:after="30" w:before="0" w:line="240" w:lineRule="auto"/>
            </w:pPr>
            <w:r>
              <w:rPr>
                <w:sz w:val="18"/>
              </w:rPr>
              <w:t>Reuse policy</w:t>
            </w:r>
          </w:p>
        </w:tc>
        <w:tc>
          <w:tcPr>
            <w:tcW w:type="dxa" w:w="6803"/>
            <w:vAlign w:val="top"/>
            <w:tcMar>
              <w:top w:w="70" w:type="dxa"/>
              <w:start w:w="80" w:type="dxa"/>
              <w:bottom w:w="70" w:type="dxa"/>
              <w:end w:w="80" w:type="dxa"/>
            </w:tcMar>
          </w:tcPr>
          <w:p>
            <w:pPr>
              <w:spacing w:after="30" w:before="0" w:line="240" w:lineRule="auto"/>
            </w:pPr>
            <w:r>
              <w:rPr>
                <w:sz w:val="18"/>
              </w:rPr>
              <w:t>Selective direct IRI reuse and explicit alignment; no external owl:imports in SIoTSecurity v1.0</w:t>
            </w:r>
          </w:p>
        </w:tc>
      </w:tr>
    </w:tbl>
    <w:p>
      <w:pPr>
        <w:widowControl/>
      </w:pPr>
    </w:p>
    <w:tbl>
      <w:tblPr>
        <w:tblW w:type="auto" w:w="0"/>
        <w:jc w:val="center"/>
        <w:tblLook w:firstColumn="1" w:firstRow="1" w:lastColumn="0" w:lastRow="0" w:noHBand="0" w:noVBand="1" w:val="04A0"/>
        <w:tblBorders>
          <w:top w:val="single" w:sz="8" w:space="0" w:color="8FB3C8"/>
          <w:left w:val="single" w:sz="8" w:space="0" w:color="8FB3C8"/>
          <w:bottom w:val="single" w:sz="8" w:space="0" w:color="8FB3C8"/>
          <w:right w:val="single" w:sz="8" w:space="0" w:color="8FB3C8"/>
          <w:insideH w:val="single" w:sz="8" w:space="0" w:color="8FB3C8"/>
          <w:insideV w:val="single" w:sz="8" w:space="0" w:color="8FB3C8"/>
        </w:tblBorders>
      </w:tblPr>
      <w:tblGrid>
        <w:gridCol w:w="9972"/>
      </w:tblGrid>
      <w:tr>
        <w:tc>
          <w:tcPr>
            <w:tcW w:type="dxa" w:w="9972"/>
            <w:shd w:fill="EEF5F9"/>
            <w:tcMar>
              <w:top w:w="100" w:type="dxa"/>
              <w:start w:w="120" w:type="dxa"/>
              <w:bottom w:w="100" w:type="dxa"/>
              <w:end w:w="120" w:type="dxa"/>
            </w:tcMar>
          </w:tcPr>
          <w:p>
            <w:r>
              <w:rPr>
                <w:b/>
              </w:rPr>
              <w:t xml:space="preserve">Decisive Step 2 outcome: </w:t>
            </w:r>
            <w:r>
              <w:t>The owl:imports versus alignment decision is closed in this document. SIoTSecurity v1.0 will not fully import any external ontology. Reuse will be performed by selective direct IRI reuse, specialization, or explicit mapping, depending on semantic compatibility and stability.</w:t>
            </w:r>
          </w:p>
        </w:tc>
      </w:tr>
    </w:tbl>
    <w:p>
      <w:pPr>
        <w:widowControl/>
      </w:pPr>
    </w:p>
    <w:p>
      <w:pPr>
        <w:pStyle w:val="Heading1"/>
        <w:keepNext/>
        <w:widowControl/>
      </w:pPr>
      <w:r>
        <w:t>1. Purpose and Approved Baseline</w:t>
      </w:r>
    </w:p>
    <w:p>
      <w:pPr>
        <w:pStyle w:val="BodyText"/>
        <w:widowControl/>
        <w:spacing w:after="100"/>
      </w:pPr>
      <w:r>
        <w:rPr>
          <w:i w:val="0"/>
        </w:rPr>
        <w:t>This document completes Step 2 of the adapted METHONTOLOGY process by determining which existing ontologies, semantic vocabularies, standards, taxonomies, and conceptual resources will be reused by SIoTSecurity and how each resource will be integrated.</w:t>
      </w:r>
    </w:p>
    <w:p>
      <w:pPr>
        <w:pStyle w:val="BodyText"/>
        <w:widowControl/>
        <w:spacing w:after="100"/>
      </w:pPr>
      <w:r>
        <w:rPr>
          <w:i w:val="0"/>
        </w:rPr>
        <w:t>The approved Step 1 baseline establishes SIoTSecurity as an OWL 2 DL modular domain ontology whose central purpose is to formalize the knowledge required for a resilience indicator for Social Internet of Things networks. The indicator must represent the capacity of a SIoT network to identify, absorb, resist, recover from, and adapt to the harmful effects of a cyberattack. Trust and reputation are dynamic, contextual factors that influence this assessment rather than permanent attributes of a smart object.</w:t>
      </w:r>
    </w:p>
    <w:p>
      <w:pPr>
        <w:pStyle w:val="BodyText"/>
        <w:widowControl/>
        <w:spacing w:after="100"/>
      </w:pPr>
      <w:r>
        <w:rPr>
          <w:i w:val="0"/>
        </w:rPr>
        <w:t>The doctoral proposal, the updated systematic literature review (RSL), the previously published reputation indicator, and the detailed analyses of the Becherer et al. and Kumari et al. trust-model publications were treated as evidence sources. The reuse decision is therefore driven by the approved competency questions, not by the existence of an ontology alone.</w:t>
      </w:r>
    </w:p>
    <w:p>
      <w:pPr>
        <w:pStyle w:val="Heading2"/>
        <w:keepNext/>
        <w:widowControl/>
      </w:pPr>
      <w:r>
        <w:t>1.1 Inputs Used in Step 2</w:t>
      </w:r>
    </w:p>
    <w:p>
      <w:pPr>
        <w:pStyle w:val="BodyText"/>
        <w:widowControl/>
        <w:spacing w:after="40"/>
        <w:ind w:left="312" w:hanging="142"/>
      </w:pPr>
      <w:r>
        <w:t>• SIoTSecurity Ontology Formalization v1.1 (approved Step 1 baseline).</w:t>
      </w:r>
    </w:p>
    <w:p>
      <w:pPr>
        <w:pStyle w:val="BodyText"/>
        <w:widowControl/>
        <w:spacing w:after="40"/>
        <w:ind w:left="312" w:hanging="142"/>
      </w:pPr>
      <w:r>
        <w:t>• Updated RSL: Seguridad resiliente en la SIoT - RSL.docx.</w:t>
      </w:r>
    </w:p>
    <w:p>
      <w:pPr>
        <w:pStyle w:val="BodyText"/>
        <w:widowControl/>
        <w:spacing w:after="40"/>
        <w:ind w:left="312" w:hanging="142"/>
      </w:pPr>
      <w:r>
        <w:t>• Doctoral proposal: Modelo Ontológico de Seguridad Resiliente para la SIoT mediante la Integración Dinámica de Mecanismos de Confianza y Reputación Contextual.</w:t>
      </w:r>
    </w:p>
    <w:p>
      <w:pPr>
        <w:pStyle w:val="BodyText"/>
        <w:widowControl/>
        <w:spacing w:after="40"/>
        <w:ind w:left="312" w:hanging="142"/>
      </w:pPr>
      <w:r>
        <w:t>• Previous reputation-indicator publication: Díaz-Santacruz et al. (2024), Reputation Indicator to Ensure Security in Semantic Interaction between IoT Smart Objects Using DAG and AES Cryptography.</w:t>
      </w:r>
    </w:p>
    <w:p>
      <w:pPr>
        <w:pStyle w:val="BodyText"/>
        <w:widowControl/>
        <w:spacing w:after="40"/>
        <w:ind w:left="312" w:hanging="142"/>
      </w:pPr>
      <w:r>
        <w:t>• Becherer et al. survey and TRESIOT documentation for trust recommendation in SIoT.</w:t>
      </w:r>
    </w:p>
    <w:p>
      <w:pPr>
        <w:pStyle w:val="BodyText"/>
        <w:widowControl/>
        <w:spacing w:after="40"/>
        <w:ind w:left="312" w:hanging="142"/>
      </w:pPr>
      <w:r>
        <w:t>• Kumari and Kumar (2026) for adaptive and resilient trust management, recommendation credibility, relationship strength, benevolence, and learning-based adaptation.</w:t>
      </w:r>
    </w:p>
    <w:p>
      <w:pPr>
        <w:pStyle w:val="BodyText"/>
        <w:widowControl/>
        <w:spacing w:after="40"/>
        <w:ind w:left="312" w:hanging="142"/>
      </w:pPr>
      <w:r>
        <w:t>• Official ontology and standard documentation for the candidate resources listed in this document.</w:t>
      </w:r>
    </w:p>
    <w:p>
      <w:pPr>
        <w:pStyle w:val="Heading2"/>
        <w:keepNext/>
        <w:widowControl/>
      </w:pPr>
      <w:r>
        <w:t>1.2 Reuse Questions</w:t>
      </w:r>
    </w:p>
    <w:p>
      <w:pPr>
        <w:pStyle w:val="BodyText"/>
        <w:widowControl/>
        <w:spacing w:after="40"/>
        <w:ind w:left="312" w:hanging="198"/>
      </w:pPr>
      <w:r>
        <w:t>1. Which external resources cover concepts required by the approved 24 competency questions?</w:t>
      </w:r>
    </w:p>
    <w:p>
      <w:pPr>
        <w:pStyle w:val="BodyText"/>
        <w:widowControl/>
        <w:spacing w:after="40"/>
        <w:ind w:left="312" w:hanging="198"/>
      </w:pPr>
      <w:r>
        <w:t>2. Which external terms can be reused directly without changing their semantics?</w:t>
      </w:r>
    </w:p>
    <w:p>
      <w:pPr>
        <w:pStyle w:val="BodyText"/>
        <w:widowControl/>
        <w:spacing w:after="40"/>
        <w:ind w:left="312" w:hanging="198"/>
      </w:pPr>
      <w:r>
        <w:t>3. Which terms require local SIoTSecurity specialization or semantic alignment?</w:t>
      </w:r>
    </w:p>
    <w:p>
      <w:pPr>
        <w:pStyle w:val="BodyText"/>
        <w:widowControl/>
        <w:spacing w:after="40"/>
        <w:ind w:left="312" w:hanging="198"/>
      </w:pPr>
      <w:r>
        <w:t>4. Which resources are conceptual references or taxonomies rather than OWL ontologies?</w:t>
      </w:r>
    </w:p>
    <w:p>
      <w:pPr>
        <w:pStyle w:val="BodyText"/>
        <w:widowControl/>
        <w:spacing w:after="40"/>
        <w:ind w:left="312" w:hanging="198"/>
      </w:pPr>
      <w:r>
        <w:t>5. Which resources should be excluded from full owl:imports because of dependency, availability, semantic, quality, or scope risks?</w:t>
      </w:r>
    </w:p>
    <w:p>
      <w:pPr>
        <w:pStyle w:val="BodyText"/>
        <w:widowControl/>
        <w:spacing w:after="40"/>
        <w:ind w:left="312" w:hanging="198"/>
      </w:pPr>
      <w:r>
        <w:t>6. Which concepts remain genuine SIoTSecurity contributions and therefore must be modeled locally?</w:t>
      </w:r>
    </w:p>
    <w:p>
      <w:pPr>
        <w:pStyle w:val="Heading1"/>
        <w:keepNext/>
        <w:widowControl/>
      </w:pPr>
      <w:r>
        <w:t>2. Reuse Method and Decision Criteria</w:t>
      </w:r>
    </w:p>
    <w:p>
      <w:pPr>
        <w:pStyle w:val="BodyText"/>
        <w:widowControl/>
        <w:spacing w:after="100"/>
      </w:pPr>
      <w:r>
        <w:rPr>
          <w:i w:val="0"/>
        </w:rPr>
        <w:t>A candidate was evaluated against the following criteria before being accepted for reuse: semantic relevance to the approved scope, term-level match to competency questions, public and persistent identification, machine-readable availability when applicable, licensing/documentation, model quality, dependency closure, reasoning consequences, maintainability, and the cost of importing unrelated axioms.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680"/>
            <w:vAlign w:val="top"/>
            <w:tcMar>
              <w:top w:w="70" w:type="dxa"/>
              <w:start w:w="80" w:type="dxa"/>
              <w:bottom w:w="70" w:type="dxa"/>
              <w:end w:w="80" w:type="dxa"/>
            </w:tcMar>
            <w:shd w:fill="D9EAF7"/>
          </w:tcPr>
          <w:p>
            <w:pPr>
              <w:spacing w:after="30" w:before="0" w:line="240" w:lineRule="auto"/>
            </w:pPr>
            <w:r>
              <w:rPr>
                <w:b/>
                <w:sz w:val="17"/>
              </w:rPr>
              <w:t>ID</w:t>
            </w:r>
          </w:p>
        </w:tc>
        <w:tc>
          <w:tcPr>
            <w:tcW w:type="dxa" w:w="1984"/>
            <w:vAlign w:val="top"/>
            <w:tcMar>
              <w:top w:w="70" w:type="dxa"/>
              <w:start w:w="80" w:type="dxa"/>
              <w:bottom w:w="70" w:type="dxa"/>
              <w:end w:w="80" w:type="dxa"/>
            </w:tcMar>
            <w:shd w:fill="D9EAF7"/>
          </w:tcPr>
          <w:p>
            <w:pPr>
              <w:spacing w:after="30" w:before="0" w:line="240" w:lineRule="auto"/>
            </w:pPr>
            <w:r>
              <w:rPr>
                <w:b/>
                <w:sz w:val="17"/>
              </w:rPr>
              <w:t>Criterion</w:t>
            </w:r>
          </w:p>
        </w:tc>
        <w:tc>
          <w:tcPr>
            <w:tcW w:type="dxa" w:w="6463"/>
            <w:vAlign w:val="top"/>
            <w:tcMar>
              <w:top w:w="70" w:type="dxa"/>
              <w:start w:w="80" w:type="dxa"/>
              <w:bottom w:w="70" w:type="dxa"/>
              <w:end w:w="80" w:type="dxa"/>
            </w:tcMar>
            <w:shd w:fill="D9EAF7"/>
          </w:tcPr>
          <w:p>
            <w:pPr>
              <w:spacing w:after="30" w:before="0" w:line="240" w:lineRule="auto"/>
            </w:pPr>
            <w:r>
              <w:rPr>
                <w:b/>
                <w:sz w:val="17"/>
              </w:rPr>
              <w:t>Question</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C1</w:t>
            </w:r>
          </w:p>
        </w:tc>
        <w:tc>
          <w:tcPr>
            <w:tcW w:type="dxa" w:w="1984"/>
            <w:vAlign w:val="top"/>
            <w:tcMar>
              <w:top w:w="70" w:type="dxa"/>
              <w:start w:w="80" w:type="dxa"/>
              <w:bottom w:w="70" w:type="dxa"/>
              <w:end w:w="80" w:type="dxa"/>
            </w:tcMar>
          </w:tcPr>
          <w:p>
            <w:pPr>
              <w:spacing w:after="30" w:before="0" w:line="240" w:lineRule="auto"/>
            </w:pPr>
            <w:r>
              <w:rPr>
                <w:sz w:val="17"/>
              </w:rPr>
              <w:t>Semantic coverage</w:t>
            </w:r>
          </w:p>
        </w:tc>
        <w:tc>
          <w:tcPr>
            <w:tcW w:type="dxa" w:w="6463"/>
            <w:vAlign w:val="top"/>
            <w:tcMar>
              <w:top w:w="70" w:type="dxa"/>
              <w:start w:w="80" w:type="dxa"/>
              <w:bottom w:w="70" w:type="dxa"/>
              <w:end w:w="80" w:type="dxa"/>
            </w:tcMar>
          </w:tcPr>
          <w:p>
            <w:pPr>
              <w:spacing w:after="30" w:before="0" w:line="240" w:lineRule="auto"/>
            </w:pPr>
            <w:r>
              <w:rPr>
                <w:sz w:val="17"/>
              </w:rPr>
              <w:t>Does the resource represent a required SIoTSecurity concept without distorting its meaning?</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C2</w:t>
            </w:r>
          </w:p>
        </w:tc>
        <w:tc>
          <w:tcPr>
            <w:tcW w:type="dxa" w:w="1984"/>
            <w:vAlign w:val="top"/>
            <w:tcMar>
              <w:top w:w="70" w:type="dxa"/>
              <w:start w:w="80" w:type="dxa"/>
              <w:bottom w:w="70" w:type="dxa"/>
              <w:end w:w="80" w:type="dxa"/>
            </w:tcMar>
          </w:tcPr>
          <w:p>
            <w:pPr>
              <w:spacing w:after="30" w:before="0" w:line="240" w:lineRule="auto"/>
            </w:pPr>
            <w:r>
              <w:rPr>
                <w:sz w:val="17"/>
              </w:rPr>
              <w:t>Stable identification</w:t>
            </w:r>
          </w:p>
        </w:tc>
        <w:tc>
          <w:tcPr>
            <w:tcW w:type="dxa" w:w="6463"/>
            <w:vAlign w:val="top"/>
            <w:tcMar>
              <w:top w:w="70" w:type="dxa"/>
              <w:start w:w="80" w:type="dxa"/>
              <w:bottom w:w="70" w:type="dxa"/>
              <w:end w:w="80" w:type="dxa"/>
            </w:tcMar>
          </w:tcPr>
          <w:p>
            <w:pPr>
              <w:spacing w:after="30" w:before="0" w:line="240" w:lineRule="auto"/>
            </w:pPr>
            <w:r>
              <w:rPr>
                <w:sz w:val="17"/>
              </w:rPr>
              <w:t>Does it expose a documented namespace or persistent IRI?</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C3</w:t>
            </w:r>
          </w:p>
        </w:tc>
        <w:tc>
          <w:tcPr>
            <w:tcW w:type="dxa" w:w="1984"/>
            <w:vAlign w:val="top"/>
            <w:tcMar>
              <w:top w:w="70" w:type="dxa"/>
              <w:start w:w="80" w:type="dxa"/>
              <w:bottom w:w="70" w:type="dxa"/>
              <w:end w:w="80" w:type="dxa"/>
            </w:tcMar>
          </w:tcPr>
          <w:p>
            <w:pPr>
              <w:spacing w:after="30" w:before="0" w:line="240" w:lineRule="auto"/>
            </w:pPr>
            <w:r>
              <w:rPr>
                <w:sz w:val="17"/>
              </w:rPr>
              <w:t>Formal availability</w:t>
            </w:r>
          </w:p>
        </w:tc>
        <w:tc>
          <w:tcPr>
            <w:tcW w:type="dxa" w:w="6463"/>
            <w:vAlign w:val="top"/>
            <w:tcMar>
              <w:top w:w="70" w:type="dxa"/>
              <w:start w:w="80" w:type="dxa"/>
              <w:bottom w:w="70" w:type="dxa"/>
              <w:end w:w="80" w:type="dxa"/>
            </w:tcMar>
          </w:tcPr>
          <w:p>
            <w:pPr>
              <w:spacing w:after="30" w:before="0" w:line="240" w:lineRule="auto"/>
            </w:pPr>
            <w:r>
              <w:rPr>
                <w:sz w:val="17"/>
              </w:rPr>
              <w:t>Is an RDF/OWL/TTL serialization available when the resource claims to be an ontology?</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C4</w:t>
            </w:r>
          </w:p>
        </w:tc>
        <w:tc>
          <w:tcPr>
            <w:tcW w:type="dxa" w:w="1984"/>
            <w:vAlign w:val="top"/>
            <w:tcMar>
              <w:top w:w="70" w:type="dxa"/>
              <w:start w:w="80" w:type="dxa"/>
              <w:bottom w:w="70" w:type="dxa"/>
              <w:end w:w="80" w:type="dxa"/>
            </w:tcMar>
          </w:tcPr>
          <w:p>
            <w:pPr>
              <w:spacing w:after="30" w:before="0" w:line="240" w:lineRule="auto"/>
            </w:pPr>
            <w:r>
              <w:rPr>
                <w:sz w:val="17"/>
              </w:rPr>
              <w:t>Model quality</w:t>
            </w:r>
          </w:p>
        </w:tc>
        <w:tc>
          <w:tcPr>
            <w:tcW w:type="dxa" w:w="6463"/>
            <w:vAlign w:val="top"/>
            <w:tcMar>
              <w:top w:w="70" w:type="dxa"/>
              <w:start w:w="80" w:type="dxa"/>
              <w:bottom w:w="70" w:type="dxa"/>
              <w:end w:w="80" w:type="dxa"/>
            </w:tcMar>
          </w:tcPr>
          <w:p>
            <w:pPr>
              <w:spacing w:after="30" w:before="0" w:line="240" w:lineRule="auto"/>
            </w:pPr>
            <w:r>
              <w:rPr>
                <w:sz w:val="17"/>
              </w:rPr>
              <w:t>Are domains, ranges, restrictions, class/property typing, annotations, and dependencies suitable for safe reuse?</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C5</w:t>
            </w:r>
          </w:p>
        </w:tc>
        <w:tc>
          <w:tcPr>
            <w:tcW w:type="dxa" w:w="1984"/>
            <w:vAlign w:val="top"/>
            <w:tcMar>
              <w:top w:w="70" w:type="dxa"/>
              <w:start w:w="80" w:type="dxa"/>
              <w:bottom w:w="70" w:type="dxa"/>
              <w:end w:w="80" w:type="dxa"/>
            </w:tcMar>
          </w:tcPr>
          <w:p>
            <w:pPr>
              <w:spacing w:after="30" w:before="0" w:line="240" w:lineRule="auto"/>
            </w:pPr>
            <w:r>
              <w:rPr>
                <w:sz w:val="17"/>
              </w:rPr>
              <w:t>Dependency risk</w:t>
            </w:r>
          </w:p>
        </w:tc>
        <w:tc>
          <w:tcPr>
            <w:tcW w:type="dxa" w:w="6463"/>
            <w:vAlign w:val="top"/>
            <w:tcMar>
              <w:top w:w="70" w:type="dxa"/>
              <w:start w:w="80" w:type="dxa"/>
              <w:bottom w:w="70" w:type="dxa"/>
              <w:end w:w="80" w:type="dxa"/>
            </w:tcMar>
          </w:tcPr>
          <w:p>
            <w:pPr>
              <w:spacing w:after="30" w:before="0" w:line="240" w:lineRule="auto"/>
            </w:pPr>
            <w:r>
              <w:rPr>
                <w:sz w:val="17"/>
              </w:rPr>
              <w:t>Would full import introduce a large or unstable dependency closure?</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C6</w:t>
            </w:r>
          </w:p>
        </w:tc>
        <w:tc>
          <w:tcPr>
            <w:tcW w:type="dxa" w:w="1984"/>
            <w:vAlign w:val="top"/>
            <w:tcMar>
              <w:top w:w="70" w:type="dxa"/>
              <w:start w:w="80" w:type="dxa"/>
              <w:bottom w:w="70" w:type="dxa"/>
              <w:end w:w="80" w:type="dxa"/>
            </w:tcMar>
          </w:tcPr>
          <w:p>
            <w:pPr>
              <w:spacing w:after="30" w:before="0" w:line="240" w:lineRule="auto"/>
            </w:pPr>
            <w:r>
              <w:rPr>
                <w:sz w:val="17"/>
              </w:rPr>
              <w:t>OWL 2 DL compatibility</w:t>
            </w:r>
          </w:p>
        </w:tc>
        <w:tc>
          <w:tcPr>
            <w:tcW w:type="dxa" w:w="6463"/>
            <w:vAlign w:val="top"/>
            <w:tcMar>
              <w:top w:w="70" w:type="dxa"/>
              <w:start w:w="80" w:type="dxa"/>
              <w:bottom w:w="70" w:type="dxa"/>
              <w:end w:w="80" w:type="dxa"/>
            </w:tcMar>
          </w:tcPr>
          <w:p>
            <w:pPr>
              <w:spacing w:after="30" w:before="0" w:line="240" w:lineRule="auto"/>
            </w:pPr>
            <w:r>
              <w:rPr>
                <w:sz w:val="17"/>
              </w:rPr>
              <w:t>Can the selected integration strategy remain compatible with the SIoTSecurity OWL 2 DL target?</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C7</w:t>
            </w:r>
          </w:p>
        </w:tc>
        <w:tc>
          <w:tcPr>
            <w:tcW w:type="dxa" w:w="1984"/>
            <w:vAlign w:val="top"/>
            <w:tcMar>
              <w:top w:w="70" w:type="dxa"/>
              <w:start w:w="80" w:type="dxa"/>
              <w:bottom w:w="70" w:type="dxa"/>
              <w:end w:w="80" w:type="dxa"/>
            </w:tcMar>
          </w:tcPr>
          <w:p>
            <w:pPr>
              <w:spacing w:after="30" w:before="0" w:line="240" w:lineRule="auto"/>
            </w:pPr>
            <w:r>
              <w:rPr>
                <w:sz w:val="17"/>
              </w:rPr>
              <w:t>Traceability</w:t>
            </w:r>
          </w:p>
        </w:tc>
        <w:tc>
          <w:tcPr>
            <w:tcW w:type="dxa" w:w="6463"/>
            <w:vAlign w:val="top"/>
            <w:tcMar>
              <w:top w:w="70" w:type="dxa"/>
              <w:start w:w="80" w:type="dxa"/>
              <w:bottom w:w="70" w:type="dxa"/>
              <w:end w:w="80" w:type="dxa"/>
            </w:tcMar>
          </w:tcPr>
          <w:p>
            <w:pPr>
              <w:spacing w:after="30" w:before="0" w:line="240" w:lineRule="auto"/>
            </w:pPr>
            <w:r>
              <w:rPr>
                <w:sz w:val="17"/>
              </w:rPr>
              <w:t>Can the reused term be linked to one or more competency questions and documented in Step 3/4?</w:t>
            </w:r>
          </w:p>
        </w:tc>
      </w:tr>
      <w:tr>
        <w:trPr>
          <w:cantSplit/>
        </w:trPr>
        <w:tc>
          <w:tcPr>
            <w:tcW w:type="dxa" w:w="680"/>
            <w:vAlign w:val="top"/>
            <w:tcMar>
              <w:top w:w="70" w:type="dxa"/>
              <w:start w:w="80" w:type="dxa"/>
              <w:bottom w:w="70" w:type="dxa"/>
              <w:end w:w="80" w:type="dxa"/>
            </w:tcMar>
          </w:tcPr>
          <w:p>
            <w:pPr>
              <w:spacing w:after="30" w:before="0" w:line="240" w:lineRule="auto"/>
            </w:pPr>
            <w:r>
              <w:rPr>
                <w:sz w:val="17"/>
              </w:rPr>
              <w:t>C8</w:t>
            </w:r>
          </w:p>
        </w:tc>
        <w:tc>
          <w:tcPr>
            <w:tcW w:type="dxa" w:w="1984"/>
            <w:vAlign w:val="top"/>
            <w:tcMar>
              <w:top w:w="70" w:type="dxa"/>
              <w:start w:w="80" w:type="dxa"/>
              <w:bottom w:w="70" w:type="dxa"/>
              <w:end w:w="80" w:type="dxa"/>
            </w:tcMar>
          </w:tcPr>
          <w:p>
            <w:pPr>
              <w:spacing w:after="30" w:before="0" w:line="240" w:lineRule="auto"/>
            </w:pPr>
            <w:r>
              <w:rPr>
                <w:sz w:val="17"/>
              </w:rPr>
              <w:t>Maintainability</w:t>
            </w:r>
          </w:p>
        </w:tc>
        <w:tc>
          <w:tcPr>
            <w:tcW w:type="dxa" w:w="6463"/>
            <w:vAlign w:val="top"/>
            <w:tcMar>
              <w:top w:w="70" w:type="dxa"/>
              <w:start w:w="80" w:type="dxa"/>
              <w:bottom w:w="70" w:type="dxa"/>
              <w:end w:w="80" w:type="dxa"/>
            </w:tcMar>
          </w:tcPr>
          <w:p>
            <w:pPr>
              <w:spacing w:after="30" w:before="0" w:line="240" w:lineRule="auto"/>
            </w:pPr>
            <w:r>
              <w:rPr>
                <w:sz w:val="17"/>
              </w:rPr>
              <w:t>Can future external changes be isolated from the SIoTSecurity core?</w:t>
            </w:r>
          </w:p>
        </w:tc>
      </w:tr>
    </w:tbl>
    <w:p>
      <w:pPr>
        <w:widowControl/>
      </w:pPr>
    </w:p>
    <w:p>
      <w:pPr>
        <w:pStyle w:val="Heading2"/>
        <w:keepNext/>
        <w:widowControl/>
      </w:pPr>
      <w:r>
        <w:t>2.1 Reuse Categories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1757"/>
            <w:vAlign w:val="top"/>
            <w:tcMar>
              <w:top w:w="70" w:type="dxa"/>
              <w:start w:w="80" w:type="dxa"/>
              <w:bottom w:w="70" w:type="dxa"/>
              <w:end w:w="80" w:type="dxa"/>
            </w:tcMar>
            <w:shd w:fill="D9EAF7"/>
          </w:tcPr>
          <w:p>
            <w:pPr>
              <w:spacing w:after="30" w:before="0" w:line="240" w:lineRule="auto"/>
            </w:pPr>
            <w:r>
              <w:rPr>
                <w:b/>
                <w:sz w:val="16"/>
              </w:rPr>
              <w:t>Reuse category</w:t>
            </w:r>
          </w:p>
        </w:tc>
        <w:tc>
          <w:tcPr>
            <w:tcW w:type="dxa" w:w="2835"/>
            <w:vAlign w:val="top"/>
            <w:tcMar>
              <w:top w:w="70" w:type="dxa"/>
              <w:start w:w="80" w:type="dxa"/>
              <w:bottom w:w="70" w:type="dxa"/>
              <w:end w:w="80" w:type="dxa"/>
            </w:tcMar>
            <w:shd w:fill="D9EAF7"/>
          </w:tcPr>
          <w:p>
            <w:pPr>
              <w:spacing w:after="30" w:before="0" w:line="240" w:lineRule="auto"/>
            </w:pPr>
            <w:r>
              <w:rPr>
                <w:b/>
                <w:sz w:val="16"/>
              </w:rPr>
              <w:t>Meaning</w:t>
            </w:r>
          </w:p>
        </w:tc>
        <w:tc>
          <w:tcPr>
            <w:tcW w:type="dxa" w:w="4535"/>
            <w:vAlign w:val="top"/>
            <w:tcMar>
              <w:top w:w="70" w:type="dxa"/>
              <w:start w:w="80" w:type="dxa"/>
              <w:bottom w:w="70" w:type="dxa"/>
              <w:end w:w="80" w:type="dxa"/>
            </w:tcMar>
            <w:shd w:fill="D9EAF7"/>
          </w:tcPr>
          <w:p>
            <w:pPr>
              <w:spacing w:after="30" w:before="0" w:line="240" w:lineRule="auto"/>
            </w:pPr>
            <w:r>
              <w:rPr>
                <w:b/>
                <w:sz w:val="16"/>
              </w:rPr>
              <w:t>Allowed mechanism</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Direct IRI reuse</w:t>
            </w:r>
          </w:p>
        </w:tc>
        <w:tc>
          <w:tcPr>
            <w:tcW w:type="dxa" w:w="2835"/>
            <w:vAlign w:val="top"/>
            <w:tcMar>
              <w:top w:w="70" w:type="dxa"/>
              <w:start w:w="80" w:type="dxa"/>
              <w:bottom w:w="70" w:type="dxa"/>
              <w:end w:w="80" w:type="dxa"/>
            </w:tcMar>
          </w:tcPr>
          <w:p>
            <w:pPr>
              <w:spacing w:after="30" w:before="0" w:line="240" w:lineRule="auto"/>
            </w:pPr>
            <w:r>
              <w:rPr>
                <w:sz w:val="16"/>
              </w:rPr>
              <w:t>The external term already expresses the required meaning.</w:t>
            </w:r>
          </w:p>
        </w:tc>
        <w:tc>
          <w:tcPr>
            <w:tcW w:type="dxa" w:w="4535"/>
            <w:vAlign w:val="top"/>
            <w:tcMar>
              <w:top w:w="70" w:type="dxa"/>
              <w:start w:w="80" w:type="dxa"/>
              <w:bottom w:w="70" w:type="dxa"/>
              <w:end w:w="80" w:type="dxa"/>
            </w:tcMar>
          </w:tcPr>
          <w:p>
            <w:pPr>
              <w:spacing w:after="30" w:before="0" w:line="240" w:lineRule="auto"/>
            </w:pPr>
            <w:r>
              <w:rPr>
                <w:sz w:val="16"/>
              </w:rPr>
              <w:t>Use the external IRI directly in SIoTSecurity axioms/data; no owl:imports required.</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Specialization</w:t>
            </w:r>
          </w:p>
        </w:tc>
        <w:tc>
          <w:tcPr>
            <w:tcW w:type="dxa" w:w="2835"/>
            <w:vAlign w:val="top"/>
            <w:tcMar>
              <w:top w:w="70" w:type="dxa"/>
              <w:start w:w="80" w:type="dxa"/>
              <w:bottom w:w="70" w:type="dxa"/>
              <w:end w:w="80" w:type="dxa"/>
            </w:tcMar>
          </w:tcPr>
          <w:p>
            <w:pPr>
              <w:spacing w:after="30" w:before="0" w:line="240" w:lineRule="auto"/>
            </w:pPr>
            <w:r>
              <w:rPr>
                <w:sz w:val="16"/>
              </w:rPr>
              <w:t>SIoTSecurity needs a narrower domain concept.</w:t>
            </w:r>
          </w:p>
        </w:tc>
        <w:tc>
          <w:tcPr>
            <w:tcW w:type="dxa" w:w="4535"/>
            <w:vAlign w:val="top"/>
            <w:tcMar>
              <w:top w:w="70" w:type="dxa"/>
              <w:start w:w="80" w:type="dxa"/>
              <w:bottom w:w="70" w:type="dxa"/>
              <w:end w:w="80" w:type="dxa"/>
            </w:tcMar>
          </w:tcPr>
          <w:p>
            <w:pPr>
              <w:spacing w:after="30" w:before="0" w:line="240" w:lineRule="auto"/>
            </w:pPr>
            <w:r>
              <w:rPr>
                <w:sz w:val="16"/>
              </w:rPr>
              <w:t>Define a local SIoTSecurity class/property and relate it with rdfs:subClassOf or rdfs:subPropertyOf.</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Strong equivalence</w:t>
            </w:r>
          </w:p>
        </w:tc>
        <w:tc>
          <w:tcPr>
            <w:tcW w:type="dxa" w:w="2835"/>
            <w:vAlign w:val="top"/>
            <w:tcMar>
              <w:top w:w="70" w:type="dxa"/>
              <w:start w:w="80" w:type="dxa"/>
              <w:bottom w:w="70" w:type="dxa"/>
              <w:end w:w="80" w:type="dxa"/>
            </w:tcMar>
          </w:tcPr>
          <w:p>
            <w:pPr>
              <w:spacing w:after="30" w:before="0" w:line="240" w:lineRule="auto"/>
            </w:pPr>
            <w:r>
              <w:rPr>
                <w:sz w:val="16"/>
              </w:rPr>
              <w:t>Two terms are demonstrably semantically identical.</w:t>
            </w:r>
          </w:p>
        </w:tc>
        <w:tc>
          <w:tcPr>
            <w:tcW w:type="dxa" w:w="4535"/>
            <w:vAlign w:val="top"/>
            <w:tcMar>
              <w:top w:w="70" w:type="dxa"/>
              <w:start w:w="80" w:type="dxa"/>
              <w:bottom w:w="70" w:type="dxa"/>
              <w:end w:w="80" w:type="dxa"/>
            </w:tcMar>
          </w:tcPr>
          <w:p>
            <w:pPr>
              <w:spacing w:after="30" w:before="0" w:line="240" w:lineRule="auto"/>
            </w:pPr>
            <w:r>
              <w:rPr>
                <w:sz w:val="16"/>
              </w:rPr>
              <w:t>owl:equivalentClass or owl:equivalentProperty, only after explicit semantic verification.</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Taxonomy/alignment</w:t>
            </w:r>
          </w:p>
        </w:tc>
        <w:tc>
          <w:tcPr>
            <w:tcW w:type="dxa" w:w="2835"/>
            <w:vAlign w:val="top"/>
            <w:tcMar>
              <w:top w:w="70" w:type="dxa"/>
              <w:start w:w="80" w:type="dxa"/>
              <w:bottom w:w="70" w:type="dxa"/>
              <w:end w:w="80" w:type="dxa"/>
            </w:tcMar>
          </w:tcPr>
          <w:p>
            <w:pPr>
              <w:spacing w:after="30" w:before="0" w:line="240" w:lineRule="auto"/>
            </w:pPr>
            <w:r>
              <w:rPr>
                <w:sz w:val="16"/>
              </w:rPr>
              <w:t>Concepts overlap but are not guaranteed identical.</w:t>
            </w:r>
          </w:p>
        </w:tc>
        <w:tc>
          <w:tcPr>
            <w:tcW w:type="dxa" w:w="4535"/>
            <w:vAlign w:val="top"/>
            <w:tcMar>
              <w:top w:w="70" w:type="dxa"/>
              <w:start w:w="80" w:type="dxa"/>
              <w:bottom w:w="70" w:type="dxa"/>
              <w:end w:w="80" w:type="dxa"/>
            </w:tcMar>
          </w:tcPr>
          <w:p>
            <w:pPr>
              <w:spacing w:after="30" w:before="0" w:line="240" w:lineRule="auto"/>
            </w:pPr>
            <w:r>
              <w:rPr>
                <w:sz w:val="16"/>
              </w:rPr>
              <w:t>SKOS mapping properties or documented semantic correspondence.</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Conceptual reuse</w:t>
            </w:r>
          </w:p>
        </w:tc>
        <w:tc>
          <w:tcPr>
            <w:tcW w:type="dxa" w:w="2835"/>
            <w:vAlign w:val="top"/>
            <w:tcMar>
              <w:top w:w="70" w:type="dxa"/>
              <w:start w:w="80" w:type="dxa"/>
              <w:bottom w:w="70" w:type="dxa"/>
              <w:end w:w="80" w:type="dxa"/>
            </w:tcMar>
          </w:tcPr>
          <w:p>
            <w:pPr>
              <w:spacing w:after="30" w:before="0" w:line="240" w:lineRule="auto"/>
            </w:pPr>
            <w:r>
              <w:rPr>
                <w:sz w:val="16"/>
              </w:rPr>
              <w:t>A publication/standard contributes concepts, variables, formulas, metrics, or patterns but is not an OWL ontology.</w:t>
            </w:r>
          </w:p>
        </w:tc>
        <w:tc>
          <w:tcPr>
            <w:tcW w:type="dxa" w:w="4535"/>
            <w:vAlign w:val="top"/>
            <w:tcMar>
              <w:top w:w="70" w:type="dxa"/>
              <w:start w:w="80" w:type="dxa"/>
              <w:bottom w:w="70" w:type="dxa"/>
              <w:end w:w="80" w:type="dxa"/>
            </w:tcMar>
          </w:tcPr>
          <w:p>
            <w:pPr>
              <w:spacing w:after="30" w:before="0" w:line="240" w:lineRule="auto"/>
            </w:pPr>
            <w:r>
              <w:rPr>
                <w:sz w:val="16"/>
              </w:rPr>
              <w:t>Document provenance and model a local SIoTSecurity term.</w:t>
            </w:r>
          </w:p>
        </w:tc>
      </w:tr>
      <w:tr>
        <w:trPr>
          <w:cantSplit/>
        </w:trPr>
        <w:tc>
          <w:tcPr>
            <w:tcW w:type="dxa" w:w="1757"/>
            <w:vAlign w:val="top"/>
            <w:tcMar>
              <w:top w:w="70" w:type="dxa"/>
              <w:start w:w="80" w:type="dxa"/>
              <w:bottom w:w="70" w:type="dxa"/>
              <w:end w:w="80" w:type="dxa"/>
            </w:tcMar>
          </w:tcPr>
          <w:p>
            <w:pPr>
              <w:spacing w:after="30" w:before="0" w:line="240" w:lineRule="auto"/>
            </w:pPr>
            <w:r>
              <w:rPr>
                <w:sz w:val="16"/>
              </w:rPr>
              <w:t>Rejected direct reuse</w:t>
            </w:r>
          </w:p>
        </w:tc>
        <w:tc>
          <w:tcPr>
            <w:tcW w:type="dxa" w:w="2835"/>
            <w:vAlign w:val="top"/>
            <w:tcMar>
              <w:top w:w="70" w:type="dxa"/>
              <w:start w:w="80" w:type="dxa"/>
              <w:bottom w:w="70" w:type="dxa"/>
              <w:end w:w="80" w:type="dxa"/>
            </w:tcMar>
          </w:tcPr>
          <w:p>
            <w:pPr>
              <w:spacing w:after="30" w:before="0" w:line="240" w:lineRule="auto"/>
            </w:pPr>
            <w:r>
              <w:rPr>
                <w:sz w:val="16"/>
              </w:rPr>
              <w:t>The external term/model would introduce incorrect or unnecessary semantics.</w:t>
            </w:r>
          </w:p>
        </w:tc>
        <w:tc>
          <w:tcPr>
            <w:tcW w:type="dxa" w:w="4535"/>
            <w:vAlign w:val="top"/>
            <w:tcMar>
              <w:top w:w="70" w:type="dxa"/>
              <w:start w:w="80" w:type="dxa"/>
              <w:bottom w:w="70" w:type="dxa"/>
              <w:end w:w="80" w:type="dxa"/>
            </w:tcMar>
          </w:tcPr>
          <w:p>
            <w:pPr>
              <w:spacing w:after="30" w:before="0" w:line="240" w:lineRule="auto"/>
            </w:pPr>
            <w:r>
              <w:rPr>
                <w:sz w:val="16"/>
              </w:rPr>
              <w:t>Define local SIoTSecurity term and optionally record skos:relatedMatch/closeMatch.</w:t>
            </w:r>
          </w:p>
        </w:tc>
      </w:tr>
    </w:tbl>
    <w:p>
      <w:pPr>
        <w:widowControl/>
      </w:pPr>
    </w:p>
    <w:p>
      <w:pPr>
        <w:pStyle w:val="Heading1"/>
        <w:keepNext/>
        <w:widowControl/>
      </w:pPr>
      <w:r>
        <w:t>3. Final owl:imports Policy</w:t>
      </w:r>
    </w:p>
    <w:p>
      <w:pPr>
        <w:pStyle w:val="BodyText"/>
        <w:widowControl/>
        <w:spacing w:after="100"/>
      </w:pPr>
      <w:r>
        <w:rPr>
          <w:i w:val="0"/>
        </w:rPr>
        <w:t>The decision is final for SIoTSecurity version 1.0: the core ontology SHALL NOT contain owl:imports declarations to external ontologies. This applies to TRESIOT, SAREF-TA, SOSA/SSN, SAREF Core, oneM2M Base Ontology, OWL-Time, PROV-O, QUDT, GeoSPARQL, UCO, D3FEND, DQV, and OWL-S.</w:t>
      </w:r>
    </w:p>
    <w:p>
      <w:pPr>
        <w:pStyle w:val="BodyText"/>
        <w:widowControl/>
        <w:spacing w:after="100"/>
      </w:pPr>
      <w:r>
        <w:rPr>
          <w:i w:val="0"/>
        </w:rPr>
        <w:t>This policy does not mean that external ontologies are ignored. It means that SIoTSecurity uses the smallest semantically justified set of external IRIs and mappings, while preserving control of its OWL 2 DL axioms and preventing unrelated imported restrictions from becoming part of the core logical theory.</w:t>
      </w:r>
    </w:p>
    <w:p>
      <w:pPr>
        <w:pStyle w:val="SourceCode"/>
        <w:widowControl/>
        <w:spacing w:after="0"/>
        <w:ind w:left="312"/>
      </w:pPr>
      <w:r>
        <w:t># SIoTSecurity v1.0 integration rule</w:t>
      </w:r>
    </w:p>
    <w:p>
      <w:pPr>
        <w:pStyle w:val="SourceCode"/>
        <w:widowControl/>
        <w:spacing w:after="0"/>
        <w:ind w:left="312"/>
      </w:pPr>
      <w:r>
        <w:t># No external full imports in the core ontology.</w:t>
      </w:r>
    </w:p>
    <w:p>
      <w:pPr>
        <w:pStyle w:val="SourceCode"/>
        <w:widowControl/>
        <w:spacing w:after="0"/>
        <w:ind w:left="312"/>
      </w:pPr>
      <w:r>
        <w:t># External IRIs may be referenced selectively.</w:t>
      </w:r>
    </w:p>
    <w:p>
      <w:pPr>
        <w:pStyle w:val="SourceCode"/>
        <w:widowControl/>
        <w:spacing w:after="0"/>
        <w:ind w:left="312"/>
      </w:pPr>
      <w:r>
        <w:t># Local specialization: rdfs:subClassOf / rdfs:subPropertyOf</w:t>
      </w:r>
    </w:p>
    <w:p>
      <w:pPr>
        <w:pStyle w:val="SourceCode"/>
        <w:widowControl/>
        <w:spacing w:after="0"/>
        <w:ind w:left="312"/>
      </w:pPr>
      <w:r>
        <w:t># Proven identity only: owl:equivalentClass / owl:equivalentProperty</w:t>
      </w:r>
    </w:p>
    <w:p>
      <w:pPr>
        <w:pStyle w:val="SourceCode"/>
        <w:widowControl/>
        <w:spacing w:after="0"/>
        <w:ind w:left="312"/>
      </w:pPr>
      <w:r>
        <w:t># Approximate or taxonomy mapping: SKOS mapping properties</w:t>
      </w:r>
    </w:p>
    <w:p>
      <w:pPr>
        <w:pStyle w:val="Heading2"/>
        <w:keepNext/>
        <w:widowControl/>
      </w:pPr>
      <w:r>
        <w:t>3.1 Rationale for the No-Full-Import Rule</w:t>
      </w:r>
    </w:p>
    <w:p>
      <w:pPr>
        <w:pStyle w:val="BodyText"/>
        <w:widowControl/>
        <w:spacing w:after="40"/>
        <w:ind w:left="312" w:hanging="142"/>
      </w:pPr>
      <w:r>
        <w:t>• Reduces dependency closure and prevents unrelated external axioms from altering SIoTSecurity inferences.</w:t>
      </w:r>
    </w:p>
    <w:p>
      <w:pPr>
        <w:pStyle w:val="BodyText"/>
        <w:widowControl/>
        <w:spacing w:after="40"/>
        <w:ind w:left="312" w:hanging="142"/>
      </w:pPr>
      <w:r>
        <w:t>• Keeps the doctoral contribution conceptually explicit: resilience capabilities, resilience assessments, indicator structure, and contextual trust/reputation integration remain identifiable SIoTSecurity constructs.</w:t>
      </w:r>
    </w:p>
    <w:p>
      <w:pPr>
        <w:pStyle w:val="BodyText"/>
        <w:widowControl/>
        <w:spacing w:after="40"/>
        <w:ind w:left="312" w:hanging="142"/>
      </w:pPr>
      <w:r>
        <w:t>• Improves reproducibility when an external ontology endpoint disappears, changes version, or is not dereferenceable.</w:t>
      </w:r>
    </w:p>
    <w:p>
      <w:pPr>
        <w:pStyle w:val="BodyText"/>
        <w:widowControl/>
        <w:spacing w:after="40"/>
        <w:ind w:left="312" w:hanging="142"/>
      </w:pPr>
      <w:r>
        <w:t>• Allows term-level provenance and traceability without copying or redefining the external term.</w:t>
      </w:r>
    </w:p>
    <w:p>
      <w:pPr>
        <w:pStyle w:val="BodyText"/>
        <w:widowControl/>
        <w:spacing w:after="40"/>
        <w:ind w:left="312" w:hanging="142"/>
      </w:pPr>
      <w:r>
        <w:t>• Facilitates regression testing in Protégé because semantic effects can be attributed to explicit SIoTSecurity axioms and documented mappings.</w:t>
      </w:r>
    </w:p>
    <w:p>
      <w:pPr>
        <w:pStyle w:val="BodyText"/>
        <w:widowControl/>
        <w:spacing w:after="40"/>
        <w:ind w:left="312" w:hanging="142"/>
      </w:pPr>
      <w:r>
        <w:t>• Prevents known SAREF-TA modeling anomalies from entering the reasoning closure of the core ontology.</w:t>
      </w:r>
    </w:p>
    <w:p>
      <w:pPr>
        <w:pStyle w:val="BodyText"/>
        <w:widowControl/>
        <w:spacing w:after="40"/>
        <w:ind w:left="312" w:hanging="142"/>
      </w:pPr>
      <w:r>
        <w:t>• Allows future controlled migration to imports in a later ontology version only after separate dependency/profile/reasoner testing.</w:t>
      </w:r>
    </w:p>
    <w:p>
      <w:pPr>
        <w:pStyle w:val="Heading2"/>
        <w:keepNext/>
        <w:widowControl/>
      </w:pPr>
      <w:r>
        <w:t>3.2 Change-Control Rule</w:t>
      </w:r>
    </w:p>
    <w:p>
      <w:pPr>
        <w:pStyle w:val="BodyText"/>
        <w:widowControl/>
        <w:spacing w:after="100"/>
      </w:pPr>
      <w:r>
        <w:rPr>
          <w:i w:val="0"/>
        </w:rPr>
        <w:t>A future SIoTSecurity version may introduce owl:imports only through a documented change request that identifies the exact external ontology version, serialization, checksum or immutable revision when available, license, dependency closure, OWL profile result, consistency test result, affected competency questions, and regression-test outcome. Such a change requires a new ontology version and cannot silently modify the approved v1.0 reuse baseline.</w:t>
      </w:r>
    </w:p>
    <w:p>
      <w:pPr>
        <w:widowControl/>
      </w:pPr>
      <w:r>
        <w:br w:type="page"/>
      </w:r>
    </w:p>
    <w:p>
      <w:pPr>
        <w:pStyle w:val="Heading1"/>
        <w:keepNext/>
        <w:widowControl/>
      </w:pPr>
      <w:r>
        <w:t>4. Candidate Resource Inventory and Final Decisions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662"/>
        <w:gridCol w:w="1662"/>
        <w:gridCol w:w="1662"/>
        <w:gridCol w:w="1662"/>
        <w:gridCol w:w="1662"/>
        <w:gridCol w:w="1662"/>
      </w:tblGrid>
      <w:tr>
        <w:trPr>
          <w:cantSplit/>
          <w:tblHeader w:val="true"/>
        </w:trPr>
        <w:tc>
          <w:tcPr>
            <w:tcW w:type="dxa" w:w="567"/>
            <w:vAlign w:val="top"/>
            <w:tcMar>
              <w:top w:w="70" w:type="dxa"/>
              <w:start w:w="80" w:type="dxa"/>
              <w:bottom w:w="70" w:type="dxa"/>
              <w:end w:w="80" w:type="dxa"/>
            </w:tcMar>
            <w:shd w:fill="D9EAF7"/>
          </w:tcPr>
          <w:p>
            <w:pPr>
              <w:spacing w:after="30" w:before="0" w:line="240" w:lineRule="auto"/>
            </w:pPr>
            <w:r>
              <w:rPr>
                <w:b/>
                <w:sz w:val="15"/>
              </w:rPr>
              <w:t>ID</w:t>
            </w:r>
          </w:p>
        </w:tc>
        <w:tc>
          <w:tcPr>
            <w:tcW w:type="dxa" w:w="2098"/>
            <w:vAlign w:val="top"/>
            <w:tcMar>
              <w:top w:w="70" w:type="dxa"/>
              <w:start w:w="80" w:type="dxa"/>
              <w:bottom w:w="70" w:type="dxa"/>
              <w:end w:w="80" w:type="dxa"/>
            </w:tcMar>
            <w:shd w:fill="D9EAF7"/>
          </w:tcPr>
          <w:p>
            <w:pPr>
              <w:spacing w:after="30" w:before="0" w:line="240" w:lineRule="auto"/>
            </w:pPr>
            <w:r>
              <w:rPr>
                <w:b/>
                <w:sz w:val="15"/>
              </w:rPr>
              <w:t>Resource and nature</w:t>
            </w:r>
          </w:p>
        </w:tc>
        <w:tc>
          <w:tcPr>
            <w:tcW w:type="dxa" w:w="2891"/>
            <w:vAlign w:val="top"/>
            <w:tcMar>
              <w:top w:w="70" w:type="dxa"/>
              <w:start w:w="80" w:type="dxa"/>
              <w:bottom w:w="70" w:type="dxa"/>
              <w:end w:w="80" w:type="dxa"/>
            </w:tcMar>
            <w:shd w:fill="D9EAF7"/>
          </w:tcPr>
          <w:p>
            <w:pPr>
              <w:spacing w:after="30" w:before="0" w:line="240" w:lineRule="auto"/>
            </w:pPr>
            <w:r>
              <w:rPr>
                <w:b/>
                <w:sz w:val="15"/>
              </w:rPr>
              <w:t>Reusable contribution</w:t>
            </w:r>
          </w:p>
        </w:tc>
        <w:tc>
          <w:tcPr>
            <w:tcW w:type="dxa" w:w="1531"/>
            <w:vAlign w:val="top"/>
            <w:tcMar>
              <w:top w:w="70" w:type="dxa"/>
              <w:start w:w="80" w:type="dxa"/>
              <w:bottom w:w="70" w:type="dxa"/>
              <w:end w:w="80" w:type="dxa"/>
            </w:tcMar>
            <w:shd w:fill="D9EAF7"/>
          </w:tcPr>
          <w:p>
            <w:pPr>
              <w:spacing w:after="30" w:before="0" w:line="240" w:lineRule="auto"/>
            </w:pPr>
            <w:r>
              <w:rPr>
                <w:b/>
                <w:sz w:val="15"/>
              </w:rPr>
              <w:t>Reuse mode</w:t>
            </w:r>
          </w:p>
        </w:tc>
        <w:tc>
          <w:tcPr>
            <w:tcW w:type="dxa" w:w="794"/>
            <w:vAlign w:val="top"/>
            <w:tcMar>
              <w:top w:w="70" w:type="dxa"/>
              <w:start w:w="80" w:type="dxa"/>
              <w:bottom w:w="70" w:type="dxa"/>
              <w:end w:w="80" w:type="dxa"/>
            </w:tcMar>
            <w:shd w:fill="D9EAF7"/>
          </w:tcPr>
          <w:p>
            <w:pPr>
              <w:spacing w:after="30" w:before="0" w:line="240" w:lineRule="auto"/>
            </w:pPr>
            <w:r>
              <w:rPr>
                <w:b/>
                <w:sz w:val="15"/>
              </w:rPr>
              <w:t>owl:imports?</w:t>
            </w:r>
          </w:p>
        </w:tc>
        <w:tc>
          <w:tcPr>
            <w:tcW w:type="dxa" w:w="1701"/>
            <w:vAlign w:val="top"/>
            <w:tcMar>
              <w:top w:w="70" w:type="dxa"/>
              <w:start w:w="80" w:type="dxa"/>
              <w:bottom w:w="70" w:type="dxa"/>
              <w:end w:w="80" w:type="dxa"/>
            </w:tcMar>
            <w:shd w:fill="D9EAF7"/>
          </w:tcPr>
          <w:p>
            <w:pPr>
              <w:spacing w:after="30" w:before="0" w:line="240" w:lineRule="auto"/>
            </w:pPr>
            <w:r>
              <w:rPr>
                <w:b/>
                <w:sz w:val="15"/>
              </w:rPr>
              <w:t>Final decision</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OR-01</w:t>
            </w:r>
          </w:p>
        </w:tc>
        <w:tc>
          <w:tcPr>
            <w:tcW w:type="dxa" w:w="2098"/>
            <w:vAlign w:val="top"/>
            <w:tcMar>
              <w:top w:w="70" w:type="dxa"/>
              <w:start w:w="80" w:type="dxa"/>
              <w:bottom w:w="70" w:type="dxa"/>
              <w:end w:w="80" w:type="dxa"/>
            </w:tcMar>
          </w:tcPr>
          <w:p>
            <w:pPr>
              <w:spacing w:after="30" w:before="0" w:line="240" w:lineRule="auto"/>
            </w:pPr>
            <w:r>
              <w:rPr>
                <w:sz w:val="15"/>
              </w:rPr>
              <w:t>TRESIOT - SIoT trust recommendation ontology</w:t>
            </w:r>
          </w:p>
        </w:tc>
        <w:tc>
          <w:tcPr>
            <w:tcW w:type="dxa" w:w="2891"/>
            <w:vAlign w:val="top"/>
            <w:tcMar>
              <w:top w:w="70" w:type="dxa"/>
              <w:start w:w="80" w:type="dxa"/>
              <w:bottom w:w="70" w:type="dxa"/>
              <w:end w:w="80" w:type="dxa"/>
            </w:tcMar>
          </w:tcPr>
          <w:p>
            <w:pPr>
              <w:spacing w:after="30" w:before="0" w:line="240" w:lineRule="auto"/>
            </w:pPr>
            <w:r>
              <w:rPr>
                <w:sz w:val="15"/>
              </w:rPr>
              <w:t>Trustor, Trustee, TrustRecommendation, TransactionContext, trust computation/evaluation/inference, decision/review</w:t>
            </w:r>
          </w:p>
        </w:tc>
        <w:tc>
          <w:tcPr>
            <w:tcW w:type="dxa" w:w="1531"/>
            <w:vAlign w:val="top"/>
            <w:tcMar>
              <w:top w:w="70" w:type="dxa"/>
              <w:start w:w="80" w:type="dxa"/>
              <w:bottom w:w="70" w:type="dxa"/>
              <w:end w:w="80" w:type="dxa"/>
            </w:tcMar>
          </w:tcPr>
          <w:p>
            <w:pPr>
              <w:spacing w:after="30" w:before="0" w:line="240" w:lineRule="auto"/>
            </w:pPr>
            <w:r>
              <w:rPr>
                <w:sz w:val="15"/>
              </w:rPr>
              <w:t>Alignment / conceptual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 SELECTIVELY</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OR-02</w:t>
            </w:r>
          </w:p>
        </w:tc>
        <w:tc>
          <w:tcPr>
            <w:tcW w:type="dxa" w:w="2098"/>
            <w:vAlign w:val="top"/>
            <w:tcMar>
              <w:top w:w="70" w:type="dxa"/>
              <w:start w:w="80" w:type="dxa"/>
              <w:bottom w:w="70" w:type="dxa"/>
              <w:end w:w="80" w:type="dxa"/>
            </w:tcMar>
          </w:tcPr>
          <w:p>
            <w:pPr>
              <w:spacing w:after="30" w:before="0" w:line="240" w:lineRule="auto"/>
            </w:pPr>
            <w:r>
              <w:rPr>
                <w:sz w:val="15"/>
              </w:rPr>
              <w:t>SAREF-TA v1.0.0 - Trust-agent ontology</w:t>
            </w:r>
          </w:p>
        </w:tc>
        <w:tc>
          <w:tcPr>
            <w:tcW w:type="dxa" w:w="2891"/>
            <w:vAlign w:val="top"/>
            <w:tcMar>
              <w:top w:w="70" w:type="dxa"/>
              <w:start w:w="80" w:type="dxa"/>
              <w:bottom w:w="70" w:type="dxa"/>
              <w:end w:w="80" w:type="dxa"/>
            </w:tcMar>
          </w:tcPr>
          <w:p>
            <w:pPr>
              <w:spacing w:after="30" w:before="0" w:line="240" w:lineRule="auto"/>
            </w:pPr>
            <w:r>
              <w:rPr>
                <w:sz w:val="15"/>
              </w:rPr>
              <w:t>TrustIndicator, trust-related relations, Profile, Task</w:t>
            </w:r>
          </w:p>
        </w:tc>
        <w:tc>
          <w:tcPr>
            <w:tcW w:type="dxa" w:w="1531"/>
            <w:vAlign w:val="top"/>
            <w:tcMar>
              <w:top w:w="70" w:type="dxa"/>
              <w:start w:w="80" w:type="dxa"/>
              <w:bottom w:w="70" w:type="dxa"/>
              <w:end w:w="80" w:type="dxa"/>
            </w:tcMar>
          </w:tcPr>
          <w:p>
            <w:pPr>
              <w:spacing w:after="30" w:before="0" w:line="240" w:lineRule="auto"/>
            </w:pPr>
            <w:r>
              <w:rPr>
                <w:sz w:val="15"/>
              </w:rPr>
              <w:t>Selective IRI reuse/alignment</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 WITH EXCLUSIONS</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OR-03</w:t>
            </w:r>
          </w:p>
        </w:tc>
        <w:tc>
          <w:tcPr>
            <w:tcW w:type="dxa" w:w="2098"/>
            <w:vAlign w:val="top"/>
            <w:tcMar>
              <w:top w:w="70" w:type="dxa"/>
              <w:start w:w="80" w:type="dxa"/>
              <w:bottom w:w="70" w:type="dxa"/>
              <w:end w:w="80" w:type="dxa"/>
            </w:tcMar>
          </w:tcPr>
          <w:p>
            <w:pPr>
              <w:spacing w:after="30" w:before="0" w:line="240" w:lineRule="auto"/>
            </w:pPr>
            <w:r>
              <w:rPr>
                <w:sz w:val="15"/>
              </w:rPr>
              <w:t>SOSA/SSN 2017 Recommendation - Observation/sensor ontology</w:t>
            </w:r>
          </w:p>
        </w:tc>
        <w:tc>
          <w:tcPr>
            <w:tcW w:type="dxa" w:w="2891"/>
            <w:vAlign w:val="top"/>
            <w:tcMar>
              <w:top w:w="70" w:type="dxa"/>
              <w:start w:w="80" w:type="dxa"/>
              <w:bottom w:w="70" w:type="dxa"/>
              <w:end w:w="80" w:type="dxa"/>
            </w:tcMar>
          </w:tcPr>
          <w:p>
            <w:pPr>
              <w:spacing w:after="30" w:before="0" w:line="240" w:lineRule="auto"/>
            </w:pPr>
            <w:r>
              <w:rPr>
                <w:sz w:val="15"/>
              </w:rPr>
              <w:t>Observation, Sensor, Actuator, FeatureOfInterest, Result/System patterns</w:t>
            </w:r>
          </w:p>
        </w:tc>
        <w:tc>
          <w:tcPr>
            <w:tcW w:type="dxa" w:w="1531"/>
            <w:vAlign w:val="top"/>
            <w:tcMar>
              <w:top w:w="70" w:type="dxa"/>
              <w:start w:w="80" w:type="dxa"/>
              <w:bottom w:w="70" w:type="dxa"/>
              <w:end w:w="80" w:type="dxa"/>
            </w:tcMar>
          </w:tcPr>
          <w:p>
            <w:pPr>
              <w:spacing w:after="30" w:before="0" w:line="240" w:lineRule="auto"/>
            </w:pPr>
            <w:r>
              <w:rPr>
                <w:sz w:val="15"/>
              </w:rPr>
              <w:t>Selective direct IRI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OR-04</w:t>
            </w:r>
          </w:p>
        </w:tc>
        <w:tc>
          <w:tcPr>
            <w:tcW w:type="dxa" w:w="2098"/>
            <w:vAlign w:val="top"/>
            <w:tcMar>
              <w:top w:w="70" w:type="dxa"/>
              <w:start w:w="80" w:type="dxa"/>
              <w:bottom w:w="70" w:type="dxa"/>
              <w:end w:w="80" w:type="dxa"/>
            </w:tcMar>
          </w:tcPr>
          <w:p>
            <w:pPr>
              <w:spacing w:after="30" w:before="0" w:line="240" w:lineRule="auto"/>
            </w:pPr>
            <w:r>
              <w:rPr>
                <w:sz w:val="15"/>
              </w:rPr>
              <w:t>SAREF Core - IoT/device/service reference ontology</w:t>
            </w:r>
          </w:p>
        </w:tc>
        <w:tc>
          <w:tcPr>
            <w:tcW w:type="dxa" w:w="2891"/>
            <w:vAlign w:val="top"/>
            <w:tcMar>
              <w:top w:w="70" w:type="dxa"/>
              <w:start w:w="80" w:type="dxa"/>
              <w:bottom w:w="70" w:type="dxa"/>
              <w:end w:w="80" w:type="dxa"/>
            </w:tcMar>
          </w:tcPr>
          <w:p>
            <w:pPr>
              <w:spacing w:after="30" w:before="0" w:line="240" w:lineRule="auto"/>
            </w:pPr>
            <w:r>
              <w:rPr>
                <w:sz w:val="15"/>
              </w:rPr>
              <w:t>Device, Service, Function, Property concepts</w:t>
            </w:r>
          </w:p>
        </w:tc>
        <w:tc>
          <w:tcPr>
            <w:tcW w:type="dxa" w:w="1531"/>
            <w:vAlign w:val="top"/>
            <w:tcMar>
              <w:top w:w="70" w:type="dxa"/>
              <w:start w:w="80" w:type="dxa"/>
              <w:bottom w:w="70" w:type="dxa"/>
              <w:end w:w="80" w:type="dxa"/>
            </w:tcMar>
          </w:tcPr>
          <w:p>
            <w:pPr>
              <w:spacing w:after="30" w:before="0" w:line="240" w:lineRule="auto"/>
            </w:pPr>
            <w:r>
              <w:rPr>
                <w:sz w:val="15"/>
              </w:rPr>
              <w:t>Selective direct IRI reuse/alignment</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OR-05</w:t>
            </w:r>
          </w:p>
        </w:tc>
        <w:tc>
          <w:tcPr>
            <w:tcW w:type="dxa" w:w="2098"/>
            <w:vAlign w:val="top"/>
            <w:tcMar>
              <w:top w:w="70" w:type="dxa"/>
              <w:start w:w="80" w:type="dxa"/>
              <w:bottom w:w="70" w:type="dxa"/>
              <w:end w:w="80" w:type="dxa"/>
            </w:tcMar>
          </w:tcPr>
          <w:p>
            <w:pPr>
              <w:spacing w:after="30" w:before="0" w:line="240" w:lineRule="auto"/>
            </w:pPr>
            <w:r>
              <w:rPr>
                <w:sz w:val="15"/>
              </w:rPr>
              <w:t>oneM2M Base Ontology - IoT interoperability ontology</w:t>
            </w:r>
          </w:p>
        </w:tc>
        <w:tc>
          <w:tcPr>
            <w:tcW w:type="dxa" w:w="2891"/>
            <w:vAlign w:val="top"/>
            <w:tcMar>
              <w:top w:w="70" w:type="dxa"/>
              <w:start w:w="80" w:type="dxa"/>
              <w:bottom w:w="70" w:type="dxa"/>
              <w:end w:w="80" w:type="dxa"/>
            </w:tcMar>
          </w:tcPr>
          <w:p>
            <w:pPr>
              <w:spacing w:after="30" w:before="0" w:line="240" w:lineRule="auto"/>
            </w:pPr>
            <w:r>
              <w:rPr>
                <w:sz w:val="15"/>
              </w:rPr>
              <w:t>Device/service/function interoperability patterns</w:t>
            </w:r>
          </w:p>
        </w:tc>
        <w:tc>
          <w:tcPr>
            <w:tcW w:type="dxa" w:w="1531"/>
            <w:vAlign w:val="top"/>
            <w:tcMar>
              <w:top w:w="70" w:type="dxa"/>
              <w:start w:w="80" w:type="dxa"/>
              <w:bottom w:w="70" w:type="dxa"/>
              <w:end w:w="80" w:type="dxa"/>
            </w:tcMar>
          </w:tcPr>
          <w:p>
            <w:pPr>
              <w:spacing w:after="30" w:before="0" w:line="240" w:lineRule="auto"/>
            </w:pPr>
            <w:r>
              <w:rPr>
                <w:sz w:val="15"/>
              </w:rPr>
              <w:t>Reference/alignment</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SECONDARY</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OR-06</w:t>
            </w:r>
          </w:p>
        </w:tc>
        <w:tc>
          <w:tcPr>
            <w:tcW w:type="dxa" w:w="2098"/>
            <w:vAlign w:val="top"/>
            <w:tcMar>
              <w:top w:w="70" w:type="dxa"/>
              <w:start w:w="80" w:type="dxa"/>
              <w:bottom w:w="70" w:type="dxa"/>
              <w:end w:w="80" w:type="dxa"/>
            </w:tcMar>
          </w:tcPr>
          <w:p>
            <w:pPr>
              <w:spacing w:after="30" w:before="0" w:line="240" w:lineRule="auto"/>
            </w:pPr>
            <w:r>
              <w:rPr>
                <w:sz w:val="15"/>
              </w:rPr>
              <w:t>OWL-Time - Temporal ontology</w:t>
            </w:r>
          </w:p>
        </w:tc>
        <w:tc>
          <w:tcPr>
            <w:tcW w:type="dxa" w:w="2891"/>
            <w:vAlign w:val="top"/>
            <w:tcMar>
              <w:top w:w="70" w:type="dxa"/>
              <w:start w:w="80" w:type="dxa"/>
              <w:bottom w:w="70" w:type="dxa"/>
              <w:end w:w="80" w:type="dxa"/>
            </w:tcMar>
          </w:tcPr>
          <w:p>
            <w:pPr>
              <w:spacing w:after="30" w:before="0" w:line="240" w:lineRule="auto"/>
            </w:pPr>
            <w:r>
              <w:rPr>
                <w:sz w:val="15"/>
              </w:rPr>
              <w:t>Instant, Interval, Duration, temporal relations</w:t>
            </w:r>
          </w:p>
        </w:tc>
        <w:tc>
          <w:tcPr>
            <w:tcW w:type="dxa" w:w="1531"/>
            <w:vAlign w:val="top"/>
            <w:tcMar>
              <w:top w:w="70" w:type="dxa"/>
              <w:start w:w="80" w:type="dxa"/>
              <w:bottom w:w="70" w:type="dxa"/>
              <w:end w:w="80" w:type="dxa"/>
            </w:tcMar>
          </w:tcPr>
          <w:p>
            <w:pPr>
              <w:spacing w:after="30" w:before="0" w:line="240" w:lineRule="auto"/>
            </w:pPr>
            <w:r>
              <w:rPr>
                <w:sz w:val="15"/>
              </w:rPr>
              <w:t>Selective direct IRI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OR-07</w:t>
            </w:r>
          </w:p>
        </w:tc>
        <w:tc>
          <w:tcPr>
            <w:tcW w:type="dxa" w:w="2098"/>
            <w:vAlign w:val="top"/>
            <w:tcMar>
              <w:top w:w="70" w:type="dxa"/>
              <w:start w:w="80" w:type="dxa"/>
              <w:bottom w:w="70" w:type="dxa"/>
              <w:end w:w="80" w:type="dxa"/>
            </w:tcMar>
          </w:tcPr>
          <w:p>
            <w:pPr>
              <w:spacing w:after="30" w:before="0" w:line="240" w:lineRule="auto"/>
            </w:pPr>
            <w:r>
              <w:rPr>
                <w:sz w:val="15"/>
              </w:rPr>
              <w:t>PROV-O - Provenance ontology</w:t>
            </w:r>
          </w:p>
        </w:tc>
        <w:tc>
          <w:tcPr>
            <w:tcW w:type="dxa" w:w="2891"/>
            <w:vAlign w:val="top"/>
            <w:tcMar>
              <w:top w:w="70" w:type="dxa"/>
              <w:start w:w="80" w:type="dxa"/>
              <w:bottom w:w="70" w:type="dxa"/>
              <w:end w:w="80" w:type="dxa"/>
            </w:tcMar>
          </w:tcPr>
          <w:p>
            <w:pPr>
              <w:spacing w:after="30" w:before="0" w:line="240" w:lineRule="auto"/>
            </w:pPr>
            <w:r>
              <w:rPr>
                <w:sz w:val="15"/>
              </w:rPr>
              <w:t>Entity, Activity, Agent, generation/use/derivation provenance</w:t>
            </w:r>
          </w:p>
        </w:tc>
        <w:tc>
          <w:tcPr>
            <w:tcW w:type="dxa" w:w="1531"/>
            <w:vAlign w:val="top"/>
            <w:tcMar>
              <w:top w:w="70" w:type="dxa"/>
              <w:start w:w="80" w:type="dxa"/>
              <w:bottom w:w="70" w:type="dxa"/>
              <w:end w:w="80" w:type="dxa"/>
            </w:tcMar>
          </w:tcPr>
          <w:p>
            <w:pPr>
              <w:spacing w:after="30" w:before="0" w:line="240" w:lineRule="auto"/>
            </w:pPr>
            <w:r>
              <w:rPr>
                <w:sz w:val="15"/>
              </w:rPr>
              <w:t>Selective direct IRI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OR-08</w:t>
            </w:r>
          </w:p>
        </w:tc>
        <w:tc>
          <w:tcPr>
            <w:tcW w:type="dxa" w:w="2098"/>
            <w:vAlign w:val="top"/>
            <w:tcMar>
              <w:top w:w="70" w:type="dxa"/>
              <w:start w:w="80" w:type="dxa"/>
              <w:bottom w:w="70" w:type="dxa"/>
              <w:end w:w="80" w:type="dxa"/>
            </w:tcMar>
          </w:tcPr>
          <w:p>
            <w:pPr>
              <w:spacing w:after="30" w:before="0" w:line="240" w:lineRule="auto"/>
            </w:pPr>
            <w:r>
              <w:rPr>
                <w:sz w:val="15"/>
              </w:rPr>
              <w:t>QUDT - Quantities and units ontology</w:t>
            </w:r>
          </w:p>
        </w:tc>
        <w:tc>
          <w:tcPr>
            <w:tcW w:type="dxa" w:w="2891"/>
            <w:vAlign w:val="top"/>
            <w:tcMar>
              <w:top w:w="70" w:type="dxa"/>
              <w:start w:w="80" w:type="dxa"/>
              <w:bottom w:w="70" w:type="dxa"/>
              <w:end w:w="80" w:type="dxa"/>
            </w:tcMar>
          </w:tcPr>
          <w:p>
            <w:pPr>
              <w:spacing w:after="30" w:before="0" w:line="240" w:lineRule="auto"/>
            </w:pPr>
            <w:r>
              <w:rPr>
                <w:sz w:val="15"/>
              </w:rPr>
              <w:t>QuantityValue, Unit, QuantityKind, numeric value/unit patterns</w:t>
            </w:r>
          </w:p>
        </w:tc>
        <w:tc>
          <w:tcPr>
            <w:tcW w:type="dxa" w:w="1531"/>
            <w:vAlign w:val="top"/>
            <w:tcMar>
              <w:top w:w="70" w:type="dxa"/>
              <w:start w:w="80" w:type="dxa"/>
              <w:bottom w:w="70" w:type="dxa"/>
              <w:end w:w="80" w:type="dxa"/>
            </w:tcMar>
          </w:tcPr>
          <w:p>
            <w:pPr>
              <w:spacing w:after="30" w:before="0" w:line="240" w:lineRule="auto"/>
            </w:pPr>
            <w:r>
              <w:rPr>
                <w:sz w:val="15"/>
              </w:rPr>
              <w:t>Selective direct IRI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OR-09</w:t>
            </w:r>
          </w:p>
        </w:tc>
        <w:tc>
          <w:tcPr>
            <w:tcW w:type="dxa" w:w="2098"/>
            <w:vAlign w:val="top"/>
            <w:tcMar>
              <w:top w:w="70" w:type="dxa"/>
              <w:start w:w="80" w:type="dxa"/>
              <w:bottom w:w="70" w:type="dxa"/>
              <w:end w:w="80" w:type="dxa"/>
            </w:tcMar>
          </w:tcPr>
          <w:p>
            <w:pPr>
              <w:spacing w:after="30" w:before="0" w:line="240" w:lineRule="auto"/>
            </w:pPr>
            <w:r>
              <w:rPr>
                <w:sz w:val="15"/>
              </w:rPr>
              <w:t>GeoSPARQL 1.1 - Geospatial ontology/standard</w:t>
            </w:r>
          </w:p>
        </w:tc>
        <w:tc>
          <w:tcPr>
            <w:tcW w:type="dxa" w:w="2891"/>
            <w:vAlign w:val="top"/>
            <w:tcMar>
              <w:top w:w="70" w:type="dxa"/>
              <w:start w:w="80" w:type="dxa"/>
              <w:bottom w:w="70" w:type="dxa"/>
              <w:end w:w="80" w:type="dxa"/>
            </w:tcMar>
          </w:tcPr>
          <w:p>
            <w:pPr>
              <w:spacing w:after="30" w:before="0" w:line="240" w:lineRule="auto"/>
            </w:pPr>
            <w:r>
              <w:rPr>
                <w:sz w:val="15"/>
              </w:rPr>
              <w:t>Feature, Geometry, spatial relations</w:t>
            </w:r>
          </w:p>
        </w:tc>
        <w:tc>
          <w:tcPr>
            <w:tcW w:type="dxa" w:w="1531"/>
            <w:vAlign w:val="top"/>
            <w:tcMar>
              <w:top w:w="70" w:type="dxa"/>
              <w:start w:w="80" w:type="dxa"/>
              <w:bottom w:w="70" w:type="dxa"/>
              <w:end w:w="80" w:type="dxa"/>
            </w:tcMar>
          </w:tcPr>
          <w:p>
            <w:pPr>
              <w:spacing w:after="30" w:before="0" w:line="240" w:lineRule="auto"/>
            </w:pPr>
            <w:r>
              <w:rPr>
                <w:sz w:val="15"/>
              </w:rPr>
              <w:t>Conditional selective reuse</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 WHEN SPATIAL REASONING IS NEEDED</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OR-10</w:t>
            </w:r>
          </w:p>
        </w:tc>
        <w:tc>
          <w:tcPr>
            <w:tcW w:type="dxa" w:w="2098"/>
            <w:vAlign w:val="top"/>
            <w:tcMar>
              <w:top w:w="70" w:type="dxa"/>
              <w:start w:w="80" w:type="dxa"/>
              <w:bottom w:w="70" w:type="dxa"/>
              <w:end w:w="80" w:type="dxa"/>
            </w:tcMar>
          </w:tcPr>
          <w:p>
            <w:pPr>
              <w:spacing w:after="30" w:before="0" w:line="240" w:lineRule="auto"/>
            </w:pPr>
            <w:r>
              <w:rPr>
                <w:sz w:val="15"/>
              </w:rPr>
              <w:t>UCO 1.4.0 - Cybersecurity ontology family</w:t>
            </w:r>
          </w:p>
        </w:tc>
        <w:tc>
          <w:tcPr>
            <w:tcW w:type="dxa" w:w="2891"/>
            <w:vAlign w:val="top"/>
            <w:tcMar>
              <w:top w:w="70" w:type="dxa"/>
              <w:start w:w="80" w:type="dxa"/>
              <w:bottom w:w="70" w:type="dxa"/>
              <w:end w:w="80" w:type="dxa"/>
            </w:tcMar>
          </w:tcPr>
          <w:p>
            <w:pPr>
              <w:spacing w:after="30" w:before="0" w:line="240" w:lineRule="auto"/>
            </w:pPr>
            <w:r>
              <w:rPr>
                <w:sz w:val="15"/>
              </w:rPr>
              <w:t>Cybersecurity entities, actions, observables, identity/event patterns</w:t>
            </w:r>
          </w:p>
        </w:tc>
        <w:tc>
          <w:tcPr>
            <w:tcW w:type="dxa" w:w="1531"/>
            <w:vAlign w:val="top"/>
            <w:tcMar>
              <w:top w:w="70" w:type="dxa"/>
              <w:start w:w="80" w:type="dxa"/>
              <w:bottom w:w="70" w:type="dxa"/>
              <w:end w:w="80" w:type="dxa"/>
            </w:tcMar>
          </w:tcPr>
          <w:p>
            <w:pPr>
              <w:spacing w:after="30" w:before="0" w:line="240" w:lineRule="auto"/>
            </w:pPr>
            <w:r>
              <w:rPr>
                <w:sz w:val="15"/>
              </w:rPr>
              <w:t>Selective mapping</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 AS CYBERSECURITY ALIGNMENT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OR-11</w:t>
            </w:r>
          </w:p>
        </w:tc>
        <w:tc>
          <w:tcPr>
            <w:tcW w:type="dxa" w:w="2098"/>
            <w:vAlign w:val="top"/>
            <w:tcMar>
              <w:top w:w="70" w:type="dxa"/>
              <w:start w:w="80" w:type="dxa"/>
              <w:bottom w:w="70" w:type="dxa"/>
              <w:end w:w="80" w:type="dxa"/>
            </w:tcMar>
          </w:tcPr>
          <w:p>
            <w:pPr>
              <w:spacing w:after="30" w:before="0" w:line="240" w:lineRule="auto"/>
            </w:pPr>
            <w:r>
              <w:rPr>
                <w:sz w:val="15"/>
              </w:rPr>
              <w:t>MITRE D3FEND 1.4.0 - Defensive cybersecurity ontology</w:t>
            </w:r>
          </w:p>
        </w:tc>
        <w:tc>
          <w:tcPr>
            <w:tcW w:type="dxa" w:w="2891"/>
            <w:vAlign w:val="top"/>
            <w:tcMar>
              <w:top w:w="70" w:type="dxa"/>
              <w:start w:w="80" w:type="dxa"/>
              <w:bottom w:w="70" w:type="dxa"/>
              <w:end w:w="80" w:type="dxa"/>
            </w:tcMar>
          </w:tcPr>
          <w:p>
            <w:pPr>
              <w:spacing w:after="30" w:before="0" w:line="240" w:lineRule="auto"/>
            </w:pPr>
            <w:r>
              <w:rPr>
                <w:sz w:val="15"/>
              </w:rPr>
              <w:t>Defensive techniques, artifacts, events, OT concepts</w:t>
            </w:r>
          </w:p>
        </w:tc>
        <w:tc>
          <w:tcPr>
            <w:tcW w:type="dxa" w:w="1531"/>
            <w:vAlign w:val="top"/>
            <w:tcMar>
              <w:top w:w="70" w:type="dxa"/>
              <w:start w:w="80" w:type="dxa"/>
              <w:bottom w:w="70" w:type="dxa"/>
              <w:end w:w="80" w:type="dxa"/>
            </w:tcMar>
          </w:tcPr>
          <w:p>
            <w:pPr>
              <w:spacing w:after="30" w:before="0" w:line="240" w:lineRule="auto"/>
            </w:pPr>
            <w:r>
              <w:rPr>
                <w:sz w:val="15"/>
              </w:rPr>
              <w:t>Selective mapping</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 AS DEFENSE ALIGNMENT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OR-12</w:t>
            </w:r>
          </w:p>
        </w:tc>
        <w:tc>
          <w:tcPr>
            <w:tcW w:type="dxa" w:w="2098"/>
            <w:vAlign w:val="top"/>
            <w:tcMar>
              <w:top w:w="70" w:type="dxa"/>
              <w:start w:w="80" w:type="dxa"/>
              <w:bottom w:w="70" w:type="dxa"/>
              <w:end w:w="80" w:type="dxa"/>
            </w:tcMar>
          </w:tcPr>
          <w:p>
            <w:pPr>
              <w:spacing w:after="30" w:before="0" w:line="240" w:lineRule="auto"/>
            </w:pPr>
            <w:r>
              <w:rPr>
                <w:sz w:val="15"/>
              </w:rPr>
              <w:t>W3C DQV - Data-quality vocabulary</w:t>
            </w:r>
          </w:p>
        </w:tc>
        <w:tc>
          <w:tcPr>
            <w:tcW w:type="dxa" w:w="2891"/>
            <w:vAlign w:val="top"/>
            <w:tcMar>
              <w:top w:w="70" w:type="dxa"/>
              <w:start w:w="80" w:type="dxa"/>
              <w:bottom w:w="70" w:type="dxa"/>
              <w:end w:w="80" w:type="dxa"/>
            </w:tcMar>
          </w:tcPr>
          <w:p>
            <w:pPr>
              <w:spacing w:after="30" w:before="0" w:line="240" w:lineRule="auto"/>
            </w:pPr>
            <w:r>
              <w:rPr>
                <w:sz w:val="15"/>
              </w:rPr>
              <w:t>Metric and QualityMeasurement patterns</w:t>
            </w:r>
          </w:p>
        </w:tc>
        <w:tc>
          <w:tcPr>
            <w:tcW w:type="dxa" w:w="1531"/>
            <w:vAlign w:val="top"/>
            <w:tcMar>
              <w:top w:w="70" w:type="dxa"/>
              <w:start w:w="80" w:type="dxa"/>
              <w:bottom w:w="70" w:type="dxa"/>
              <w:end w:w="80" w:type="dxa"/>
            </w:tcMar>
          </w:tcPr>
          <w:p>
            <w:pPr>
              <w:spacing w:after="30" w:before="0" w:line="240" w:lineRule="auto"/>
            </w:pPr>
            <w:r>
              <w:rPr>
                <w:sz w:val="15"/>
              </w:rPr>
              <w:t>Selective direct reuse/pattern</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ACCEPT</w:t>
            </w:r>
          </w:p>
        </w:tc>
      </w:tr>
      <w:tr>
        <w:trPr>
          <w:cantSplit/>
        </w:trPr>
        <w:tc>
          <w:tcPr>
            <w:tcW w:type="dxa" w:w="567"/>
            <w:vAlign w:val="top"/>
            <w:tcMar>
              <w:top w:w="70" w:type="dxa"/>
              <w:start w:w="80" w:type="dxa"/>
              <w:bottom w:w="70" w:type="dxa"/>
              <w:end w:w="80" w:type="dxa"/>
            </w:tcMar>
          </w:tcPr>
          <w:p>
            <w:pPr>
              <w:spacing w:after="30" w:before="0" w:line="240" w:lineRule="auto"/>
            </w:pPr>
            <w:r>
              <w:rPr>
                <w:sz w:val="15"/>
              </w:rPr>
              <w:t>OR-13</w:t>
            </w:r>
          </w:p>
        </w:tc>
        <w:tc>
          <w:tcPr>
            <w:tcW w:type="dxa" w:w="2098"/>
            <w:vAlign w:val="top"/>
            <w:tcMar>
              <w:top w:w="70" w:type="dxa"/>
              <w:start w:w="80" w:type="dxa"/>
              <w:bottom w:w="70" w:type="dxa"/>
              <w:end w:w="80" w:type="dxa"/>
            </w:tcMar>
          </w:tcPr>
          <w:p>
            <w:pPr>
              <w:spacing w:after="30" w:before="0" w:line="240" w:lineRule="auto"/>
            </w:pPr>
            <w:r>
              <w:rPr>
                <w:sz w:val="15"/>
              </w:rPr>
              <w:t>OWL-S 1.1 - Semantic service ontology (legacy)</w:t>
            </w:r>
          </w:p>
        </w:tc>
        <w:tc>
          <w:tcPr>
            <w:tcW w:type="dxa" w:w="2891"/>
            <w:vAlign w:val="top"/>
            <w:tcMar>
              <w:top w:w="70" w:type="dxa"/>
              <w:start w:w="80" w:type="dxa"/>
              <w:bottom w:w="70" w:type="dxa"/>
              <w:end w:w="80" w:type="dxa"/>
            </w:tcMar>
          </w:tcPr>
          <w:p>
            <w:pPr>
              <w:spacing w:after="30" w:before="0" w:line="240" w:lineRule="auto"/>
            </w:pPr>
            <w:r>
              <w:rPr>
                <w:sz w:val="15"/>
              </w:rPr>
              <w:t>Service/Profile/Process concepts</w:t>
            </w:r>
          </w:p>
        </w:tc>
        <w:tc>
          <w:tcPr>
            <w:tcW w:type="dxa" w:w="1531"/>
            <w:vAlign w:val="top"/>
            <w:tcMar>
              <w:top w:w="70" w:type="dxa"/>
              <w:start w:w="80" w:type="dxa"/>
              <w:bottom w:w="70" w:type="dxa"/>
              <w:end w:w="80" w:type="dxa"/>
            </w:tcMar>
          </w:tcPr>
          <w:p>
            <w:pPr>
              <w:spacing w:after="30" w:before="0" w:line="240" w:lineRule="auto"/>
            </w:pPr>
            <w:r>
              <w:rPr>
                <w:sz w:val="15"/>
              </w:rPr>
              <w:t>Reference only</w:t>
            </w:r>
          </w:p>
        </w:tc>
        <w:tc>
          <w:tcPr>
            <w:tcW w:type="dxa" w:w="794"/>
            <w:vAlign w:val="top"/>
            <w:tcMar>
              <w:top w:w="70" w:type="dxa"/>
              <w:start w:w="80" w:type="dxa"/>
              <w:bottom w:w="70" w:type="dxa"/>
              <w:end w:w="80" w:type="dxa"/>
            </w:tcMar>
          </w:tcPr>
          <w:p>
            <w:pPr>
              <w:spacing w:after="30" w:before="0" w:line="240" w:lineRule="auto"/>
            </w:pPr>
            <w:r>
              <w:rPr>
                <w:sz w:val="15"/>
              </w:rPr>
              <w:t>NO</w:t>
            </w:r>
          </w:p>
        </w:tc>
        <w:tc>
          <w:tcPr>
            <w:tcW w:type="dxa" w:w="1701"/>
            <w:vAlign w:val="top"/>
            <w:tcMar>
              <w:top w:w="70" w:type="dxa"/>
              <w:start w:w="80" w:type="dxa"/>
              <w:bottom w:w="70" w:type="dxa"/>
              <w:end w:w="80" w:type="dxa"/>
            </w:tcMar>
          </w:tcPr>
          <w:p>
            <w:pPr>
              <w:spacing w:after="30" w:before="0" w:line="240" w:lineRule="auto"/>
            </w:pPr>
            <w:r>
              <w:rPr>
                <w:sz w:val="15"/>
              </w:rPr>
              <w:t>NOT PRIMARY; SAREF PREFERRED</w:t>
            </w:r>
          </w:p>
        </w:tc>
      </w:tr>
    </w:tbl>
    <w:p>
      <w:pPr>
        <w:widowControl/>
      </w:pPr>
    </w:p>
    <w:p>
      <w:pPr>
        <w:pStyle w:val="Heading1"/>
        <w:keepNext/>
        <w:widowControl/>
      </w:pPr>
      <w:r>
        <w:t>5. TRESIOT Detailed Reuse Decision</w:t>
      </w:r>
    </w:p>
    <w:p>
      <w:pPr>
        <w:pStyle w:val="BodyText"/>
        <w:widowControl/>
        <w:spacing w:after="100"/>
      </w:pPr>
      <w:r>
        <w:rPr>
          <w:i w:val="0"/>
        </w:rPr>
        <w:t>TRESIOT (Ontology for Trust Recommendation in Social Internet of Things) has the highest conceptual relevance for the trust/reputation part of SIoTSecurity because it separates trust evaluation from trust inference, represents recommendation and transaction context, and treats trust roles as contextual rather than permanent device categories.</w:t>
      </w:r>
    </w:p>
    <w:p>
      <w:pPr>
        <w:pStyle w:val="Heading2"/>
        <w:keepNext/>
        <w:widowControl/>
      </w:pPr>
      <w:r>
        <w:t>5.1 Formal Availability Verification</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835"/>
            <w:vAlign w:val="top"/>
            <w:tcMar>
              <w:top w:w="70" w:type="dxa"/>
              <w:start w:w="80" w:type="dxa"/>
              <w:bottom w:w="70" w:type="dxa"/>
              <w:end w:w="80" w:type="dxa"/>
            </w:tcMar>
            <w:shd w:fill="D9EAF7"/>
          </w:tcPr>
          <w:p>
            <w:pPr>
              <w:spacing w:after="30" w:before="0" w:line="240" w:lineRule="auto"/>
            </w:pPr>
            <w:r>
              <w:rPr>
                <w:b/>
                <w:sz w:val="16"/>
              </w:rPr>
              <w:t>Check</w:t>
            </w:r>
          </w:p>
        </w:tc>
        <w:tc>
          <w:tcPr>
            <w:tcW w:type="dxa" w:w="2324"/>
            <w:vAlign w:val="top"/>
            <w:tcMar>
              <w:top w:w="70" w:type="dxa"/>
              <w:start w:w="80" w:type="dxa"/>
              <w:bottom w:w="70" w:type="dxa"/>
              <w:end w:w="80" w:type="dxa"/>
            </w:tcMar>
            <w:shd w:fill="D9EAF7"/>
          </w:tcPr>
          <w:p>
            <w:pPr>
              <w:spacing w:after="30" w:before="0" w:line="240" w:lineRule="auto"/>
            </w:pPr>
            <w:r>
              <w:rPr>
                <w:b/>
                <w:sz w:val="16"/>
              </w:rPr>
              <w:t>Result</w:t>
            </w:r>
          </w:p>
        </w:tc>
        <w:tc>
          <w:tcPr>
            <w:tcW w:type="dxa" w:w="4025"/>
            <w:vAlign w:val="top"/>
            <w:tcMar>
              <w:top w:w="70" w:type="dxa"/>
              <w:start w:w="80" w:type="dxa"/>
              <w:bottom w:w="70" w:type="dxa"/>
              <w:end w:w="80" w:type="dxa"/>
            </w:tcMar>
            <w:shd w:fill="D9EAF7"/>
          </w:tcPr>
          <w:p>
            <w:pPr>
              <w:spacing w:after="30" w:before="0" w:line="240" w:lineRule="auto"/>
            </w:pPr>
            <w:r>
              <w:rPr>
                <w:b/>
                <w:sz w:val="16"/>
              </w:rPr>
              <w:t>Implication</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Official documentation</w:t>
            </w:r>
          </w:p>
        </w:tc>
        <w:tc>
          <w:tcPr>
            <w:tcW w:type="dxa" w:w="2324"/>
            <w:vAlign w:val="top"/>
            <w:tcMar>
              <w:top w:w="70" w:type="dxa"/>
              <w:start w:w="80" w:type="dxa"/>
              <w:bottom w:w="70" w:type="dxa"/>
              <w:end w:w="80" w:type="dxa"/>
            </w:tcMar>
          </w:tcPr>
          <w:p>
            <w:pPr>
              <w:spacing w:after="30" w:before="0" w:line="240" w:lineRule="auto"/>
            </w:pPr>
            <w:r>
              <w:rPr>
                <w:sz w:val="16"/>
              </w:rPr>
              <w:t>Available</w:t>
            </w:r>
          </w:p>
        </w:tc>
        <w:tc>
          <w:tcPr>
            <w:tcW w:type="dxa" w:w="4025"/>
            <w:vAlign w:val="top"/>
            <w:tcMar>
              <w:top w:w="70" w:type="dxa"/>
              <w:start w:w="80" w:type="dxa"/>
              <w:bottom w:w="70" w:type="dxa"/>
              <w:end w:w="80" w:type="dxa"/>
            </w:tcMar>
          </w:tcPr>
          <w:p>
            <w:pPr>
              <w:spacing w:after="30" w:before="0" w:line="240" w:lineRule="auto"/>
            </w:pPr>
            <w:r>
              <w:rPr>
                <w:sz w:val="16"/>
              </w:rPr>
              <w:t>Concept meanings and documented IRIs can be evaluated.</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Published version information</w:t>
            </w:r>
          </w:p>
        </w:tc>
        <w:tc>
          <w:tcPr>
            <w:tcW w:type="dxa" w:w="2324"/>
            <w:vAlign w:val="top"/>
            <w:tcMar>
              <w:top w:w="70" w:type="dxa"/>
              <w:start w:w="80" w:type="dxa"/>
              <w:bottom w:w="70" w:type="dxa"/>
              <w:end w:w="80" w:type="dxa"/>
            </w:tcMar>
          </w:tcPr>
          <w:p>
            <w:pPr>
              <w:spacing w:after="30" w:before="0" w:line="240" w:lineRule="auto"/>
            </w:pPr>
            <w:r>
              <w:rPr>
                <w:sz w:val="16"/>
              </w:rPr>
              <w:t>v1.0.0 is documented</w:t>
            </w:r>
          </w:p>
        </w:tc>
        <w:tc>
          <w:tcPr>
            <w:tcW w:type="dxa" w:w="4025"/>
            <w:vAlign w:val="top"/>
            <w:tcMar>
              <w:top w:w="70" w:type="dxa"/>
              <w:start w:w="80" w:type="dxa"/>
              <w:bottom w:w="70" w:type="dxa"/>
              <w:end w:w="80" w:type="dxa"/>
            </w:tcMar>
          </w:tcPr>
          <w:p>
            <w:pPr>
              <w:spacing w:after="30" w:before="0" w:line="240" w:lineRule="auto"/>
            </w:pPr>
            <w:r>
              <w:rPr>
                <w:sz w:val="16"/>
              </w:rPr>
              <w:t>Version context can be recorded.</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Exact OWL/RDF/TTL serialization from official endpoint</w:t>
            </w:r>
          </w:p>
        </w:tc>
        <w:tc>
          <w:tcPr>
            <w:tcW w:type="dxa" w:w="2324"/>
            <w:vAlign w:val="top"/>
            <w:tcMar>
              <w:top w:w="70" w:type="dxa"/>
              <w:start w:w="80" w:type="dxa"/>
              <w:bottom w:w="70" w:type="dxa"/>
              <w:end w:w="80" w:type="dxa"/>
            </w:tcMar>
          </w:tcPr>
          <w:p>
            <w:pPr>
              <w:spacing w:after="30" w:before="0" w:line="240" w:lineRule="auto"/>
            </w:pPr>
            <w:r>
              <w:rPr>
                <w:sz w:val="16"/>
              </w:rPr>
              <w:t>Not reproducibly retrievable during Step 2 verification</w:t>
            </w:r>
          </w:p>
        </w:tc>
        <w:tc>
          <w:tcPr>
            <w:tcW w:type="dxa" w:w="4025"/>
            <w:vAlign w:val="top"/>
            <w:tcMar>
              <w:top w:w="70" w:type="dxa"/>
              <w:start w:w="80" w:type="dxa"/>
              <w:bottom w:w="70" w:type="dxa"/>
              <w:end w:w="80" w:type="dxa"/>
            </w:tcMar>
          </w:tcPr>
          <w:p>
            <w:pPr>
              <w:spacing w:after="30" w:before="0" w:line="240" w:lineRule="auto"/>
            </w:pPr>
            <w:r>
              <w:rPr>
                <w:sz w:val="16"/>
              </w:rPr>
              <w:t>Full owl:imports is rejected.</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Stable import chain</w:t>
            </w:r>
          </w:p>
        </w:tc>
        <w:tc>
          <w:tcPr>
            <w:tcW w:type="dxa" w:w="2324"/>
            <w:vAlign w:val="top"/>
            <w:tcMar>
              <w:top w:w="70" w:type="dxa"/>
              <w:start w:w="80" w:type="dxa"/>
              <w:bottom w:w="70" w:type="dxa"/>
              <w:end w:w="80" w:type="dxa"/>
            </w:tcMar>
          </w:tcPr>
          <w:p>
            <w:pPr>
              <w:spacing w:after="30" w:before="0" w:line="240" w:lineRule="auto"/>
            </w:pPr>
            <w:r>
              <w:rPr>
                <w:sz w:val="16"/>
              </w:rPr>
              <w:t>Not demonstrable</w:t>
            </w:r>
          </w:p>
        </w:tc>
        <w:tc>
          <w:tcPr>
            <w:tcW w:type="dxa" w:w="4025"/>
            <w:vAlign w:val="top"/>
            <w:tcMar>
              <w:top w:w="70" w:type="dxa"/>
              <w:start w:w="80" w:type="dxa"/>
              <w:bottom w:w="70" w:type="dxa"/>
              <w:end w:w="80" w:type="dxa"/>
            </w:tcMar>
          </w:tcPr>
          <w:p>
            <w:pPr>
              <w:spacing w:after="30" w:before="0" w:line="240" w:lineRule="auto"/>
            </w:pPr>
            <w:r>
              <w:rPr>
                <w:sz w:val="16"/>
              </w:rPr>
              <w:t>No dependency on runtime dereferencing is allowed.</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Linked Open Vocabularies evidence</w:t>
            </w:r>
          </w:p>
        </w:tc>
        <w:tc>
          <w:tcPr>
            <w:tcW w:type="dxa" w:w="2324"/>
            <w:vAlign w:val="top"/>
            <w:tcMar>
              <w:top w:w="70" w:type="dxa"/>
              <w:start w:w="80" w:type="dxa"/>
              <w:bottom w:w="70" w:type="dxa"/>
              <w:end w:w="80" w:type="dxa"/>
            </w:tcMar>
          </w:tcPr>
          <w:p>
            <w:pPr>
              <w:spacing w:after="30" w:before="0" w:line="240" w:lineRule="auto"/>
            </w:pPr>
            <w:r>
              <w:rPr>
                <w:sz w:val="16"/>
              </w:rPr>
              <w:t>TRESIOT terms have been indexed</w:t>
            </w:r>
          </w:p>
        </w:tc>
        <w:tc>
          <w:tcPr>
            <w:tcW w:type="dxa" w:w="4025"/>
            <w:vAlign w:val="top"/>
            <w:tcMar>
              <w:top w:w="70" w:type="dxa"/>
              <w:start w:w="80" w:type="dxa"/>
              <w:bottom w:w="70" w:type="dxa"/>
              <w:end w:w="80" w:type="dxa"/>
            </w:tcMar>
          </w:tcPr>
          <w:p>
            <w:pPr>
              <w:spacing w:after="30" w:before="0" w:line="240" w:lineRule="auto"/>
            </w:pPr>
            <w:r>
              <w:rPr>
                <w:sz w:val="16"/>
              </w:rPr>
              <w:t>Supports term-level existence but does not replace a reproducible official serialization.</w:t>
            </w:r>
          </w:p>
        </w:tc>
      </w:tr>
    </w:tbl>
    <w:p>
      <w:pPr>
        <w:widowControl/>
      </w:pPr>
    </w:p>
    <w:p>
      <w:pPr>
        <w:pStyle w:val="BodyText"/>
        <w:widowControl/>
        <w:spacing w:after="100"/>
      </w:pPr>
      <w:r>
        <w:rPr>
          <w:i w:val="0"/>
        </w:rPr>
        <w:t>Final decision: TRESIOT SHALL NOT be included through owl:imports. SIoTSecurity will align with documented TRESIOT concepts where the IRI and semantics are independently verifiable; otherwise, SIoTSecurity will define a local canonical term with provenance to TRESIOT and the supporting scientific literature.</w:t>
      </w:r>
    </w:p>
    <w:p>
      <w:pPr>
        <w:pStyle w:val="Heading2"/>
        <w:keepNext/>
        <w:widowControl/>
      </w:pPr>
      <w:r>
        <w:t>5.2 TRESIOT Concepts Selected for Alignment</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701"/>
            <w:vAlign w:val="top"/>
            <w:tcMar>
              <w:top w:w="70" w:type="dxa"/>
              <w:start w:w="80" w:type="dxa"/>
              <w:bottom w:w="70" w:type="dxa"/>
              <w:end w:w="80" w:type="dxa"/>
            </w:tcMar>
            <w:shd w:fill="D9EAF7"/>
          </w:tcPr>
          <w:p>
            <w:pPr>
              <w:spacing w:after="30" w:before="0" w:line="240" w:lineRule="auto"/>
            </w:pPr>
            <w:r>
              <w:rPr>
                <w:b/>
                <w:sz w:val="15"/>
              </w:rPr>
              <w:t>TRESIOT concept</w:t>
            </w:r>
          </w:p>
        </w:tc>
        <w:tc>
          <w:tcPr>
            <w:tcW w:type="dxa" w:w="2041"/>
            <w:vAlign w:val="top"/>
            <w:tcMar>
              <w:top w:w="70" w:type="dxa"/>
              <w:start w:w="80" w:type="dxa"/>
              <w:bottom w:w="70" w:type="dxa"/>
              <w:end w:w="80" w:type="dxa"/>
            </w:tcMar>
            <w:shd w:fill="D9EAF7"/>
          </w:tcPr>
          <w:p>
            <w:pPr>
              <w:spacing w:after="30" w:before="0" w:line="240" w:lineRule="auto"/>
            </w:pPr>
            <w:r>
              <w:rPr>
                <w:b/>
                <w:sz w:val="15"/>
              </w:rPr>
              <w:t>SIoTSecurity target</w:t>
            </w:r>
          </w:p>
        </w:tc>
        <w:tc>
          <w:tcPr>
            <w:tcW w:type="dxa" w:w="1871"/>
            <w:vAlign w:val="top"/>
            <w:tcMar>
              <w:top w:w="70" w:type="dxa"/>
              <w:start w:w="80" w:type="dxa"/>
              <w:bottom w:w="70" w:type="dxa"/>
              <w:end w:w="80" w:type="dxa"/>
            </w:tcMar>
            <w:shd w:fill="D9EAF7"/>
          </w:tcPr>
          <w:p>
            <w:pPr>
              <w:spacing w:after="30" w:before="0" w:line="240" w:lineRule="auto"/>
            </w:pPr>
            <w:r>
              <w:rPr>
                <w:b/>
                <w:sz w:val="15"/>
              </w:rPr>
              <w:t>Integration</w:t>
            </w:r>
          </w:p>
        </w:tc>
        <w:tc>
          <w:tcPr>
            <w:tcW w:type="dxa" w:w="3628"/>
            <w:vAlign w:val="top"/>
            <w:tcMar>
              <w:top w:w="70" w:type="dxa"/>
              <w:start w:w="80" w:type="dxa"/>
              <w:bottom w:w="70" w:type="dxa"/>
              <w:end w:w="80" w:type="dxa"/>
            </w:tcMar>
            <w:shd w:fill="D9EAF7"/>
          </w:tcPr>
          <w:p>
            <w:pPr>
              <w:spacing w:after="30" w:before="0" w:line="240" w:lineRule="auto"/>
            </w:pPr>
            <w:r>
              <w:rPr>
                <w:b/>
                <w:sz w:val="15"/>
              </w:rPr>
              <w:t>Reason</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Node</w:t>
            </w:r>
          </w:p>
        </w:tc>
        <w:tc>
          <w:tcPr>
            <w:tcW w:type="dxa" w:w="2041"/>
            <w:vAlign w:val="top"/>
            <w:tcMar>
              <w:top w:w="70" w:type="dxa"/>
              <w:start w:w="80" w:type="dxa"/>
              <w:bottom w:w="70" w:type="dxa"/>
              <w:end w:w="80" w:type="dxa"/>
            </w:tcMar>
          </w:tcPr>
          <w:p>
            <w:pPr>
              <w:spacing w:after="30" w:before="0" w:line="240" w:lineRule="auto"/>
            </w:pPr>
            <w:r>
              <w:rPr>
                <w:sz w:val="15"/>
              </w:rPr>
              <w:t>SmartObject / participating entity</w:t>
            </w:r>
          </w:p>
        </w:tc>
        <w:tc>
          <w:tcPr>
            <w:tcW w:type="dxa" w:w="1871"/>
            <w:vAlign w:val="top"/>
            <w:tcMar>
              <w:top w:w="70" w:type="dxa"/>
              <w:start w:w="80" w:type="dxa"/>
              <w:bottom w:w="70" w:type="dxa"/>
              <w:end w:w="80" w:type="dxa"/>
            </w:tcMar>
          </w:tcPr>
          <w:p>
            <w:pPr>
              <w:spacing w:after="30" w:before="0" w:line="240" w:lineRule="auto"/>
            </w:pPr>
            <w:r>
              <w:rPr>
                <w:sz w:val="15"/>
              </w:rPr>
              <w:t>Alignment only</w:t>
            </w:r>
          </w:p>
        </w:tc>
        <w:tc>
          <w:tcPr>
            <w:tcW w:type="dxa" w:w="3628"/>
            <w:vAlign w:val="top"/>
            <w:tcMar>
              <w:top w:w="70" w:type="dxa"/>
              <w:start w:w="80" w:type="dxa"/>
              <w:bottom w:w="70" w:type="dxa"/>
              <w:end w:w="80" w:type="dxa"/>
            </w:tcMar>
          </w:tcPr>
          <w:p>
            <w:pPr>
              <w:spacing w:after="30" w:before="0" w:line="240" w:lineRule="auto"/>
            </w:pPr>
            <w:r>
              <w:rPr>
                <w:sz w:val="15"/>
              </w:rPr>
              <w:t>A TRESIOT node is broader and may cover devices/services/functions; SIoTSecurity retains a local SmartObject concept.</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Trustor</w:t>
            </w:r>
          </w:p>
        </w:tc>
        <w:tc>
          <w:tcPr>
            <w:tcW w:type="dxa" w:w="2041"/>
            <w:vAlign w:val="top"/>
            <w:tcMar>
              <w:top w:w="70" w:type="dxa"/>
              <w:start w:w="80" w:type="dxa"/>
              <w:bottom w:w="70" w:type="dxa"/>
              <w:end w:w="80" w:type="dxa"/>
            </w:tcMar>
          </w:tcPr>
          <w:p>
            <w:pPr>
              <w:spacing w:after="30" w:before="0" w:line="240" w:lineRule="auto"/>
            </w:pPr>
            <w:r>
              <w:rPr>
                <w:sz w:val="15"/>
              </w:rPr>
              <w:t>TrustEvaluatorRole</w:t>
            </w:r>
          </w:p>
        </w:tc>
        <w:tc>
          <w:tcPr>
            <w:tcW w:type="dxa" w:w="1871"/>
            <w:vAlign w:val="top"/>
            <w:tcMar>
              <w:top w:w="70" w:type="dxa"/>
              <w:start w:w="80" w:type="dxa"/>
              <w:bottom w:w="70" w:type="dxa"/>
              <w:end w:w="80" w:type="dxa"/>
            </w:tcMar>
          </w:tcPr>
          <w:p>
            <w:pPr>
              <w:spacing w:after="30" w:before="0" w:line="240" w:lineRule="auto"/>
            </w:pPr>
            <w:r>
              <w:rPr>
                <w:sz w:val="15"/>
              </w:rPr>
              <w:t>Local role aligned to TRESIOT</w:t>
            </w:r>
          </w:p>
        </w:tc>
        <w:tc>
          <w:tcPr>
            <w:tcW w:type="dxa" w:w="3628"/>
            <w:vAlign w:val="top"/>
            <w:tcMar>
              <w:top w:w="70" w:type="dxa"/>
              <w:start w:w="80" w:type="dxa"/>
              <w:bottom w:w="70" w:type="dxa"/>
              <w:end w:w="80" w:type="dxa"/>
            </w:tcMar>
          </w:tcPr>
          <w:p>
            <w:pPr>
              <w:spacing w:after="30" w:before="0" w:line="240" w:lineRule="auto"/>
            </w:pPr>
            <w:r>
              <w:rPr>
                <w:sz w:val="15"/>
              </w:rPr>
              <w:t>Modeled as contextual role, not permanent device subclass.</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Trustee</w:t>
            </w:r>
          </w:p>
        </w:tc>
        <w:tc>
          <w:tcPr>
            <w:tcW w:type="dxa" w:w="2041"/>
            <w:vAlign w:val="top"/>
            <w:tcMar>
              <w:top w:w="70" w:type="dxa"/>
              <w:start w:w="80" w:type="dxa"/>
              <w:bottom w:w="70" w:type="dxa"/>
              <w:end w:w="80" w:type="dxa"/>
            </w:tcMar>
          </w:tcPr>
          <w:p>
            <w:pPr>
              <w:spacing w:after="30" w:before="0" w:line="240" w:lineRule="auto"/>
            </w:pPr>
            <w:r>
              <w:rPr>
                <w:sz w:val="15"/>
              </w:rPr>
              <w:t>EvaluatedEntityRole</w:t>
            </w:r>
          </w:p>
        </w:tc>
        <w:tc>
          <w:tcPr>
            <w:tcW w:type="dxa" w:w="1871"/>
            <w:vAlign w:val="top"/>
            <w:tcMar>
              <w:top w:w="70" w:type="dxa"/>
              <w:start w:w="80" w:type="dxa"/>
              <w:bottom w:w="70" w:type="dxa"/>
              <w:end w:w="80" w:type="dxa"/>
            </w:tcMar>
          </w:tcPr>
          <w:p>
            <w:pPr>
              <w:spacing w:after="30" w:before="0" w:line="240" w:lineRule="auto"/>
            </w:pPr>
            <w:r>
              <w:rPr>
                <w:sz w:val="15"/>
              </w:rPr>
              <w:t>Local role aligned to TRESIOT</w:t>
            </w:r>
          </w:p>
        </w:tc>
        <w:tc>
          <w:tcPr>
            <w:tcW w:type="dxa" w:w="3628"/>
            <w:vAlign w:val="top"/>
            <w:tcMar>
              <w:top w:w="70" w:type="dxa"/>
              <w:start w:w="80" w:type="dxa"/>
              <w:bottom w:w="70" w:type="dxa"/>
              <w:end w:w="80" w:type="dxa"/>
            </w:tcMar>
          </w:tcPr>
          <w:p>
            <w:pPr>
              <w:spacing w:after="30" w:before="0" w:line="240" w:lineRule="auto"/>
            </w:pPr>
            <w:r>
              <w:rPr>
                <w:sz w:val="15"/>
              </w:rPr>
              <w:t>Contextual role.</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ServiceProvider</w:t>
            </w:r>
          </w:p>
        </w:tc>
        <w:tc>
          <w:tcPr>
            <w:tcW w:type="dxa" w:w="2041"/>
            <w:vAlign w:val="top"/>
            <w:tcMar>
              <w:top w:w="70" w:type="dxa"/>
              <w:start w:w="80" w:type="dxa"/>
              <w:bottom w:w="70" w:type="dxa"/>
              <w:end w:w="80" w:type="dxa"/>
            </w:tcMar>
          </w:tcPr>
          <w:p>
            <w:pPr>
              <w:spacing w:after="30" w:before="0" w:line="240" w:lineRule="auto"/>
            </w:pPr>
            <w:r>
              <w:rPr>
                <w:sz w:val="15"/>
              </w:rPr>
              <w:t>ServiceProviderRole</w:t>
            </w:r>
          </w:p>
        </w:tc>
        <w:tc>
          <w:tcPr>
            <w:tcW w:type="dxa" w:w="1871"/>
            <w:vAlign w:val="top"/>
            <w:tcMar>
              <w:top w:w="70" w:type="dxa"/>
              <w:start w:w="80" w:type="dxa"/>
              <w:bottom w:w="70" w:type="dxa"/>
              <w:end w:w="80" w:type="dxa"/>
            </w:tcMar>
          </w:tcPr>
          <w:p>
            <w:pPr>
              <w:spacing w:after="30" w:before="0" w:line="240" w:lineRule="auto"/>
            </w:pPr>
            <w:r>
              <w:rPr>
                <w:sz w:val="15"/>
              </w:rPr>
              <w:t>Local contextual role</w:t>
            </w:r>
          </w:p>
        </w:tc>
        <w:tc>
          <w:tcPr>
            <w:tcW w:type="dxa" w:w="3628"/>
            <w:vAlign w:val="top"/>
            <w:tcMar>
              <w:top w:w="70" w:type="dxa"/>
              <w:start w:w="80" w:type="dxa"/>
              <w:bottom w:w="70" w:type="dxa"/>
              <w:end w:w="80" w:type="dxa"/>
            </w:tcMar>
          </w:tcPr>
          <w:p>
            <w:pPr>
              <w:spacing w:after="30" w:before="0" w:line="240" w:lineRule="auto"/>
            </w:pPr>
            <w:r>
              <w:rPr>
                <w:sz w:val="15"/>
              </w:rPr>
              <w:t>May change by interaction/service.</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ServiceRequestor</w:t>
            </w:r>
          </w:p>
        </w:tc>
        <w:tc>
          <w:tcPr>
            <w:tcW w:type="dxa" w:w="2041"/>
            <w:vAlign w:val="top"/>
            <w:tcMar>
              <w:top w:w="70" w:type="dxa"/>
              <w:start w:w="80" w:type="dxa"/>
              <w:bottom w:w="70" w:type="dxa"/>
              <w:end w:w="80" w:type="dxa"/>
            </w:tcMar>
          </w:tcPr>
          <w:p>
            <w:pPr>
              <w:spacing w:after="30" w:before="0" w:line="240" w:lineRule="auto"/>
            </w:pPr>
            <w:r>
              <w:rPr>
                <w:sz w:val="15"/>
              </w:rPr>
              <w:t>ServiceConsumerRole</w:t>
            </w:r>
          </w:p>
        </w:tc>
        <w:tc>
          <w:tcPr>
            <w:tcW w:type="dxa" w:w="1871"/>
            <w:vAlign w:val="top"/>
            <w:tcMar>
              <w:top w:w="70" w:type="dxa"/>
              <w:start w:w="80" w:type="dxa"/>
              <w:bottom w:w="70" w:type="dxa"/>
              <w:end w:w="80" w:type="dxa"/>
            </w:tcMar>
          </w:tcPr>
          <w:p>
            <w:pPr>
              <w:spacing w:after="30" w:before="0" w:line="240" w:lineRule="auto"/>
            </w:pPr>
            <w:r>
              <w:rPr>
                <w:sz w:val="15"/>
              </w:rPr>
              <w:t>Local contextual role</w:t>
            </w:r>
          </w:p>
        </w:tc>
        <w:tc>
          <w:tcPr>
            <w:tcW w:type="dxa" w:w="3628"/>
            <w:vAlign w:val="top"/>
            <w:tcMar>
              <w:top w:w="70" w:type="dxa"/>
              <w:start w:w="80" w:type="dxa"/>
              <w:bottom w:w="70" w:type="dxa"/>
              <w:end w:w="80" w:type="dxa"/>
            </w:tcMar>
          </w:tcPr>
          <w:p>
            <w:pPr>
              <w:spacing w:after="30" w:before="0" w:line="240" w:lineRule="auto"/>
            </w:pPr>
            <w:r>
              <w:rPr>
                <w:sz w:val="15"/>
              </w:rPr>
              <w:t>May change by interaction/service.</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TrustRecommendation</w:t>
            </w:r>
          </w:p>
        </w:tc>
        <w:tc>
          <w:tcPr>
            <w:tcW w:type="dxa" w:w="2041"/>
            <w:vAlign w:val="top"/>
            <w:tcMar>
              <w:top w:w="70" w:type="dxa"/>
              <w:start w:w="80" w:type="dxa"/>
              <w:bottom w:w="70" w:type="dxa"/>
              <w:end w:w="80" w:type="dxa"/>
            </w:tcMar>
          </w:tcPr>
          <w:p>
            <w:pPr>
              <w:spacing w:after="30" w:before="0" w:line="240" w:lineRule="auto"/>
            </w:pPr>
            <w:r>
              <w:rPr>
                <w:sz w:val="15"/>
              </w:rPr>
              <w:t>RecommendationEvidence</w:t>
            </w:r>
          </w:p>
        </w:tc>
        <w:tc>
          <w:tcPr>
            <w:tcW w:type="dxa" w:w="1871"/>
            <w:vAlign w:val="top"/>
            <w:tcMar>
              <w:top w:w="70" w:type="dxa"/>
              <w:start w:w="80" w:type="dxa"/>
              <w:bottom w:w="70" w:type="dxa"/>
              <w:end w:w="80" w:type="dxa"/>
            </w:tcMar>
          </w:tcPr>
          <w:p>
            <w:pPr>
              <w:spacing w:after="30" w:before="0" w:line="240" w:lineRule="auto"/>
            </w:pPr>
            <w:r>
              <w:rPr>
                <w:sz w:val="15"/>
              </w:rPr>
              <w:t>Local specialization/alignment</w:t>
            </w:r>
          </w:p>
        </w:tc>
        <w:tc>
          <w:tcPr>
            <w:tcW w:type="dxa" w:w="3628"/>
            <w:vAlign w:val="top"/>
            <w:tcMar>
              <w:top w:w="70" w:type="dxa"/>
              <w:start w:w="80" w:type="dxa"/>
              <w:bottom w:w="70" w:type="dxa"/>
              <w:end w:w="80" w:type="dxa"/>
            </w:tcMar>
          </w:tcPr>
          <w:p>
            <w:pPr>
              <w:spacing w:after="30" w:before="0" w:line="240" w:lineRule="auto"/>
            </w:pPr>
            <w:r>
              <w:rPr>
                <w:sz w:val="15"/>
              </w:rPr>
              <w:t>Recommendation is evidence contributing to indirect trust/reputation.</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TransactionContext</w:t>
            </w:r>
          </w:p>
        </w:tc>
        <w:tc>
          <w:tcPr>
            <w:tcW w:type="dxa" w:w="2041"/>
            <w:vAlign w:val="top"/>
            <w:tcMar>
              <w:top w:w="70" w:type="dxa"/>
              <w:start w:w="80" w:type="dxa"/>
              <w:bottom w:w="70" w:type="dxa"/>
              <w:end w:w="80" w:type="dxa"/>
            </w:tcMar>
          </w:tcPr>
          <w:p>
            <w:pPr>
              <w:spacing w:after="30" w:before="0" w:line="240" w:lineRule="auto"/>
            </w:pPr>
            <w:r>
              <w:rPr>
                <w:sz w:val="15"/>
              </w:rPr>
              <w:t>InteractionContext</w:t>
            </w:r>
          </w:p>
        </w:tc>
        <w:tc>
          <w:tcPr>
            <w:tcW w:type="dxa" w:w="1871"/>
            <w:vAlign w:val="top"/>
            <w:tcMar>
              <w:top w:w="70" w:type="dxa"/>
              <w:start w:w="80" w:type="dxa"/>
              <w:bottom w:w="70" w:type="dxa"/>
              <w:end w:w="80" w:type="dxa"/>
            </w:tcMar>
          </w:tcPr>
          <w:p>
            <w:pPr>
              <w:spacing w:after="30" w:before="0" w:line="240" w:lineRule="auto"/>
            </w:pPr>
            <w:r>
              <w:rPr>
                <w:sz w:val="15"/>
              </w:rPr>
              <w:t>Local composite concept aligned to TRESIOT</w:t>
            </w:r>
          </w:p>
        </w:tc>
        <w:tc>
          <w:tcPr>
            <w:tcW w:type="dxa" w:w="3628"/>
            <w:vAlign w:val="top"/>
            <w:tcMar>
              <w:top w:w="70" w:type="dxa"/>
              <w:start w:w="80" w:type="dxa"/>
              <w:bottom w:w="70" w:type="dxa"/>
              <w:end w:w="80" w:type="dxa"/>
            </w:tcMar>
          </w:tcPr>
          <w:p>
            <w:pPr>
              <w:spacing w:after="30" w:before="0" w:line="240" w:lineRule="auto"/>
            </w:pPr>
            <w:r>
              <w:rPr>
                <w:sz w:val="15"/>
              </w:rPr>
              <w:t>Extended with technical, social, temporal, spatial, physical, service, security and energy context required by CQ04.</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TrustComputation</w:t>
            </w:r>
          </w:p>
        </w:tc>
        <w:tc>
          <w:tcPr>
            <w:tcW w:type="dxa" w:w="2041"/>
            <w:vAlign w:val="top"/>
            <w:tcMar>
              <w:top w:w="70" w:type="dxa"/>
              <w:start w:w="80" w:type="dxa"/>
              <w:bottom w:w="70" w:type="dxa"/>
              <w:end w:w="80" w:type="dxa"/>
            </w:tcMar>
          </w:tcPr>
          <w:p>
            <w:pPr>
              <w:spacing w:after="30" w:before="0" w:line="240" w:lineRule="auto"/>
            </w:pPr>
            <w:r>
              <w:rPr>
                <w:sz w:val="15"/>
              </w:rPr>
              <w:t>TrustComputationMethod</w:t>
            </w:r>
          </w:p>
        </w:tc>
        <w:tc>
          <w:tcPr>
            <w:tcW w:type="dxa" w:w="1871"/>
            <w:vAlign w:val="top"/>
            <w:tcMar>
              <w:top w:w="70" w:type="dxa"/>
              <w:start w:w="80" w:type="dxa"/>
              <w:bottom w:w="70" w:type="dxa"/>
              <w:end w:w="80" w:type="dxa"/>
            </w:tcMar>
          </w:tcPr>
          <w:p>
            <w:pPr>
              <w:spacing w:after="30" w:before="0" w:line="240" w:lineRule="auto"/>
            </w:pPr>
            <w:r>
              <w:rPr>
                <w:sz w:val="15"/>
              </w:rPr>
              <w:t>Conceptual/alignment</w:t>
            </w:r>
          </w:p>
        </w:tc>
        <w:tc>
          <w:tcPr>
            <w:tcW w:type="dxa" w:w="3628"/>
            <w:vAlign w:val="top"/>
            <w:tcMar>
              <w:top w:w="70" w:type="dxa"/>
              <w:start w:w="80" w:type="dxa"/>
              <w:bottom w:w="70" w:type="dxa"/>
              <w:end w:w="80" w:type="dxa"/>
            </w:tcMar>
          </w:tcPr>
          <w:p>
            <w:pPr>
              <w:spacing w:after="30" w:before="0" w:line="240" w:lineRule="auto"/>
            </w:pPr>
            <w:r>
              <w:rPr>
                <w:sz w:val="15"/>
              </w:rPr>
              <w:t>Method metadata; numeric execution may occur externally.</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TrustEvaluation</w:t>
            </w:r>
          </w:p>
        </w:tc>
        <w:tc>
          <w:tcPr>
            <w:tcW w:type="dxa" w:w="2041"/>
            <w:vAlign w:val="top"/>
            <w:tcMar>
              <w:top w:w="70" w:type="dxa"/>
              <w:start w:w="80" w:type="dxa"/>
              <w:bottom w:w="70" w:type="dxa"/>
              <w:end w:w="80" w:type="dxa"/>
            </w:tcMar>
          </w:tcPr>
          <w:p>
            <w:pPr>
              <w:spacing w:after="30" w:before="0" w:line="240" w:lineRule="auto"/>
            </w:pPr>
            <w:r>
              <w:rPr>
                <w:sz w:val="15"/>
              </w:rPr>
              <w:t>DirectTrustAssessment</w:t>
            </w:r>
          </w:p>
        </w:tc>
        <w:tc>
          <w:tcPr>
            <w:tcW w:type="dxa" w:w="1871"/>
            <w:vAlign w:val="top"/>
            <w:tcMar>
              <w:top w:w="70" w:type="dxa"/>
              <w:start w:w="80" w:type="dxa"/>
              <w:bottom w:w="70" w:type="dxa"/>
              <w:end w:w="80" w:type="dxa"/>
            </w:tcMar>
          </w:tcPr>
          <w:p>
            <w:pPr>
              <w:spacing w:after="30" w:before="0" w:line="240" w:lineRule="auto"/>
            </w:pPr>
            <w:r>
              <w:rPr>
                <w:sz w:val="15"/>
              </w:rPr>
              <w:t>Local specialization</w:t>
            </w:r>
          </w:p>
        </w:tc>
        <w:tc>
          <w:tcPr>
            <w:tcW w:type="dxa" w:w="3628"/>
            <w:vAlign w:val="top"/>
            <w:tcMar>
              <w:top w:w="70" w:type="dxa"/>
              <w:start w:w="80" w:type="dxa"/>
              <w:bottom w:w="70" w:type="dxa"/>
              <w:end w:w="80" w:type="dxa"/>
            </w:tcMar>
          </w:tcPr>
          <w:p>
            <w:pPr>
              <w:spacing w:after="30" w:before="0" w:line="240" w:lineRule="auto"/>
            </w:pPr>
            <w:r>
              <w:rPr>
                <w:sz w:val="15"/>
              </w:rPr>
              <w:t>Grounded mainly in direct experience.</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TrustInference</w:t>
            </w:r>
          </w:p>
        </w:tc>
        <w:tc>
          <w:tcPr>
            <w:tcW w:type="dxa" w:w="2041"/>
            <w:vAlign w:val="top"/>
            <w:tcMar>
              <w:top w:w="70" w:type="dxa"/>
              <w:start w:w="80" w:type="dxa"/>
              <w:bottom w:w="70" w:type="dxa"/>
              <w:end w:w="80" w:type="dxa"/>
            </w:tcMar>
          </w:tcPr>
          <w:p>
            <w:pPr>
              <w:spacing w:after="30" w:before="0" w:line="240" w:lineRule="auto"/>
            </w:pPr>
            <w:r>
              <w:rPr>
                <w:sz w:val="15"/>
              </w:rPr>
              <w:t>IndirectTrustAssessment</w:t>
            </w:r>
          </w:p>
        </w:tc>
        <w:tc>
          <w:tcPr>
            <w:tcW w:type="dxa" w:w="1871"/>
            <w:vAlign w:val="top"/>
            <w:tcMar>
              <w:top w:w="70" w:type="dxa"/>
              <w:start w:w="80" w:type="dxa"/>
              <w:bottom w:w="70" w:type="dxa"/>
              <w:end w:w="80" w:type="dxa"/>
            </w:tcMar>
          </w:tcPr>
          <w:p>
            <w:pPr>
              <w:spacing w:after="30" w:before="0" w:line="240" w:lineRule="auto"/>
            </w:pPr>
            <w:r>
              <w:rPr>
                <w:sz w:val="15"/>
              </w:rPr>
              <w:t>Local specialization</w:t>
            </w:r>
          </w:p>
        </w:tc>
        <w:tc>
          <w:tcPr>
            <w:tcW w:type="dxa" w:w="3628"/>
            <w:vAlign w:val="top"/>
            <w:tcMar>
              <w:top w:w="70" w:type="dxa"/>
              <w:start w:w="80" w:type="dxa"/>
              <w:bottom w:w="70" w:type="dxa"/>
              <w:end w:w="80" w:type="dxa"/>
            </w:tcMar>
          </w:tcPr>
          <w:p>
            <w:pPr>
              <w:spacing w:after="30" w:before="0" w:line="240" w:lineRule="auto"/>
            </w:pPr>
            <w:r>
              <w:rPr>
                <w:sz w:val="15"/>
              </w:rPr>
              <w:t>Grounded in recommendations/other evidence.</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TrustDecision</w:t>
            </w:r>
          </w:p>
        </w:tc>
        <w:tc>
          <w:tcPr>
            <w:tcW w:type="dxa" w:w="2041"/>
            <w:vAlign w:val="top"/>
            <w:tcMar>
              <w:top w:w="70" w:type="dxa"/>
              <w:start w:w="80" w:type="dxa"/>
              <w:bottom w:w="70" w:type="dxa"/>
              <w:end w:w="80" w:type="dxa"/>
            </w:tcMar>
          </w:tcPr>
          <w:p>
            <w:pPr>
              <w:spacing w:after="30" w:before="0" w:line="240" w:lineRule="auto"/>
            </w:pPr>
            <w:r>
              <w:rPr>
                <w:sz w:val="15"/>
              </w:rPr>
              <w:t>TrustDecision</w:t>
            </w:r>
          </w:p>
        </w:tc>
        <w:tc>
          <w:tcPr>
            <w:tcW w:type="dxa" w:w="1871"/>
            <w:vAlign w:val="top"/>
            <w:tcMar>
              <w:top w:w="70" w:type="dxa"/>
              <w:start w:w="80" w:type="dxa"/>
              <w:bottom w:w="70" w:type="dxa"/>
              <w:end w:w="80" w:type="dxa"/>
            </w:tcMar>
          </w:tcPr>
          <w:p>
            <w:pPr>
              <w:spacing w:after="30" w:before="0" w:line="240" w:lineRule="auto"/>
            </w:pPr>
            <w:r>
              <w:rPr>
                <w:sz w:val="15"/>
              </w:rPr>
              <w:t>Local concept/alignment</w:t>
            </w:r>
          </w:p>
        </w:tc>
        <w:tc>
          <w:tcPr>
            <w:tcW w:type="dxa" w:w="3628"/>
            <w:vAlign w:val="top"/>
            <w:tcMar>
              <w:top w:w="70" w:type="dxa"/>
              <w:start w:w="80" w:type="dxa"/>
              <w:bottom w:w="70" w:type="dxa"/>
              <w:end w:w="80" w:type="dxa"/>
            </w:tcMar>
          </w:tcPr>
          <w:p>
            <w:pPr>
              <w:spacing w:after="30" w:before="0" w:line="240" w:lineRule="auto"/>
            </w:pPr>
            <w:r>
              <w:rPr>
                <w:sz w:val="15"/>
              </w:rPr>
              <w:t>Represents decision outcome, not resilience itself.</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TrustReview</w:t>
            </w:r>
          </w:p>
        </w:tc>
        <w:tc>
          <w:tcPr>
            <w:tcW w:type="dxa" w:w="2041"/>
            <w:vAlign w:val="top"/>
            <w:tcMar>
              <w:top w:w="70" w:type="dxa"/>
              <w:start w:w="80" w:type="dxa"/>
              <w:bottom w:w="70" w:type="dxa"/>
              <w:end w:w="80" w:type="dxa"/>
            </w:tcMar>
          </w:tcPr>
          <w:p>
            <w:pPr>
              <w:spacing w:after="30" w:before="0" w:line="240" w:lineRule="auto"/>
            </w:pPr>
            <w:r>
              <w:rPr>
                <w:sz w:val="15"/>
              </w:rPr>
              <w:t>PostInteractionTrustReview</w:t>
            </w:r>
          </w:p>
        </w:tc>
        <w:tc>
          <w:tcPr>
            <w:tcW w:type="dxa" w:w="1871"/>
            <w:vAlign w:val="top"/>
            <w:tcMar>
              <w:top w:w="70" w:type="dxa"/>
              <w:start w:w="80" w:type="dxa"/>
              <w:bottom w:w="70" w:type="dxa"/>
              <w:end w:w="80" w:type="dxa"/>
            </w:tcMar>
          </w:tcPr>
          <w:p>
            <w:pPr>
              <w:spacing w:after="30" w:before="0" w:line="240" w:lineRule="auto"/>
            </w:pPr>
            <w:r>
              <w:rPr>
                <w:sz w:val="15"/>
              </w:rPr>
              <w:t>Local specialization</w:t>
            </w:r>
          </w:p>
        </w:tc>
        <w:tc>
          <w:tcPr>
            <w:tcW w:type="dxa" w:w="3628"/>
            <w:vAlign w:val="top"/>
            <w:tcMar>
              <w:top w:w="70" w:type="dxa"/>
              <w:start w:w="80" w:type="dxa"/>
              <w:bottom w:w="70" w:type="dxa"/>
              <w:end w:w="80" w:type="dxa"/>
            </w:tcMar>
          </w:tcPr>
          <w:p>
            <w:pPr>
              <w:spacing w:after="30" w:before="0" w:line="240" w:lineRule="auto"/>
            </w:pPr>
            <w:r>
              <w:rPr>
                <w:sz w:val="15"/>
              </w:rPr>
              <w:t>Supports update after interaction/incident.</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Relationship</w:t>
            </w:r>
          </w:p>
        </w:tc>
        <w:tc>
          <w:tcPr>
            <w:tcW w:type="dxa" w:w="2041"/>
            <w:vAlign w:val="top"/>
            <w:tcMar>
              <w:top w:w="70" w:type="dxa"/>
              <w:start w:w="80" w:type="dxa"/>
              <w:bottom w:w="70" w:type="dxa"/>
              <w:end w:w="80" w:type="dxa"/>
            </w:tcMar>
          </w:tcPr>
          <w:p>
            <w:pPr>
              <w:spacing w:after="30" w:before="0" w:line="240" w:lineRule="auto"/>
            </w:pPr>
            <w:r>
              <w:rPr>
                <w:sz w:val="15"/>
              </w:rPr>
              <w:t>SocialRelationship</w:t>
            </w:r>
          </w:p>
        </w:tc>
        <w:tc>
          <w:tcPr>
            <w:tcW w:type="dxa" w:w="1871"/>
            <w:vAlign w:val="top"/>
            <w:tcMar>
              <w:top w:w="70" w:type="dxa"/>
              <w:start w:w="80" w:type="dxa"/>
              <w:bottom w:w="70" w:type="dxa"/>
              <w:end w:w="80" w:type="dxa"/>
            </w:tcMar>
          </w:tcPr>
          <w:p>
            <w:pPr>
              <w:spacing w:after="30" w:before="0" w:line="240" w:lineRule="auto"/>
            </w:pPr>
            <w:r>
              <w:rPr>
                <w:sz w:val="15"/>
              </w:rPr>
              <w:t>Local concept aligned to documented SIoT relationship semantics</w:t>
            </w:r>
          </w:p>
        </w:tc>
        <w:tc>
          <w:tcPr>
            <w:tcW w:type="dxa" w:w="3628"/>
            <w:vAlign w:val="top"/>
            <w:tcMar>
              <w:top w:w="70" w:type="dxa"/>
              <w:start w:w="80" w:type="dxa"/>
              <w:bottom w:w="70" w:type="dxa"/>
              <w:end w:w="80" w:type="dxa"/>
            </w:tcMar>
          </w:tcPr>
          <w:p>
            <w:pPr>
              <w:spacing w:after="30" w:before="0" w:line="240" w:lineRule="auto"/>
            </w:pPr>
            <w:r>
              <w:rPr>
                <w:sz w:val="15"/>
              </w:rPr>
              <w:t>Specific OOR/POR/CLOR/CWOR/SOR types are modeled under SIoTSecurity control.</w:t>
            </w:r>
          </w:p>
        </w:tc>
      </w:tr>
      <w:tr>
        <w:trPr>
          <w:cantSplit/>
        </w:trPr>
        <w:tc>
          <w:tcPr>
            <w:tcW w:type="dxa" w:w="1701"/>
            <w:vAlign w:val="top"/>
            <w:tcMar>
              <w:top w:w="70" w:type="dxa"/>
              <w:start w:w="80" w:type="dxa"/>
              <w:bottom w:w="70" w:type="dxa"/>
              <w:end w:w="80" w:type="dxa"/>
            </w:tcMar>
          </w:tcPr>
          <w:p>
            <w:pPr>
              <w:spacing w:after="30" w:before="0" w:line="240" w:lineRule="auto"/>
            </w:pPr>
            <w:r>
              <w:rPr>
                <w:sz w:val="15"/>
              </w:rPr>
              <w:t>Network</w:t>
            </w:r>
          </w:p>
        </w:tc>
        <w:tc>
          <w:tcPr>
            <w:tcW w:type="dxa" w:w="2041"/>
            <w:vAlign w:val="top"/>
            <w:tcMar>
              <w:top w:w="70" w:type="dxa"/>
              <w:start w:w="80" w:type="dxa"/>
              <w:bottom w:w="70" w:type="dxa"/>
              <w:end w:w="80" w:type="dxa"/>
            </w:tcMar>
          </w:tcPr>
          <w:p>
            <w:pPr>
              <w:spacing w:after="30" w:before="0" w:line="240" w:lineRule="auto"/>
            </w:pPr>
            <w:r>
              <w:rPr>
                <w:sz w:val="15"/>
              </w:rPr>
              <w:t>SIoTNetwork</w:t>
            </w:r>
          </w:p>
        </w:tc>
        <w:tc>
          <w:tcPr>
            <w:tcW w:type="dxa" w:w="1871"/>
            <w:vAlign w:val="top"/>
            <w:tcMar>
              <w:top w:w="70" w:type="dxa"/>
              <w:start w:w="80" w:type="dxa"/>
              <w:bottom w:w="70" w:type="dxa"/>
              <w:end w:w="80" w:type="dxa"/>
            </w:tcMar>
          </w:tcPr>
          <w:p>
            <w:pPr>
              <w:spacing w:after="30" w:before="0" w:line="240" w:lineRule="auto"/>
            </w:pPr>
            <w:r>
              <w:rPr>
                <w:sz w:val="15"/>
              </w:rPr>
              <w:t>Local concept/alignment</w:t>
            </w:r>
          </w:p>
        </w:tc>
        <w:tc>
          <w:tcPr>
            <w:tcW w:type="dxa" w:w="3628"/>
            <w:vAlign w:val="top"/>
            <w:tcMar>
              <w:top w:w="70" w:type="dxa"/>
              <w:start w:w="80" w:type="dxa"/>
              <w:bottom w:w="70" w:type="dxa"/>
              <w:end w:w="80" w:type="dxa"/>
            </w:tcMar>
          </w:tcPr>
          <w:p>
            <w:pPr>
              <w:spacing w:after="30" w:before="0" w:line="240" w:lineRule="auto"/>
            </w:pPr>
            <w:r>
              <w:rPr>
                <w:sz w:val="15"/>
              </w:rPr>
              <w:t>Primary resilience evaluation unit.</w:t>
            </w:r>
          </w:p>
        </w:tc>
      </w:tr>
    </w:tbl>
    <w:p>
      <w:pPr>
        <w:widowControl/>
      </w:pPr>
    </w:p>
    <w:p>
      <w:pPr>
        <w:pStyle w:val="Heading2"/>
        <w:keepNext/>
        <w:widowControl/>
      </w:pPr>
      <w:r>
        <w:t>5.3 TRESIOT Concepts Not Imported as Axioms</w:t>
      </w:r>
    </w:p>
    <w:p>
      <w:pPr>
        <w:pStyle w:val="BodyText"/>
        <w:widowControl/>
        <w:spacing w:after="100"/>
      </w:pPr>
      <w:r>
        <w:rPr>
          <w:i w:val="0"/>
        </w:rPr>
        <w:t>Static or externally assumed formulas, thresholds, role disjointness, and undocumented cardinalities from trust models are not copied into SIoTSecurity. Weights, reward functions, trust/reputation formulas, and thresholds are represented as versioned calculation parameters or methods with provenance until validated for the resilience indicator.</w:t>
      </w:r>
    </w:p>
    <w:p>
      <w:pPr>
        <w:pStyle w:val="Heading1"/>
        <w:keepNext/>
        <w:widowControl/>
      </w:pPr>
      <w:r>
        <w:t>6. SAREF-TA Detailed Reuse Decision</w:t>
      </w:r>
    </w:p>
    <w:p>
      <w:pPr>
        <w:pStyle w:val="BodyText"/>
        <w:widowControl/>
        <w:spacing w:after="100"/>
      </w:pPr>
      <w:r>
        <w:rPr>
          <w:i w:val="0"/>
        </w:rPr>
        <w:t>SAREF-TA is the only priority candidate for which Step 2 located and inspected an exact formal serialization. The public repository contains Ontology/saref-ta.rdf in RDF/XML. The inspected file declares ontology IRI https://liidr.org/saref-ta/, version IRI https://liidr.org/saref-ta/1.0.0, and a CC BY 4.0 license. The Git blob SHA recorded during the verification is 89d98dd2cea4963caf36894d4c288cb5ade636c6.</w:t>
      </w:r>
    </w:p>
    <w:p>
      <w:pPr>
        <w:pStyle w:val="Heading2"/>
        <w:keepNext/>
        <w:widowControl/>
      </w:pPr>
      <w:r>
        <w:t>6.1 Technical Verification Result</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3061"/>
            <w:vAlign w:val="top"/>
            <w:tcMar>
              <w:top w:w="70" w:type="dxa"/>
              <w:start w:w="80" w:type="dxa"/>
              <w:bottom w:w="70" w:type="dxa"/>
              <w:end w:w="80" w:type="dxa"/>
            </w:tcMar>
            <w:shd w:fill="D9EAF7"/>
          </w:tcPr>
          <w:p>
            <w:pPr>
              <w:spacing w:after="30" w:before="0" w:line="240" w:lineRule="auto"/>
            </w:pPr>
            <w:r>
              <w:rPr>
                <w:b/>
                <w:sz w:val="16"/>
              </w:rPr>
              <w:t>Check</w:t>
            </w:r>
          </w:p>
        </w:tc>
        <w:tc>
          <w:tcPr>
            <w:tcW w:type="dxa" w:w="2835"/>
            <w:vAlign w:val="top"/>
            <w:tcMar>
              <w:top w:w="70" w:type="dxa"/>
              <w:start w:w="80" w:type="dxa"/>
              <w:bottom w:w="70" w:type="dxa"/>
              <w:end w:w="80" w:type="dxa"/>
            </w:tcMar>
            <w:shd w:fill="D9EAF7"/>
          </w:tcPr>
          <w:p>
            <w:pPr>
              <w:spacing w:after="30" w:before="0" w:line="240" w:lineRule="auto"/>
            </w:pPr>
            <w:r>
              <w:rPr>
                <w:b/>
                <w:sz w:val="16"/>
              </w:rPr>
              <w:t>Result</w:t>
            </w:r>
          </w:p>
        </w:tc>
        <w:tc>
          <w:tcPr>
            <w:tcW w:type="dxa" w:w="3402"/>
            <w:vAlign w:val="top"/>
            <w:tcMar>
              <w:top w:w="70" w:type="dxa"/>
              <w:start w:w="80" w:type="dxa"/>
              <w:bottom w:w="70" w:type="dxa"/>
              <w:end w:w="80" w:type="dxa"/>
            </w:tcMar>
            <w:shd w:fill="D9EAF7"/>
          </w:tcPr>
          <w:p>
            <w:pPr>
              <w:spacing w:after="30" w:before="0" w:line="240" w:lineRule="auto"/>
            </w:pPr>
            <w:r>
              <w:rPr>
                <w:b/>
                <w:sz w:val="16"/>
              </w:rPr>
              <w:t>Decision consequence</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Exact serialization</w:t>
            </w:r>
          </w:p>
        </w:tc>
        <w:tc>
          <w:tcPr>
            <w:tcW w:type="dxa" w:w="2835"/>
            <w:vAlign w:val="top"/>
            <w:tcMar>
              <w:top w:w="70" w:type="dxa"/>
              <w:start w:w="80" w:type="dxa"/>
              <w:bottom w:w="70" w:type="dxa"/>
              <w:end w:w="80" w:type="dxa"/>
            </w:tcMar>
          </w:tcPr>
          <w:p>
            <w:pPr>
              <w:spacing w:after="30" w:before="0" w:line="240" w:lineRule="auto"/>
            </w:pPr>
            <w:r>
              <w:rPr>
                <w:sz w:val="16"/>
              </w:rPr>
              <w:t>FOUND: Ontology/saref-ta.rdf</w:t>
            </w:r>
          </w:p>
        </w:tc>
        <w:tc>
          <w:tcPr>
            <w:tcW w:type="dxa" w:w="3402"/>
            <w:vAlign w:val="top"/>
            <w:tcMar>
              <w:top w:w="70" w:type="dxa"/>
              <w:start w:w="80" w:type="dxa"/>
              <w:bottom w:w="70" w:type="dxa"/>
              <w:end w:w="80" w:type="dxa"/>
            </w:tcMar>
          </w:tcPr>
          <w:p>
            <w:pPr>
              <w:spacing w:after="30" w:before="0" w:line="240" w:lineRule="auto"/>
            </w:pPr>
            <w:r>
              <w:rPr>
                <w:sz w:val="16"/>
              </w:rPr>
              <w:t>Eligible for term-level technical inspection.</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Ontology IRI</w:t>
            </w:r>
          </w:p>
        </w:tc>
        <w:tc>
          <w:tcPr>
            <w:tcW w:type="dxa" w:w="2835"/>
            <w:vAlign w:val="top"/>
            <w:tcMar>
              <w:top w:w="70" w:type="dxa"/>
              <w:start w:w="80" w:type="dxa"/>
              <w:bottom w:w="70" w:type="dxa"/>
              <w:end w:w="80" w:type="dxa"/>
            </w:tcMar>
          </w:tcPr>
          <w:p>
            <w:pPr>
              <w:spacing w:after="30" w:before="0" w:line="240" w:lineRule="auto"/>
            </w:pPr>
            <w:r>
              <w:rPr>
                <w:sz w:val="16"/>
              </w:rPr>
              <w:t>https://liidr.org/saref-ta/</w:t>
            </w:r>
          </w:p>
        </w:tc>
        <w:tc>
          <w:tcPr>
            <w:tcW w:type="dxa" w:w="3402"/>
            <w:vAlign w:val="top"/>
            <w:tcMar>
              <w:top w:w="70" w:type="dxa"/>
              <w:start w:w="80" w:type="dxa"/>
              <w:bottom w:w="70" w:type="dxa"/>
              <w:end w:w="80" w:type="dxa"/>
            </w:tcMar>
          </w:tcPr>
          <w:p>
            <w:pPr>
              <w:spacing w:after="30" w:before="0" w:line="240" w:lineRule="auto"/>
            </w:pPr>
            <w:r>
              <w:rPr>
                <w:sz w:val="16"/>
              </w:rPr>
              <w:t>Recorded.</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Version IRI</w:t>
            </w:r>
          </w:p>
        </w:tc>
        <w:tc>
          <w:tcPr>
            <w:tcW w:type="dxa" w:w="2835"/>
            <w:vAlign w:val="top"/>
            <w:tcMar>
              <w:top w:w="70" w:type="dxa"/>
              <w:start w:w="80" w:type="dxa"/>
              <w:bottom w:w="70" w:type="dxa"/>
              <w:end w:w="80" w:type="dxa"/>
            </w:tcMar>
          </w:tcPr>
          <w:p>
            <w:pPr>
              <w:spacing w:after="30" w:before="0" w:line="240" w:lineRule="auto"/>
            </w:pPr>
            <w:r>
              <w:rPr>
                <w:sz w:val="16"/>
              </w:rPr>
              <w:t>https://liidr.org/saref-ta/1.0.0</w:t>
            </w:r>
          </w:p>
        </w:tc>
        <w:tc>
          <w:tcPr>
            <w:tcW w:type="dxa" w:w="3402"/>
            <w:vAlign w:val="top"/>
            <w:tcMar>
              <w:top w:w="70" w:type="dxa"/>
              <w:start w:w="80" w:type="dxa"/>
              <w:bottom w:w="70" w:type="dxa"/>
              <w:end w:w="80" w:type="dxa"/>
            </w:tcMar>
          </w:tcPr>
          <w:p>
            <w:pPr>
              <w:spacing w:after="30" w:before="0" w:line="240" w:lineRule="auto"/>
            </w:pPr>
            <w:r>
              <w:rPr>
                <w:sz w:val="16"/>
              </w:rPr>
              <w:t>Recorded.</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License</w:t>
            </w:r>
          </w:p>
        </w:tc>
        <w:tc>
          <w:tcPr>
            <w:tcW w:type="dxa" w:w="2835"/>
            <w:vAlign w:val="top"/>
            <w:tcMar>
              <w:top w:w="70" w:type="dxa"/>
              <w:start w:w="80" w:type="dxa"/>
              <w:bottom w:w="70" w:type="dxa"/>
              <w:end w:w="80" w:type="dxa"/>
            </w:tcMar>
          </w:tcPr>
          <w:p>
            <w:pPr>
              <w:spacing w:after="30" w:before="0" w:line="240" w:lineRule="auto"/>
            </w:pPr>
            <w:r>
              <w:rPr>
                <w:sz w:val="16"/>
              </w:rPr>
              <w:t>CC BY 4.0</w:t>
            </w:r>
          </w:p>
        </w:tc>
        <w:tc>
          <w:tcPr>
            <w:tcW w:type="dxa" w:w="3402"/>
            <w:vAlign w:val="top"/>
            <w:tcMar>
              <w:top w:w="70" w:type="dxa"/>
              <w:start w:w="80" w:type="dxa"/>
              <w:bottom w:w="70" w:type="dxa"/>
              <w:end w:w="80" w:type="dxa"/>
            </w:tcMar>
          </w:tcPr>
          <w:p>
            <w:pPr>
              <w:spacing w:after="30" w:before="0" w:line="240" w:lineRule="auto"/>
            </w:pPr>
            <w:r>
              <w:rPr>
                <w:sz w:val="16"/>
              </w:rPr>
              <w:t>Reuse permitted with attribution.</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Internal owl:imports</w:t>
            </w:r>
          </w:p>
        </w:tc>
        <w:tc>
          <w:tcPr>
            <w:tcW w:type="dxa" w:w="2835"/>
            <w:vAlign w:val="top"/>
            <w:tcMar>
              <w:top w:w="70" w:type="dxa"/>
              <w:start w:w="80" w:type="dxa"/>
              <w:bottom w:w="70" w:type="dxa"/>
              <w:end w:w="80" w:type="dxa"/>
            </w:tcMar>
          </w:tcPr>
          <w:p>
            <w:pPr>
              <w:spacing w:after="30" w:before="0" w:line="240" w:lineRule="auto"/>
            </w:pPr>
            <w:r>
              <w:rPr>
                <w:sz w:val="16"/>
              </w:rPr>
              <w:t>None detected in inspected serialization</w:t>
            </w:r>
          </w:p>
        </w:tc>
        <w:tc>
          <w:tcPr>
            <w:tcW w:type="dxa" w:w="3402"/>
            <w:vAlign w:val="top"/>
            <w:tcMar>
              <w:top w:w="70" w:type="dxa"/>
              <w:start w:w="80" w:type="dxa"/>
              <w:bottom w:w="70" w:type="dxa"/>
              <w:end w:w="80" w:type="dxa"/>
            </w:tcMar>
          </w:tcPr>
          <w:p>
            <w:pPr>
              <w:spacing w:after="30" w:before="0" w:line="240" w:lineRule="auto"/>
            </w:pPr>
            <w:r>
              <w:rPr>
                <w:sz w:val="16"/>
              </w:rPr>
              <w:t>No hidden import closure, but this does not justify importing the whole ontology.</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RDF syntactic evidence</w:t>
            </w:r>
          </w:p>
        </w:tc>
        <w:tc>
          <w:tcPr>
            <w:tcW w:type="dxa" w:w="2835"/>
            <w:vAlign w:val="top"/>
            <w:tcMar>
              <w:top w:w="70" w:type="dxa"/>
              <w:start w:w="80" w:type="dxa"/>
              <w:bottom w:w="70" w:type="dxa"/>
              <w:end w:w="80" w:type="dxa"/>
            </w:tcMar>
          </w:tcPr>
          <w:p>
            <w:pPr>
              <w:spacing w:after="30" w:before="0" w:line="240" w:lineRule="auto"/>
            </w:pPr>
            <w:r>
              <w:rPr>
                <w:sz w:val="16"/>
              </w:rPr>
              <w:t>Serialization is readable and has published generated documentation</w:t>
            </w:r>
          </w:p>
        </w:tc>
        <w:tc>
          <w:tcPr>
            <w:tcW w:type="dxa" w:w="3402"/>
            <w:vAlign w:val="top"/>
            <w:tcMar>
              <w:top w:w="70" w:type="dxa"/>
              <w:start w:w="80" w:type="dxa"/>
              <w:bottom w:w="70" w:type="dxa"/>
              <w:end w:w="80" w:type="dxa"/>
            </w:tcMar>
          </w:tcPr>
          <w:p>
            <w:pPr>
              <w:spacing w:after="30" w:before="0" w:line="240" w:lineRule="auto"/>
            </w:pPr>
            <w:r>
              <w:rPr>
                <w:sz w:val="16"/>
              </w:rPr>
              <w:t>Syntax acceptable for term-level inspection.</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Full local OWLAPI/HermiT run in this Step 2 environment</w:t>
            </w:r>
          </w:p>
        </w:tc>
        <w:tc>
          <w:tcPr>
            <w:tcW w:type="dxa" w:w="2835"/>
            <w:vAlign w:val="top"/>
            <w:tcMar>
              <w:top w:w="70" w:type="dxa"/>
              <w:start w:w="80" w:type="dxa"/>
              <w:bottom w:w="70" w:type="dxa"/>
              <w:end w:w="80" w:type="dxa"/>
            </w:tcMar>
          </w:tcPr>
          <w:p>
            <w:pPr>
              <w:spacing w:after="30" w:before="0" w:line="240" w:lineRule="auto"/>
            </w:pPr>
            <w:r>
              <w:rPr>
                <w:sz w:val="16"/>
              </w:rPr>
              <w:t>Not executed because connector-delivered repository content was not transferred into the local reasoner runtime</w:t>
            </w:r>
          </w:p>
        </w:tc>
        <w:tc>
          <w:tcPr>
            <w:tcW w:type="dxa" w:w="3402"/>
            <w:vAlign w:val="top"/>
            <w:tcMar>
              <w:top w:w="70" w:type="dxa"/>
              <w:start w:w="80" w:type="dxa"/>
              <w:bottom w:w="70" w:type="dxa"/>
              <w:end w:w="80" w:type="dxa"/>
            </w:tcMar>
          </w:tcPr>
          <w:p>
            <w:pPr>
              <w:spacing w:after="30" w:before="0" w:line="240" w:lineRule="auto"/>
            </w:pPr>
            <w:r>
              <w:rPr>
                <w:sz w:val="16"/>
              </w:rPr>
              <w:t>Does not leave the import decision pending; full import is rejected for independent semantic reasons.</w:t>
            </w:r>
          </w:p>
        </w:tc>
      </w:tr>
    </w:tbl>
    <w:p>
      <w:pPr>
        <w:widowControl/>
      </w:pPr>
    </w:p>
    <w:p>
      <w:pPr>
        <w:pStyle w:val="Heading2"/>
        <w:keepNext/>
        <w:widowControl/>
      </w:pPr>
      <w:r>
        <w:t>6.2 SAREF-TA Modeling Risks Detected</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3061"/>
            <w:vAlign w:val="top"/>
            <w:tcMar>
              <w:top w:w="70" w:type="dxa"/>
              <w:start w:w="80" w:type="dxa"/>
              <w:bottom w:w="70" w:type="dxa"/>
              <w:end w:w="80" w:type="dxa"/>
            </w:tcMar>
            <w:shd w:fill="D9EAF7"/>
          </w:tcPr>
          <w:p>
            <w:pPr>
              <w:spacing w:after="30" w:before="0" w:line="240" w:lineRule="auto"/>
            </w:pPr>
            <w:r>
              <w:rPr>
                <w:b/>
                <w:sz w:val="16"/>
              </w:rPr>
              <w:t>Finding</w:t>
            </w:r>
          </w:p>
        </w:tc>
        <w:tc>
          <w:tcPr>
            <w:tcW w:type="dxa" w:w="3118"/>
            <w:vAlign w:val="top"/>
            <w:tcMar>
              <w:top w:w="70" w:type="dxa"/>
              <w:start w:w="80" w:type="dxa"/>
              <w:bottom w:w="70" w:type="dxa"/>
              <w:end w:w="80" w:type="dxa"/>
            </w:tcMar>
            <w:shd w:fill="D9EAF7"/>
          </w:tcPr>
          <w:p>
            <w:pPr>
              <w:spacing w:after="30" w:before="0" w:line="240" w:lineRule="auto"/>
            </w:pPr>
            <w:r>
              <w:rPr>
                <w:b/>
                <w:sz w:val="16"/>
              </w:rPr>
              <w:t>Risk</w:t>
            </w:r>
          </w:p>
        </w:tc>
        <w:tc>
          <w:tcPr>
            <w:tcW w:type="dxa" w:w="3118"/>
            <w:vAlign w:val="top"/>
            <w:tcMar>
              <w:top w:w="70" w:type="dxa"/>
              <w:start w:w="80" w:type="dxa"/>
              <w:bottom w:w="70" w:type="dxa"/>
              <w:end w:w="80" w:type="dxa"/>
            </w:tcMar>
            <w:shd w:fill="D9EAF7"/>
          </w:tcPr>
          <w:p>
            <w:pPr>
              <w:spacing w:after="30" w:before="0" w:line="240" w:lineRule="auto"/>
            </w:pPr>
            <w:r>
              <w:rPr>
                <w:b/>
                <w:sz w:val="16"/>
              </w:rPr>
              <w:t>Final treatment</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Same IRI used for State as both owl:Class and owl:DatatypeProperty</w:t>
            </w:r>
          </w:p>
        </w:tc>
        <w:tc>
          <w:tcPr>
            <w:tcW w:type="dxa" w:w="3118"/>
            <w:vAlign w:val="top"/>
            <w:tcMar>
              <w:top w:w="70" w:type="dxa"/>
              <w:start w:w="80" w:type="dxa"/>
              <w:bottom w:w="70" w:type="dxa"/>
              <w:end w:w="80" w:type="dxa"/>
            </w:tcMar>
          </w:tcPr>
          <w:p>
            <w:pPr>
              <w:spacing w:after="30" w:before="0" w:line="240" w:lineRule="auto"/>
            </w:pPr>
            <w:r>
              <w:rPr>
                <w:sz w:val="16"/>
              </w:rPr>
              <w:t>Tooling ambiguity and undesirable coupling for SIoTSecurity resilience-state modeling.</w:t>
            </w:r>
          </w:p>
        </w:tc>
        <w:tc>
          <w:tcPr>
            <w:tcW w:type="dxa" w:w="3118"/>
            <w:vAlign w:val="top"/>
            <w:tcMar>
              <w:top w:w="70" w:type="dxa"/>
              <w:start w:w="80" w:type="dxa"/>
              <w:bottom w:w="70" w:type="dxa"/>
              <w:end w:w="80" w:type="dxa"/>
            </w:tcMar>
          </w:tcPr>
          <w:p>
            <w:pPr>
              <w:spacing w:after="30" w:before="0" w:line="240" w:lineRule="auto"/>
            </w:pPr>
            <w:r>
              <w:rPr>
                <w:sz w:val="16"/>
              </w:rPr>
              <w:t>Do not reuse saref-ta:State as ResilienceState.</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isMeasuredIn has both Measurement and TrustIndicator as rdfs:domain</w:t>
            </w:r>
          </w:p>
        </w:tc>
        <w:tc>
          <w:tcPr>
            <w:tcW w:type="dxa" w:w="3118"/>
            <w:vAlign w:val="top"/>
            <w:tcMar>
              <w:top w:w="70" w:type="dxa"/>
              <w:start w:w="80" w:type="dxa"/>
              <w:bottom w:w="70" w:type="dxa"/>
              <w:end w:w="80" w:type="dxa"/>
            </w:tcMar>
          </w:tcPr>
          <w:p>
            <w:pPr>
              <w:spacing w:after="30" w:before="0" w:line="240" w:lineRule="auto"/>
            </w:pPr>
            <w:r>
              <w:rPr>
                <w:sz w:val="16"/>
              </w:rPr>
              <w:t>In RDFS semantics, multiple domain axioms constrain/infer the subject into both classes rather than expressing a union.</w:t>
            </w:r>
          </w:p>
        </w:tc>
        <w:tc>
          <w:tcPr>
            <w:tcW w:type="dxa" w:w="3118"/>
            <w:vAlign w:val="top"/>
            <w:tcMar>
              <w:top w:w="70" w:type="dxa"/>
              <w:start w:w="80" w:type="dxa"/>
              <w:bottom w:w="70" w:type="dxa"/>
              <w:end w:w="80" w:type="dxa"/>
            </w:tcMar>
          </w:tcPr>
          <w:p>
            <w:pPr>
              <w:spacing w:after="30" w:before="0" w:line="240" w:lineRule="auto"/>
            </w:pPr>
            <w:r>
              <w:rPr>
                <w:sz w:val="16"/>
              </w:rPr>
              <w:t>Do not reuse this property for SIoTSecurity indicator measurements.</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isUsedFor domain/range declaration conflicts with how Device restrictions use the property</w:t>
            </w:r>
          </w:p>
        </w:tc>
        <w:tc>
          <w:tcPr>
            <w:tcW w:type="dxa" w:w="3118"/>
            <w:vAlign w:val="top"/>
            <w:tcMar>
              <w:top w:w="70" w:type="dxa"/>
              <w:start w:w="80" w:type="dxa"/>
              <w:bottom w:w="70" w:type="dxa"/>
              <w:end w:w="80" w:type="dxa"/>
            </w:tcMar>
          </w:tcPr>
          <w:p>
            <w:pPr>
              <w:spacing w:after="30" w:before="0" w:line="240" w:lineRule="auto"/>
            </w:pPr>
            <w:r>
              <w:rPr>
                <w:sz w:val="16"/>
              </w:rPr>
              <w:t>Potential unintended type inferences and semantic direction mismatch.</w:t>
            </w:r>
          </w:p>
        </w:tc>
        <w:tc>
          <w:tcPr>
            <w:tcW w:type="dxa" w:w="3118"/>
            <w:vAlign w:val="top"/>
            <w:tcMar>
              <w:top w:w="70" w:type="dxa"/>
              <w:start w:w="80" w:type="dxa"/>
              <w:bottom w:w="70" w:type="dxa"/>
              <w:end w:w="80" w:type="dxa"/>
            </w:tcMar>
          </w:tcPr>
          <w:p>
            <w:pPr>
              <w:spacing w:after="30" w:before="0" w:line="240" w:lineRule="auto"/>
            </w:pPr>
            <w:r>
              <w:rPr>
                <w:sz w:val="16"/>
              </w:rPr>
              <w:t>Reject direct reuse of isUsedFor.</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Some annotations contain label-quality errors</w:t>
            </w:r>
          </w:p>
        </w:tc>
        <w:tc>
          <w:tcPr>
            <w:tcW w:type="dxa" w:w="3118"/>
            <w:vAlign w:val="top"/>
            <w:tcMar>
              <w:top w:w="70" w:type="dxa"/>
              <w:start w:w="80" w:type="dxa"/>
              <w:bottom w:w="70" w:type="dxa"/>
              <w:end w:w="80" w:type="dxa"/>
            </w:tcMar>
          </w:tcPr>
          <w:p>
            <w:pPr>
              <w:spacing w:after="30" w:before="0" w:line="240" w:lineRule="auto"/>
            </w:pPr>
            <w:r>
              <w:rPr>
                <w:sz w:val="16"/>
              </w:rPr>
              <w:t>Weak annotation quality propagates if copied blindly.</w:t>
            </w:r>
          </w:p>
        </w:tc>
        <w:tc>
          <w:tcPr>
            <w:tcW w:type="dxa" w:w="3118"/>
            <w:vAlign w:val="top"/>
            <w:tcMar>
              <w:top w:w="70" w:type="dxa"/>
              <w:start w:w="80" w:type="dxa"/>
              <w:bottom w:w="70" w:type="dxa"/>
              <w:end w:w="80" w:type="dxa"/>
            </w:tcMar>
          </w:tcPr>
          <w:p>
            <w:pPr>
              <w:spacing w:after="30" w:before="0" w:line="240" w:lineRule="auto"/>
            </w:pPr>
            <w:r>
              <w:rPr>
                <w:sz w:val="16"/>
              </w:rPr>
              <w:t>Reuse only explicitly reviewed terms.</w:t>
            </w:r>
          </w:p>
        </w:tc>
      </w:tr>
      <w:tr>
        <w:trPr>
          <w:cantSplit/>
        </w:trPr>
        <w:tc>
          <w:tcPr>
            <w:tcW w:type="dxa" w:w="3061"/>
            <w:vAlign w:val="top"/>
            <w:tcMar>
              <w:top w:w="70" w:type="dxa"/>
              <w:start w:w="80" w:type="dxa"/>
              <w:bottom w:w="70" w:type="dxa"/>
              <w:end w:w="80" w:type="dxa"/>
            </w:tcMar>
          </w:tcPr>
          <w:p>
            <w:pPr>
              <w:spacing w:after="30" w:before="0" w:line="240" w:lineRule="auto"/>
            </w:pPr>
            <w:r>
              <w:rPr>
                <w:sz w:val="16"/>
              </w:rPr>
              <w:t>The ontology includes broad device/service/function/command axioms not required by SIoTSecurity</w:t>
            </w:r>
          </w:p>
        </w:tc>
        <w:tc>
          <w:tcPr>
            <w:tcW w:type="dxa" w:w="3118"/>
            <w:vAlign w:val="top"/>
            <w:tcMar>
              <w:top w:w="70" w:type="dxa"/>
              <w:start w:w="80" w:type="dxa"/>
              <w:bottom w:w="70" w:type="dxa"/>
              <w:end w:w="80" w:type="dxa"/>
            </w:tcMar>
          </w:tcPr>
          <w:p>
            <w:pPr>
              <w:spacing w:after="30" w:before="0" w:line="240" w:lineRule="auto"/>
            </w:pPr>
            <w:r>
              <w:rPr>
                <w:sz w:val="16"/>
              </w:rPr>
              <w:t>Full import adds constraints beyond the resilience-indicator scope.</w:t>
            </w:r>
          </w:p>
        </w:tc>
        <w:tc>
          <w:tcPr>
            <w:tcW w:type="dxa" w:w="3118"/>
            <w:vAlign w:val="top"/>
            <w:tcMar>
              <w:top w:w="70" w:type="dxa"/>
              <w:start w:w="80" w:type="dxa"/>
              <w:bottom w:w="70" w:type="dxa"/>
              <w:end w:w="80" w:type="dxa"/>
            </w:tcMar>
          </w:tcPr>
          <w:p>
            <w:pPr>
              <w:spacing w:after="30" w:before="0" w:line="240" w:lineRule="auto"/>
            </w:pPr>
            <w:r>
              <w:rPr>
                <w:sz w:val="16"/>
              </w:rPr>
              <w:t>Use SAREF Core/SOSA for foundational IoT concepts and SAREF-TA only for selected trust terms.</w:t>
            </w:r>
          </w:p>
        </w:tc>
      </w:tr>
    </w:tbl>
    <w:p>
      <w:pPr>
        <w:widowControl/>
      </w:pPr>
    </w:p>
    <w:p>
      <w:pPr>
        <w:pStyle w:val="Heading2"/>
        <w:keepNext/>
        <w:widowControl/>
      </w:pPr>
      <w:r>
        <w:t>6.3 SAREF-TA Terms Selected or Rejected</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551"/>
            <w:vAlign w:val="top"/>
            <w:tcMar>
              <w:top w:w="70" w:type="dxa"/>
              <w:start w:w="80" w:type="dxa"/>
              <w:bottom w:w="70" w:type="dxa"/>
              <w:end w:w="80" w:type="dxa"/>
            </w:tcMar>
            <w:shd w:fill="D9EAF7"/>
          </w:tcPr>
          <w:p>
            <w:pPr>
              <w:spacing w:after="30" w:before="0" w:line="240" w:lineRule="auto"/>
            </w:pPr>
            <w:r>
              <w:rPr>
                <w:b/>
                <w:sz w:val="16"/>
              </w:rPr>
              <w:t>SAREF-TA term</w:t>
            </w:r>
          </w:p>
        </w:tc>
        <w:tc>
          <w:tcPr>
            <w:tcW w:type="dxa" w:w="2268"/>
            <w:vAlign w:val="top"/>
            <w:tcMar>
              <w:top w:w="70" w:type="dxa"/>
              <w:start w:w="80" w:type="dxa"/>
              <w:bottom w:w="70" w:type="dxa"/>
              <w:end w:w="80" w:type="dxa"/>
            </w:tcMar>
            <w:shd w:fill="D9EAF7"/>
          </w:tcPr>
          <w:p>
            <w:pPr>
              <w:spacing w:after="30" w:before="0" w:line="240" w:lineRule="auto"/>
            </w:pPr>
            <w:r>
              <w:rPr>
                <w:b/>
                <w:sz w:val="16"/>
              </w:rPr>
              <w:t>Decision</w:t>
            </w:r>
          </w:p>
        </w:tc>
        <w:tc>
          <w:tcPr>
            <w:tcW w:type="dxa" w:w="4535"/>
            <w:vAlign w:val="top"/>
            <w:tcMar>
              <w:top w:w="70" w:type="dxa"/>
              <w:start w:w="80" w:type="dxa"/>
              <w:bottom w:w="70" w:type="dxa"/>
              <w:end w:w="80" w:type="dxa"/>
            </w:tcMar>
            <w:shd w:fill="D9EAF7"/>
          </w:tcPr>
          <w:p>
            <w:pPr>
              <w:spacing w:after="30" w:before="0" w:line="240" w:lineRule="auto"/>
            </w:pPr>
            <w:r>
              <w:rPr>
                <w:b/>
                <w:sz w:val="16"/>
              </w:rPr>
              <w:t>Use in SIoTSecurity</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TrustIndicator</w:t>
            </w:r>
          </w:p>
        </w:tc>
        <w:tc>
          <w:tcPr>
            <w:tcW w:type="dxa" w:w="2268"/>
            <w:vAlign w:val="top"/>
            <w:tcMar>
              <w:top w:w="70" w:type="dxa"/>
              <w:start w:w="80" w:type="dxa"/>
              <w:bottom w:w="70" w:type="dxa"/>
              <w:end w:w="80" w:type="dxa"/>
            </w:tcMar>
          </w:tcPr>
          <w:p>
            <w:pPr>
              <w:spacing w:after="30" w:before="0" w:line="240" w:lineRule="auto"/>
            </w:pPr>
            <w:r>
              <w:rPr>
                <w:sz w:val="16"/>
              </w:rPr>
              <w:t>ACCEPT - selective reuse/alignment</w:t>
            </w:r>
          </w:p>
        </w:tc>
        <w:tc>
          <w:tcPr>
            <w:tcW w:type="dxa" w:w="4535"/>
            <w:vAlign w:val="top"/>
            <w:tcMar>
              <w:top w:w="70" w:type="dxa"/>
              <w:start w:w="80" w:type="dxa"/>
              <w:bottom w:w="70" w:type="dxa"/>
              <w:end w:w="80" w:type="dxa"/>
            </w:tcMar>
          </w:tcPr>
          <w:p>
            <w:pPr>
              <w:spacing w:after="30" w:before="0" w:line="240" w:lineRule="auto"/>
            </w:pPr>
            <w:r>
              <w:rPr>
                <w:sz w:val="16"/>
              </w:rPr>
              <w:t>Semantically relevant to CQ05, CQ19, CQ22, CQ24.</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hasTrustIndicator / isTrustIndicatorOf</w:t>
            </w:r>
          </w:p>
        </w:tc>
        <w:tc>
          <w:tcPr>
            <w:tcW w:type="dxa" w:w="2268"/>
            <w:vAlign w:val="top"/>
            <w:tcMar>
              <w:top w:w="70" w:type="dxa"/>
              <w:start w:w="80" w:type="dxa"/>
              <w:bottom w:w="70" w:type="dxa"/>
              <w:end w:w="80" w:type="dxa"/>
            </w:tcMar>
          </w:tcPr>
          <w:p>
            <w:pPr>
              <w:spacing w:after="30" w:before="0" w:line="240" w:lineRule="auto"/>
            </w:pPr>
            <w:r>
              <w:rPr>
                <w:sz w:val="16"/>
              </w:rPr>
              <w:t>ACCEPT AS CANDIDATE</w:t>
            </w:r>
          </w:p>
        </w:tc>
        <w:tc>
          <w:tcPr>
            <w:tcW w:type="dxa" w:w="4535"/>
            <w:vAlign w:val="top"/>
            <w:tcMar>
              <w:top w:w="70" w:type="dxa"/>
              <w:start w:w="80" w:type="dxa"/>
              <w:bottom w:w="70" w:type="dxa"/>
              <w:end w:w="80" w:type="dxa"/>
            </w:tcMar>
          </w:tcPr>
          <w:p>
            <w:pPr>
              <w:spacing w:after="30" w:before="0" w:line="240" w:lineRule="auto"/>
            </w:pPr>
            <w:r>
              <w:rPr>
                <w:sz w:val="16"/>
              </w:rPr>
              <w:t>Use only after domain/range compatibility is confirmed in Step 3 property design.</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measuresTrust / isTrustMeasuredBy</w:t>
            </w:r>
          </w:p>
        </w:tc>
        <w:tc>
          <w:tcPr>
            <w:tcW w:type="dxa" w:w="2268"/>
            <w:vAlign w:val="top"/>
            <w:tcMar>
              <w:top w:w="70" w:type="dxa"/>
              <w:start w:w="80" w:type="dxa"/>
              <w:bottom w:w="70" w:type="dxa"/>
              <w:end w:w="80" w:type="dxa"/>
            </w:tcMar>
          </w:tcPr>
          <w:p>
            <w:pPr>
              <w:spacing w:after="30" w:before="0" w:line="240" w:lineRule="auto"/>
            </w:pPr>
            <w:r>
              <w:rPr>
                <w:sz w:val="16"/>
              </w:rPr>
              <w:t>ACCEPT AS CANDIDATE</w:t>
            </w:r>
          </w:p>
        </w:tc>
        <w:tc>
          <w:tcPr>
            <w:tcW w:type="dxa" w:w="4535"/>
            <w:vAlign w:val="top"/>
            <w:tcMar>
              <w:top w:w="70" w:type="dxa"/>
              <w:start w:w="80" w:type="dxa"/>
              <w:bottom w:w="70" w:type="dxa"/>
              <w:end w:w="80" w:type="dxa"/>
            </w:tcMar>
          </w:tcPr>
          <w:p>
            <w:pPr>
              <w:spacing w:after="30" w:before="0" w:line="240" w:lineRule="auto"/>
            </w:pPr>
            <w:r>
              <w:rPr>
                <w:sz w:val="16"/>
              </w:rPr>
              <w:t>Useful for relating trust indicators to evaluated tasks/services; local specialization may be preferred.</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hasPreferredSettingsBy</w:t>
            </w:r>
          </w:p>
        </w:tc>
        <w:tc>
          <w:tcPr>
            <w:tcW w:type="dxa" w:w="2268"/>
            <w:vAlign w:val="top"/>
            <w:tcMar>
              <w:top w:w="70" w:type="dxa"/>
              <w:start w:w="80" w:type="dxa"/>
              <w:bottom w:w="70" w:type="dxa"/>
              <w:end w:w="80" w:type="dxa"/>
            </w:tcMar>
          </w:tcPr>
          <w:p>
            <w:pPr>
              <w:spacing w:after="30" w:before="0" w:line="240" w:lineRule="auto"/>
            </w:pPr>
            <w:r>
              <w:rPr>
                <w:sz w:val="16"/>
              </w:rPr>
              <w:t>ACCEPT AS CANDIDATE</w:t>
            </w:r>
          </w:p>
        </w:tc>
        <w:tc>
          <w:tcPr>
            <w:tcW w:type="dxa" w:w="4535"/>
            <w:vAlign w:val="top"/>
            <w:tcMar>
              <w:top w:w="70" w:type="dxa"/>
              <w:start w:w="80" w:type="dxa"/>
              <w:bottom w:w="70" w:type="dxa"/>
              <w:end w:w="80" w:type="dxa"/>
            </w:tcMar>
          </w:tcPr>
          <w:p>
            <w:pPr>
              <w:spacing w:after="30" w:before="0" w:line="240" w:lineRule="auto"/>
            </w:pPr>
            <w:r>
              <w:rPr>
                <w:sz w:val="16"/>
              </w:rPr>
              <w:t>May support contextual profiles/preferences.</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Profile</w:t>
            </w:r>
          </w:p>
        </w:tc>
        <w:tc>
          <w:tcPr>
            <w:tcW w:type="dxa" w:w="2268"/>
            <w:vAlign w:val="top"/>
            <w:tcMar>
              <w:top w:w="70" w:type="dxa"/>
              <w:start w:w="80" w:type="dxa"/>
              <w:bottom w:w="70" w:type="dxa"/>
              <w:end w:w="80" w:type="dxa"/>
            </w:tcMar>
          </w:tcPr>
          <w:p>
            <w:pPr>
              <w:spacing w:after="30" w:before="0" w:line="240" w:lineRule="auto"/>
            </w:pPr>
            <w:r>
              <w:rPr>
                <w:sz w:val="16"/>
              </w:rPr>
              <w:t>ALIGN / SELECTIVE</w:t>
            </w:r>
          </w:p>
        </w:tc>
        <w:tc>
          <w:tcPr>
            <w:tcW w:type="dxa" w:w="4535"/>
            <w:vAlign w:val="top"/>
            <w:tcMar>
              <w:top w:w="70" w:type="dxa"/>
              <w:start w:w="80" w:type="dxa"/>
              <w:bottom w:w="70" w:type="dxa"/>
              <w:end w:w="80" w:type="dxa"/>
            </w:tcMar>
          </w:tcPr>
          <w:p>
            <w:pPr>
              <w:spacing w:after="30" w:before="0" w:line="240" w:lineRule="auto"/>
            </w:pPr>
            <w:r>
              <w:rPr>
                <w:sz w:val="16"/>
              </w:rPr>
              <w:t>Useful contextual construct; do not inherit all SAREF-TA axioms.</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Task</w:t>
            </w:r>
          </w:p>
        </w:tc>
        <w:tc>
          <w:tcPr>
            <w:tcW w:type="dxa" w:w="2268"/>
            <w:vAlign w:val="top"/>
            <w:tcMar>
              <w:top w:w="70" w:type="dxa"/>
              <w:start w:w="80" w:type="dxa"/>
              <w:bottom w:w="70" w:type="dxa"/>
              <w:end w:w="80" w:type="dxa"/>
            </w:tcMar>
          </w:tcPr>
          <w:p>
            <w:pPr>
              <w:spacing w:after="30" w:before="0" w:line="240" w:lineRule="auto"/>
            </w:pPr>
            <w:r>
              <w:rPr>
                <w:sz w:val="16"/>
              </w:rPr>
              <w:t>ALIGN / SELECTIVE</w:t>
            </w:r>
          </w:p>
        </w:tc>
        <w:tc>
          <w:tcPr>
            <w:tcW w:type="dxa" w:w="4535"/>
            <w:vAlign w:val="top"/>
            <w:tcMar>
              <w:top w:w="70" w:type="dxa"/>
              <w:start w:w="80" w:type="dxa"/>
              <w:bottom w:w="70" w:type="dxa"/>
              <w:end w:w="80" w:type="dxa"/>
            </w:tcMar>
          </w:tcPr>
          <w:p>
            <w:pPr>
              <w:spacing w:after="30" w:before="0" w:line="240" w:lineRule="auto"/>
            </w:pPr>
            <w:r>
              <w:rPr>
                <w:sz w:val="16"/>
              </w:rPr>
              <w:t>Potentially useful but compare first with SAREF Core service/function/task semantics.</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Device / Service / Function</w:t>
            </w:r>
          </w:p>
        </w:tc>
        <w:tc>
          <w:tcPr>
            <w:tcW w:type="dxa" w:w="2268"/>
            <w:vAlign w:val="top"/>
            <w:tcMar>
              <w:top w:w="70" w:type="dxa"/>
              <w:start w:w="80" w:type="dxa"/>
              <w:bottom w:w="70" w:type="dxa"/>
              <w:end w:w="80" w:type="dxa"/>
            </w:tcMar>
          </w:tcPr>
          <w:p>
            <w:pPr>
              <w:spacing w:after="30" w:before="0" w:line="240" w:lineRule="auto"/>
            </w:pPr>
            <w:r>
              <w:rPr>
                <w:sz w:val="16"/>
              </w:rPr>
              <w:t>DO NOT PREFER SAREF-TA VERSION</w:t>
            </w:r>
          </w:p>
        </w:tc>
        <w:tc>
          <w:tcPr>
            <w:tcW w:type="dxa" w:w="4535"/>
            <w:vAlign w:val="top"/>
            <w:tcMar>
              <w:top w:w="70" w:type="dxa"/>
              <w:start w:w="80" w:type="dxa"/>
              <w:bottom w:w="70" w:type="dxa"/>
              <w:end w:w="80" w:type="dxa"/>
            </w:tcMar>
          </w:tcPr>
          <w:p>
            <w:pPr>
              <w:spacing w:after="30" w:before="0" w:line="240" w:lineRule="auto"/>
            </w:pPr>
            <w:r>
              <w:rPr>
                <w:sz w:val="16"/>
              </w:rPr>
              <w:t>Prefer SAREF Core for foundational IoT semantics.</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Sensor / Actuator / FeatureOfInterest</w:t>
            </w:r>
          </w:p>
        </w:tc>
        <w:tc>
          <w:tcPr>
            <w:tcW w:type="dxa" w:w="2268"/>
            <w:vAlign w:val="top"/>
            <w:tcMar>
              <w:top w:w="70" w:type="dxa"/>
              <w:start w:w="80" w:type="dxa"/>
              <w:bottom w:w="70" w:type="dxa"/>
              <w:end w:w="80" w:type="dxa"/>
            </w:tcMar>
          </w:tcPr>
          <w:p>
            <w:pPr>
              <w:spacing w:after="30" w:before="0" w:line="240" w:lineRule="auto"/>
            </w:pPr>
            <w:r>
              <w:rPr>
                <w:sz w:val="16"/>
              </w:rPr>
              <w:t>DO NOT PREFER SAREF-TA VERSION</w:t>
            </w:r>
          </w:p>
        </w:tc>
        <w:tc>
          <w:tcPr>
            <w:tcW w:type="dxa" w:w="4535"/>
            <w:vAlign w:val="top"/>
            <w:tcMar>
              <w:top w:w="70" w:type="dxa"/>
              <w:start w:w="80" w:type="dxa"/>
              <w:bottom w:w="70" w:type="dxa"/>
              <w:end w:w="80" w:type="dxa"/>
            </w:tcMar>
          </w:tcPr>
          <w:p>
            <w:pPr>
              <w:spacing w:after="30" w:before="0" w:line="240" w:lineRule="auto"/>
            </w:pPr>
            <w:r>
              <w:rPr>
                <w:sz w:val="16"/>
              </w:rPr>
              <w:t>Prefer SOSA/SSN.</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Measurement / UnitOfMeasure</w:t>
            </w:r>
          </w:p>
        </w:tc>
        <w:tc>
          <w:tcPr>
            <w:tcW w:type="dxa" w:w="2268"/>
            <w:vAlign w:val="top"/>
            <w:tcMar>
              <w:top w:w="70" w:type="dxa"/>
              <w:start w:w="80" w:type="dxa"/>
              <w:bottom w:w="70" w:type="dxa"/>
              <w:end w:w="80" w:type="dxa"/>
            </w:tcMar>
          </w:tcPr>
          <w:p>
            <w:pPr>
              <w:spacing w:after="30" w:before="0" w:line="240" w:lineRule="auto"/>
            </w:pPr>
            <w:r>
              <w:rPr>
                <w:sz w:val="16"/>
              </w:rPr>
              <w:t>DO NOT PREFER SAREF-TA VERSION</w:t>
            </w:r>
          </w:p>
        </w:tc>
        <w:tc>
          <w:tcPr>
            <w:tcW w:type="dxa" w:w="4535"/>
            <w:vAlign w:val="top"/>
            <w:tcMar>
              <w:top w:w="70" w:type="dxa"/>
              <w:start w:w="80" w:type="dxa"/>
              <w:bottom w:w="70" w:type="dxa"/>
              <w:end w:w="80" w:type="dxa"/>
            </w:tcMar>
          </w:tcPr>
          <w:p>
            <w:pPr>
              <w:spacing w:after="30" w:before="0" w:line="240" w:lineRule="auto"/>
            </w:pPr>
            <w:r>
              <w:rPr>
                <w:sz w:val="16"/>
              </w:rPr>
              <w:t>Prefer SOSA/QUDT/DQV pattern depending on function.</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State</w:t>
            </w:r>
          </w:p>
        </w:tc>
        <w:tc>
          <w:tcPr>
            <w:tcW w:type="dxa" w:w="2268"/>
            <w:vAlign w:val="top"/>
            <w:tcMar>
              <w:top w:w="70" w:type="dxa"/>
              <w:start w:w="80" w:type="dxa"/>
              <w:bottom w:w="70" w:type="dxa"/>
              <w:end w:w="80" w:type="dxa"/>
            </w:tcMar>
          </w:tcPr>
          <w:p>
            <w:pPr>
              <w:spacing w:after="30" w:before="0" w:line="240" w:lineRule="auto"/>
            </w:pPr>
            <w:r>
              <w:rPr>
                <w:sz w:val="16"/>
              </w:rPr>
              <w:t>REJECT DIRECT REUSE</w:t>
            </w:r>
          </w:p>
        </w:tc>
        <w:tc>
          <w:tcPr>
            <w:tcW w:type="dxa" w:w="4535"/>
            <w:vAlign w:val="top"/>
            <w:tcMar>
              <w:top w:w="70" w:type="dxa"/>
              <w:start w:w="80" w:type="dxa"/>
              <w:bottom w:w="70" w:type="dxa"/>
              <w:end w:w="80" w:type="dxa"/>
            </w:tcMar>
          </w:tcPr>
          <w:p>
            <w:pPr>
              <w:spacing w:after="30" w:before="0" w:line="240" w:lineRule="auto"/>
            </w:pPr>
            <w:r>
              <w:rPr>
                <w:sz w:val="16"/>
              </w:rPr>
              <w:t>Define local SIoTSecurity resilience/operational state.</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isMeasuredIn</w:t>
            </w:r>
          </w:p>
        </w:tc>
        <w:tc>
          <w:tcPr>
            <w:tcW w:type="dxa" w:w="2268"/>
            <w:vAlign w:val="top"/>
            <w:tcMar>
              <w:top w:w="70" w:type="dxa"/>
              <w:start w:w="80" w:type="dxa"/>
              <w:bottom w:w="70" w:type="dxa"/>
              <w:end w:w="80" w:type="dxa"/>
            </w:tcMar>
          </w:tcPr>
          <w:p>
            <w:pPr>
              <w:spacing w:after="30" w:before="0" w:line="240" w:lineRule="auto"/>
            </w:pPr>
            <w:r>
              <w:rPr>
                <w:sz w:val="16"/>
              </w:rPr>
              <w:t>REJECT DIRECT REUSE</w:t>
            </w:r>
          </w:p>
        </w:tc>
        <w:tc>
          <w:tcPr>
            <w:tcW w:type="dxa" w:w="4535"/>
            <w:vAlign w:val="top"/>
            <w:tcMar>
              <w:top w:w="70" w:type="dxa"/>
              <w:start w:w="80" w:type="dxa"/>
              <w:bottom w:w="70" w:type="dxa"/>
              <w:end w:w="80" w:type="dxa"/>
            </w:tcMar>
          </w:tcPr>
          <w:p>
            <w:pPr>
              <w:spacing w:after="30" w:before="0" w:line="240" w:lineRule="auto"/>
            </w:pPr>
            <w:r>
              <w:rPr>
                <w:sz w:val="16"/>
              </w:rPr>
              <w:t>Use QUDT quantity-value/unit pattern.</w:t>
            </w:r>
          </w:p>
        </w:tc>
      </w:tr>
      <w:tr>
        <w:trPr>
          <w:cantSplit/>
        </w:trPr>
        <w:tc>
          <w:tcPr>
            <w:tcW w:type="dxa" w:w="2551"/>
            <w:vAlign w:val="top"/>
            <w:tcMar>
              <w:top w:w="70" w:type="dxa"/>
              <w:start w:w="80" w:type="dxa"/>
              <w:bottom w:w="70" w:type="dxa"/>
              <w:end w:w="80" w:type="dxa"/>
            </w:tcMar>
          </w:tcPr>
          <w:p>
            <w:pPr>
              <w:spacing w:after="30" w:before="0" w:line="240" w:lineRule="auto"/>
            </w:pPr>
            <w:r>
              <w:rPr>
                <w:sz w:val="16"/>
              </w:rPr>
              <w:t>isUsedFor</w:t>
            </w:r>
          </w:p>
        </w:tc>
        <w:tc>
          <w:tcPr>
            <w:tcW w:type="dxa" w:w="2268"/>
            <w:vAlign w:val="top"/>
            <w:tcMar>
              <w:top w:w="70" w:type="dxa"/>
              <w:start w:w="80" w:type="dxa"/>
              <w:bottom w:w="70" w:type="dxa"/>
              <w:end w:w="80" w:type="dxa"/>
            </w:tcMar>
          </w:tcPr>
          <w:p>
            <w:pPr>
              <w:spacing w:after="30" w:before="0" w:line="240" w:lineRule="auto"/>
            </w:pPr>
            <w:r>
              <w:rPr>
                <w:sz w:val="16"/>
              </w:rPr>
              <w:t>REJECT DIRECT REUSE</w:t>
            </w:r>
          </w:p>
        </w:tc>
        <w:tc>
          <w:tcPr>
            <w:tcW w:type="dxa" w:w="4535"/>
            <w:vAlign w:val="top"/>
            <w:tcMar>
              <w:top w:w="70" w:type="dxa"/>
              <w:start w:w="80" w:type="dxa"/>
              <w:bottom w:w="70" w:type="dxa"/>
              <w:end w:w="80" w:type="dxa"/>
            </w:tcMar>
          </w:tcPr>
          <w:p>
            <w:pPr>
              <w:spacing w:after="30" w:before="0" w:line="240" w:lineRule="auto"/>
            </w:pPr>
            <w:r>
              <w:rPr>
                <w:sz w:val="16"/>
              </w:rPr>
              <w:t>Define local property only if required.</w:t>
            </w:r>
          </w:p>
        </w:tc>
      </w:tr>
    </w:tbl>
    <w:p>
      <w:pPr>
        <w:widowControl/>
      </w:pPr>
    </w:p>
    <w:p>
      <w:pPr>
        <w:pStyle w:val="Heading1"/>
        <w:keepNext/>
        <w:widowControl/>
      </w:pPr>
      <w:r>
        <w:t>7. Foundational IoT, Observation, Time, Provenance and Measurement Reuse</w:t>
      </w:r>
    </w:p>
    <w:p>
      <w:pPr>
        <w:pStyle w:val="Heading2"/>
        <w:keepNext/>
        <w:widowControl/>
      </w:pPr>
      <w:r>
        <w:t>7.1 SOSA/SSN</w:t>
      </w:r>
    </w:p>
    <w:p>
      <w:pPr>
        <w:pStyle w:val="BodyText"/>
        <w:widowControl/>
        <w:spacing w:after="100"/>
      </w:pPr>
      <w:r>
        <w:rPr>
          <w:i w:val="0"/>
        </w:rPr>
        <w:t>The stable 2017 W3C Recommendation is used as the normative reuse basis for SIoTSecurity v1.0. The later 2023 Edition material may be consulted for future evolution but does not replace the approved v1.0 reuse baseline unless a change-control review is performed.</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268"/>
            <w:vAlign w:val="top"/>
            <w:tcMar>
              <w:top w:w="70" w:type="dxa"/>
              <w:start w:w="80" w:type="dxa"/>
              <w:bottom w:w="70" w:type="dxa"/>
              <w:end w:w="80" w:type="dxa"/>
            </w:tcMar>
            <w:shd w:fill="D9EAF7"/>
          </w:tcPr>
          <w:p>
            <w:pPr>
              <w:spacing w:after="30" w:before="0" w:line="240" w:lineRule="auto"/>
            </w:pPr>
            <w:r>
              <w:rPr>
                <w:b/>
                <w:sz w:val="16"/>
              </w:rPr>
              <w:t>External term/pattern</w:t>
            </w:r>
          </w:p>
        </w:tc>
        <w:tc>
          <w:tcPr>
            <w:tcW w:type="dxa" w:w="3402"/>
            <w:vAlign w:val="top"/>
            <w:tcMar>
              <w:top w:w="70" w:type="dxa"/>
              <w:start w:w="80" w:type="dxa"/>
              <w:bottom w:w="70" w:type="dxa"/>
              <w:end w:w="80" w:type="dxa"/>
            </w:tcMar>
            <w:shd w:fill="D9EAF7"/>
          </w:tcPr>
          <w:p>
            <w:pPr>
              <w:spacing w:after="30" w:before="0" w:line="240" w:lineRule="auto"/>
            </w:pPr>
            <w:r>
              <w:rPr>
                <w:b/>
                <w:sz w:val="16"/>
              </w:rPr>
              <w:t>SIoTSecurity use</w:t>
            </w:r>
          </w:p>
        </w:tc>
        <w:tc>
          <w:tcPr>
            <w:tcW w:type="dxa" w:w="3685"/>
            <w:vAlign w:val="top"/>
            <w:tcMar>
              <w:top w:w="70" w:type="dxa"/>
              <w:start w:w="80" w:type="dxa"/>
              <w:bottom w:w="70" w:type="dxa"/>
              <w:end w:w="80" w:type="dxa"/>
            </w:tcMar>
            <w:shd w:fill="D9EAF7"/>
          </w:tcPr>
          <w:p>
            <w:pPr>
              <w:spacing w:after="30" w:before="0" w:line="240" w:lineRule="auto"/>
            </w:pPr>
            <w:r>
              <w:rPr>
                <w:b/>
                <w:sz w:val="16"/>
              </w:rPr>
              <w:t>Reuse decision</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sosa:Observation</w:t>
            </w:r>
          </w:p>
        </w:tc>
        <w:tc>
          <w:tcPr>
            <w:tcW w:type="dxa" w:w="3402"/>
            <w:vAlign w:val="top"/>
            <w:tcMar>
              <w:top w:w="70" w:type="dxa"/>
              <w:start w:w="80" w:type="dxa"/>
              <w:bottom w:w="70" w:type="dxa"/>
              <w:end w:w="80" w:type="dxa"/>
            </w:tcMar>
          </w:tcPr>
          <w:p>
            <w:pPr>
              <w:spacing w:after="30" w:before="0" w:line="240" w:lineRule="auto"/>
            </w:pPr>
            <w:r>
              <w:rPr>
                <w:sz w:val="16"/>
              </w:rPr>
              <w:t>Context/security/metric observation events</w:t>
            </w:r>
          </w:p>
        </w:tc>
        <w:tc>
          <w:tcPr>
            <w:tcW w:type="dxa" w:w="3685"/>
            <w:vAlign w:val="top"/>
            <w:tcMar>
              <w:top w:w="70" w:type="dxa"/>
              <w:start w:w="80" w:type="dxa"/>
              <w:bottom w:w="70" w:type="dxa"/>
              <w:end w:w="80" w:type="dxa"/>
            </w:tcMar>
          </w:tcPr>
          <w:p>
            <w:pPr>
              <w:spacing w:after="30" w:before="0" w:line="240" w:lineRule="auto"/>
            </w:pPr>
            <w:r>
              <w:rPr>
                <w:sz w:val="16"/>
              </w:rPr>
              <w:t>Direct IRI reuse where observation semantics match.</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sosa:Sensor</w:t>
            </w:r>
          </w:p>
        </w:tc>
        <w:tc>
          <w:tcPr>
            <w:tcW w:type="dxa" w:w="3402"/>
            <w:vAlign w:val="top"/>
            <w:tcMar>
              <w:top w:w="70" w:type="dxa"/>
              <w:start w:w="80" w:type="dxa"/>
              <w:bottom w:w="70" w:type="dxa"/>
              <w:end w:w="80" w:type="dxa"/>
            </w:tcMar>
          </w:tcPr>
          <w:p>
            <w:pPr>
              <w:spacing w:after="30" w:before="0" w:line="240" w:lineRule="auto"/>
            </w:pPr>
            <w:r>
              <w:rPr>
                <w:sz w:val="16"/>
              </w:rPr>
              <w:t>Sensor smart-object capability</w:t>
            </w:r>
          </w:p>
        </w:tc>
        <w:tc>
          <w:tcPr>
            <w:tcW w:type="dxa" w:w="3685"/>
            <w:vAlign w:val="top"/>
            <w:tcMar>
              <w:top w:w="70" w:type="dxa"/>
              <w:start w:w="80" w:type="dxa"/>
              <w:bottom w:w="70" w:type="dxa"/>
              <w:end w:w="80" w:type="dxa"/>
            </w:tcMar>
          </w:tcPr>
          <w:p>
            <w:pPr>
              <w:spacing w:after="30" w:before="0" w:line="240" w:lineRule="auto"/>
            </w:pPr>
            <w:r>
              <w:rPr>
                <w:sz w:val="16"/>
              </w:rPr>
              <w:t>Direct IRI reuse or local SmartObject specialization.</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sosa:Actuator</w:t>
            </w:r>
          </w:p>
        </w:tc>
        <w:tc>
          <w:tcPr>
            <w:tcW w:type="dxa" w:w="3402"/>
            <w:vAlign w:val="top"/>
            <w:tcMar>
              <w:top w:w="70" w:type="dxa"/>
              <w:start w:w="80" w:type="dxa"/>
              <w:bottom w:w="70" w:type="dxa"/>
              <w:end w:w="80" w:type="dxa"/>
            </w:tcMar>
          </w:tcPr>
          <w:p>
            <w:pPr>
              <w:spacing w:after="30" w:before="0" w:line="240" w:lineRule="auto"/>
            </w:pPr>
            <w:r>
              <w:rPr>
                <w:sz w:val="16"/>
              </w:rPr>
              <w:t>Actuating capability/device</w:t>
            </w:r>
          </w:p>
        </w:tc>
        <w:tc>
          <w:tcPr>
            <w:tcW w:type="dxa" w:w="3685"/>
            <w:vAlign w:val="top"/>
            <w:tcMar>
              <w:top w:w="70" w:type="dxa"/>
              <w:start w:w="80" w:type="dxa"/>
              <w:bottom w:w="70" w:type="dxa"/>
              <w:end w:w="80" w:type="dxa"/>
            </w:tcMar>
          </w:tcPr>
          <w:p>
            <w:pPr>
              <w:spacing w:after="30" w:before="0" w:line="240" w:lineRule="auto"/>
            </w:pPr>
            <w:r>
              <w:rPr>
                <w:sz w:val="16"/>
              </w:rPr>
              <w:t>Direct IRI reuse or specialization.</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sosa:FeatureOfInterest</w:t>
            </w:r>
          </w:p>
        </w:tc>
        <w:tc>
          <w:tcPr>
            <w:tcW w:type="dxa" w:w="3402"/>
            <w:vAlign w:val="top"/>
            <w:tcMar>
              <w:top w:w="70" w:type="dxa"/>
              <w:start w:w="80" w:type="dxa"/>
              <w:bottom w:w="70" w:type="dxa"/>
              <w:end w:w="80" w:type="dxa"/>
            </w:tcMar>
          </w:tcPr>
          <w:p>
            <w:pPr>
              <w:spacing w:after="30" w:before="0" w:line="240" w:lineRule="auto"/>
            </w:pPr>
            <w:r>
              <w:rPr>
                <w:sz w:val="16"/>
              </w:rPr>
              <w:t>Entity/property being observed</w:t>
            </w:r>
          </w:p>
        </w:tc>
        <w:tc>
          <w:tcPr>
            <w:tcW w:type="dxa" w:w="3685"/>
            <w:vAlign w:val="top"/>
            <w:tcMar>
              <w:top w:w="70" w:type="dxa"/>
              <w:start w:w="80" w:type="dxa"/>
              <w:bottom w:w="70" w:type="dxa"/>
              <w:end w:w="80" w:type="dxa"/>
            </w:tcMar>
          </w:tcPr>
          <w:p>
            <w:pPr>
              <w:spacing w:after="30" w:before="0" w:line="240" w:lineRule="auto"/>
            </w:pPr>
            <w:r>
              <w:rPr>
                <w:sz w:val="16"/>
              </w:rPr>
              <w:t>Direct IRI reuse when semantically exact.</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sosa:Result</w:t>
            </w:r>
          </w:p>
        </w:tc>
        <w:tc>
          <w:tcPr>
            <w:tcW w:type="dxa" w:w="3402"/>
            <w:vAlign w:val="top"/>
            <w:tcMar>
              <w:top w:w="70" w:type="dxa"/>
              <w:start w:w="80" w:type="dxa"/>
              <w:bottom w:w="70" w:type="dxa"/>
              <w:end w:w="80" w:type="dxa"/>
            </w:tcMar>
          </w:tcPr>
          <w:p>
            <w:pPr>
              <w:spacing w:after="30" w:before="0" w:line="240" w:lineRule="auto"/>
            </w:pPr>
            <w:r>
              <w:rPr>
                <w:sz w:val="16"/>
              </w:rPr>
              <w:t>Observation result</w:t>
            </w:r>
          </w:p>
        </w:tc>
        <w:tc>
          <w:tcPr>
            <w:tcW w:type="dxa" w:w="3685"/>
            <w:vAlign w:val="top"/>
            <w:tcMar>
              <w:top w:w="70" w:type="dxa"/>
              <w:start w:w="80" w:type="dxa"/>
              <w:bottom w:w="70" w:type="dxa"/>
              <w:end w:w="80" w:type="dxa"/>
            </w:tcMar>
          </w:tcPr>
          <w:p>
            <w:pPr>
              <w:spacing w:after="30" w:before="0" w:line="240" w:lineRule="auto"/>
            </w:pPr>
            <w:r>
              <w:rPr>
                <w:sz w:val="16"/>
              </w:rPr>
              <w:t>Direct reuse candidate.</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ssn:System</w:t>
            </w:r>
          </w:p>
        </w:tc>
        <w:tc>
          <w:tcPr>
            <w:tcW w:type="dxa" w:w="3402"/>
            <w:vAlign w:val="top"/>
            <w:tcMar>
              <w:top w:w="70" w:type="dxa"/>
              <w:start w:w="80" w:type="dxa"/>
              <w:bottom w:w="70" w:type="dxa"/>
              <w:end w:w="80" w:type="dxa"/>
            </w:tcMar>
          </w:tcPr>
          <w:p>
            <w:pPr>
              <w:spacing w:after="30" w:before="0" w:line="240" w:lineRule="auto"/>
            </w:pPr>
            <w:r>
              <w:rPr>
                <w:sz w:val="16"/>
              </w:rPr>
              <w:t>System-level alignment for smart systems/network components</w:t>
            </w:r>
          </w:p>
        </w:tc>
        <w:tc>
          <w:tcPr>
            <w:tcW w:type="dxa" w:w="3685"/>
            <w:vAlign w:val="top"/>
            <w:tcMar>
              <w:top w:w="70" w:type="dxa"/>
              <w:start w:w="80" w:type="dxa"/>
              <w:bottom w:w="70" w:type="dxa"/>
              <w:end w:w="80" w:type="dxa"/>
            </w:tcMar>
          </w:tcPr>
          <w:p>
            <w:pPr>
              <w:spacing w:after="30" w:before="0" w:line="240" w:lineRule="auto"/>
            </w:pPr>
            <w:r>
              <w:rPr>
                <w:sz w:val="16"/>
              </w:rPr>
              <w:t>Alignment; SIoTNetwork remains local.</w:t>
            </w:r>
          </w:p>
        </w:tc>
      </w:tr>
    </w:tbl>
    <w:p>
      <w:pPr>
        <w:widowControl/>
      </w:pPr>
    </w:p>
    <w:p>
      <w:pPr>
        <w:pStyle w:val="Heading2"/>
        <w:keepNext/>
        <w:widowControl/>
      </w:pPr>
      <w:r>
        <w:t>7.2 SAREF Core</w:t>
      </w:r>
    </w:p>
    <w:p>
      <w:pPr>
        <w:pStyle w:val="BodyText"/>
        <w:widowControl/>
        <w:spacing w:after="100"/>
      </w:pPr>
      <w:r>
        <w:rPr>
          <w:i w:val="0"/>
        </w:rPr>
        <w:t>SAREF Core is preferred over the duplicated foundational terms inside SAREF-TA for Device, Service, Function, and Property semantics. SIoTSecurity SmartObject will remain a local domain concept and may be specialized/aligned to saref:Device after term-level compatibility is confirmed. The ontology will not import all of SAREF.</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268"/>
            <w:vAlign w:val="top"/>
            <w:tcMar>
              <w:top w:w="70" w:type="dxa"/>
              <w:start w:w="80" w:type="dxa"/>
              <w:bottom w:w="70" w:type="dxa"/>
              <w:end w:w="80" w:type="dxa"/>
            </w:tcMar>
            <w:shd w:fill="D9EAF7"/>
          </w:tcPr>
          <w:p>
            <w:pPr>
              <w:spacing w:after="30" w:before="0" w:line="240" w:lineRule="auto"/>
            </w:pPr>
            <w:r>
              <w:rPr>
                <w:b/>
                <w:sz w:val="16"/>
              </w:rPr>
              <w:t>Concept need</w:t>
            </w:r>
          </w:p>
        </w:tc>
        <w:tc>
          <w:tcPr>
            <w:tcW w:type="dxa" w:w="2948"/>
            <w:vAlign w:val="top"/>
            <w:tcMar>
              <w:top w:w="70" w:type="dxa"/>
              <w:start w:w="80" w:type="dxa"/>
              <w:bottom w:w="70" w:type="dxa"/>
              <w:end w:w="80" w:type="dxa"/>
            </w:tcMar>
            <w:shd w:fill="D9EAF7"/>
          </w:tcPr>
          <w:p>
            <w:pPr>
              <w:spacing w:after="30" w:before="0" w:line="240" w:lineRule="auto"/>
            </w:pPr>
            <w:r>
              <w:rPr>
                <w:b/>
                <w:sz w:val="16"/>
              </w:rPr>
              <w:t>Preferred external basis</w:t>
            </w:r>
          </w:p>
        </w:tc>
        <w:tc>
          <w:tcPr>
            <w:tcW w:type="dxa" w:w="4139"/>
            <w:vAlign w:val="top"/>
            <w:tcMar>
              <w:top w:w="70" w:type="dxa"/>
              <w:start w:w="80" w:type="dxa"/>
              <w:bottom w:w="70" w:type="dxa"/>
              <w:end w:w="80" w:type="dxa"/>
            </w:tcMar>
            <w:shd w:fill="D9EAF7"/>
          </w:tcPr>
          <w:p>
            <w:pPr>
              <w:spacing w:after="30" w:before="0" w:line="240" w:lineRule="auto"/>
            </w:pPr>
            <w:r>
              <w:rPr>
                <w:b/>
                <w:sz w:val="16"/>
              </w:rPr>
              <w:t>Final treatment</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Device / smart object</w:t>
            </w:r>
          </w:p>
        </w:tc>
        <w:tc>
          <w:tcPr>
            <w:tcW w:type="dxa" w:w="2948"/>
            <w:vAlign w:val="top"/>
            <w:tcMar>
              <w:top w:w="70" w:type="dxa"/>
              <w:start w:w="80" w:type="dxa"/>
              <w:bottom w:w="70" w:type="dxa"/>
              <w:end w:w="80" w:type="dxa"/>
            </w:tcMar>
          </w:tcPr>
          <w:p>
            <w:pPr>
              <w:spacing w:after="30" w:before="0" w:line="240" w:lineRule="auto"/>
            </w:pPr>
            <w:r>
              <w:rPr>
                <w:sz w:val="16"/>
              </w:rPr>
              <w:t>SAREF Core Device</w:t>
            </w:r>
          </w:p>
        </w:tc>
        <w:tc>
          <w:tcPr>
            <w:tcW w:type="dxa" w:w="4139"/>
            <w:vAlign w:val="top"/>
            <w:tcMar>
              <w:top w:w="70" w:type="dxa"/>
              <w:start w:w="80" w:type="dxa"/>
              <w:bottom w:w="70" w:type="dxa"/>
              <w:end w:w="80" w:type="dxa"/>
            </w:tcMar>
          </w:tcPr>
          <w:p>
            <w:pPr>
              <w:spacing w:after="30" w:before="0" w:line="240" w:lineRule="auto"/>
            </w:pPr>
            <w:r>
              <w:rPr>
                <w:sz w:val="16"/>
              </w:rPr>
              <w:t>Local SmartObject aligned/specialized; do not claim equivalence until checked.</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Service</w:t>
            </w:r>
          </w:p>
        </w:tc>
        <w:tc>
          <w:tcPr>
            <w:tcW w:type="dxa" w:w="2948"/>
            <w:vAlign w:val="top"/>
            <w:tcMar>
              <w:top w:w="70" w:type="dxa"/>
              <w:start w:w="80" w:type="dxa"/>
              <w:bottom w:w="70" w:type="dxa"/>
              <w:end w:w="80" w:type="dxa"/>
            </w:tcMar>
          </w:tcPr>
          <w:p>
            <w:pPr>
              <w:spacing w:after="30" w:before="0" w:line="240" w:lineRule="auto"/>
            </w:pPr>
            <w:r>
              <w:rPr>
                <w:sz w:val="16"/>
              </w:rPr>
              <w:t>SAREF Core Service</w:t>
            </w:r>
          </w:p>
        </w:tc>
        <w:tc>
          <w:tcPr>
            <w:tcW w:type="dxa" w:w="4139"/>
            <w:vAlign w:val="top"/>
            <w:tcMar>
              <w:top w:w="70" w:type="dxa"/>
              <w:start w:w="80" w:type="dxa"/>
              <w:bottom w:w="70" w:type="dxa"/>
              <w:end w:w="80" w:type="dxa"/>
            </w:tcMar>
          </w:tcPr>
          <w:p>
            <w:pPr>
              <w:spacing w:after="30" w:before="0" w:line="240" w:lineRule="auto"/>
            </w:pPr>
            <w:r>
              <w:rPr>
                <w:sz w:val="16"/>
              </w:rPr>
              <w:t>Direct reuse or local SIoTService specialization.</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Function/capability</w:t>
            </w:r>
          </w:p>
        </w:tc>
        <w:tc>
          <w:tcPr>
            <w:tcW w:type="dxa" w:w="2948"/>
            <w:vAlign w:val="top"/>
            <w:tcMar>
              <w:top w:w="70" w:type="dxa"/>
              <w:start w:w="80" w:type="dxa"/>
              <w:bottom w:w="70" w:type="dxa"/>
              <w:end w:w="80" w:type="dxa"/>
            </w:tcMar>
          </w:tcPr>
          <w:p>
            <w:pPr>
              <w:spacing w:after="30" w:before="0" w:line="240" w:lineRule="auto"/>
            </w:pPr>
            <w:r>
              <w:rPr>
                <w:sz w:val="16"/>
              </w:rPr>
              <w:t>SAREF Core Function / SOSA system capabilities as appropriate</w:t>
            </w:r>
          </w:p>
        </w:tc>
        <w:tc>
          <w:tcPr>
            <w:tcW w:type="dxa" w:w="4139"/>
            <w:vAlign w:val="top"/>
            <w:tcMar>
              <w:top w:w="70" w:type="dxa"/>
              <w:start w:w="80" w:type="dxa"/>
              <w:bottom w:w="70" w:type="dxa"/>
              <w:end w:w="80" w:type="dxa"/>
            </w:tcMar>
          </w:tcPr>
          <w:p>
            <w:pPr>
              <w:spacing w:after="30" w:before="0" w:line="240" w:lineRule="auto"/>
            </w:pPr>
            <w:r>
              <w:rPr>
                <w:sz w:val="16"/>
              </w:rPr>
              <w:t>Selective alignment.</w:t>
            </w:r>
          </w:p>
        </w:tc>
      </w:tr>
      <w:tr>
        <w:trPr>
          <w:cantSplit/>
        </w:trPr>
        <w:tc>
          <w:tcPr>
            <w:tcW w:type="dxa" w:w="2268"/>
            <w:vAlign w:val="top"/>
            <w:tcMar>
              <w:top w:w="70" w:type="dxa"/>
              <w:start w:w="80" w:type="dxa"/>
              <w:bottom w:w="70" w:type="dxa"/>
              <w:end w:w="80" w:type="dxa"/>
            </w:tcMar>
          </w:tcPr>
          <w:p>
            <w:pPr>
              <w:spacing w:after="30" w:before="0" w:line="240" w:lineRule="auto"/>
            </w:pPr>
            <w:r>
              <w:rPr>
                <w:sz w:val="16"/>
              </w:rPr>
              <w:t>Observable property</w:t>
            </w:r>
          </w:p>
        </w:tc>
        <w:tc>
          <w:tcPr>
            <w:tcW w:type="dxa" w:w="2948"/>
            <w:vAlign w:val="top"/>
            <w:tcMar>
              <w:top w:w="70" w:type="dxa"/>
              <w:start w:w="80" w:type="dxa"/>
              <w:bottom w:w="70" w:type="dxa"/>
              <w:end w:w="80" w:type="dxa"/>
            </w:tcMar>
          </w:tcPr>
          <w:p>
            <w:pPr>
              <w:spacing w:after="30" w:before="0" w:line="240" w:lineRule="auto"/>
            </w:pPr>
            <w:r>
              <w:rPr>
                <w:sz w:val="16"/>
              </w:rPr>
              <w:t>SAREF/SOSA property patterns</w:t>
            </w:r>
          </w:p>
        </w:tc>
        <w:tc>
          <w:tcPr>
            <w:tcW w:type="dxa" w:w="4139"/>
            <w:vAlign w:val="top"/>
            <w:tcMar>
              <w:top w:w="70" w:type="dxa"/>
              <w:start w:w="80" w:type="dxa"/>
              <w:bottom w:w="70" w:type="dxa"/>
              <w:end w:w="80" w:type="dxa"/>
            </w:tcMar>
          </w:tcPr>
          <w:p>
            <w:pPr>
              <w:spacing w:after="30" w:before="0" w:line="240" w:lineRule="auto"/>
            </w:pPr>
            <w:r>
              <w:rPr>
                <w:sz w:val="16"/>
              </w:rPr>
              <w:t>Use the pattern that matches the modeled observation.</w:t>
            </w:r>
          </w:p>
        </w:tc>
      </w:tr>
    </w:tbl>
    <w:p>
      <w:pPr>
        <w:widowControl/>
      </w:pPr>
    </w:p>
    <w:p>
      <w:pPr>
        <w:pStyle w:val="Heading2"/>
        <w:keepNext/>
        <w:widowControl/>
      </w:pPr>
      <w:r>
        <w:t>7.3 oneM2M Base Ontology</w:t>
      </w:r>
    </w:p>
    <w:p>
      <w:pPr>
        <w:pStyle w:val="BodyText"/>
        <w:widowControl/>
        <w:spacing w:after="100"/>
      </w:pPr>
      <w:r>
        <w:rPr>
          <w:i w:val="0"/>
        </w:rPr>
        <w:t>The oneM2M Base Ontology is retained as a secondary interoperability reference because it formalizes common IoT device/service/function patterns and supports mappings to domain ontologies. It is not a primary source for trust, reputation, threats, or resilience; no owl:imports will be used. Mappings may be added only when an implementation scenario requires oneM2M interoperability.</w:t>
      </w:r>
    </w:p>
    <w:p>
      <w:pPr>
        <w:pStyle w:val="Heading2"/>
        <w:keepNext/>
        <w:widowControl/>
      </w:pPr>
      <w:r>
        <w:t>7.4 OWL-Time</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3402"/>
            <w:vAlign w:val="top"/>
            <w:tcMar>
              <w:top w:w="70" w:type="dxa"/>
              <w:start w:w="80" w:type="dxa"/>
              <w:bottom w:w="70" w:type="dxa"/>
              <w:end w:w="80" w:type="dxa"/>
            </w:tcMar>
            <w:shd w:fill="D9EAF7"/>
          </w:tcPr>
          <w:p>
            <w:pPr>
              <w:spacing w:after="30" w:before="0" w:line="240" w:lineRule="auto"/>
            </w:pPr>
            <w:r>
              <w:rPr>
                <w:b/>
                <w:sz w:val="16"/>
              </w:rPr>
              <w:t>Temporal requirement</w:t>
            </w:r>
          </w:p>
        </w:tc>
        <w:tc>
          <w:tcPr>
            <w:tcW w:type="dxa" w:w="5953"/>
            <w:vAlign w:val="top"/>
            <w:tcMar>
              <w:top w:w="70" w:type="dxa"/>
              <w:start w:w="80" w:type="dxa"/>
              <w:bottom w:w="70" w:type="dxa"/>
              <w:end w:w="80" w:type="dxa"/>
            </w:tcMar>
            <w:shd w:fill="D9EAF7"/>
          </w:tcPr>
          <w:p>
            <w:pPr>
              <w:spacing w:after="30" w:before="0" w:line="240" w:lineRule="auto"/>
            </w:pPr>
            <w:r>
              <w:rPr>
                <w:b/>
                <w:sz w:val="16"/>
              </w:rPr>
              <w:t>Selected pattern</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Evaluation time and observation timestamp</w:t>
            </w:r>
          </w:p>
        </w:tc>
        <w:tc>
          <w:tcPr>
            <w:tcW w:type="dxa" w:w="5953"/>
            <w:vAlign w:val="top"/>
            <w:tcMar>
              <w:top w:w="70" w:type="dxa"/>
              <w:start w:w="80" w:type="dxa"/>
              <w:bottom w:w="70" w:type="dxa"/>
              <w:end w:w="80" w:type="dxa"/>
            </w:tcMar>
          </w:tcPr>
          <w:p>
            <w:pPr>
              <w:spacing w:after="30" w:before="0" w:line="240" w:lineRule="auto"/>
            </w:pPr>
            <w:r>
              <w:rPr>
                <w:sz w:val="16"/>
              </w:rPr>
              <w:t>Use OWL-Time instants or xsd:dateTime values as appropriate.</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Attack/evaluation/recovery period</w:t>
            </w:r>
          </w:p>
        </w:tc>
        <w:tc>
          <w:tcPr>
            <w:tcW w:type="dxa" w:w="5953"/>
            <w:vAlign w:val="top"/>
            <w:tcMar>
              <w:top w:w="70" w:type="dxa"/>
              <w:start w:w="80" w:type="dxa"/>
              <w:bottom w:w="70" w:type="dxa"/>
              <w:end w:w="80" w:type="dxa"/>
            </w:tcMar>
          </w:tcPr>
          <w:p>
            <w:pPr>
              <w:spacing w:after="30" w:before="0" w:line="240" w:lineRule="auto"/>
            </w:pPr>
            <w:r>
              <w:rPr>
                <w:sz w:val="16"/>
              </w:rPr>
              <w:t>Use time:Interval or local specialization.</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Recovery duration</w:t>
            </w:r>
          </w:p>
        </w:tc>
        <w:tc>
          <w:tcPr>
            <w:tcW w:type="dxa" w:w="5953"/>
            <w:vAlign w:val="top"/>
            <w:tcMar>
              <w:top w:w="70" w:type="dxa"/>
              <w:start w:w="80" w:type="dxa"/>
              <w:bottom w:w="70" w:type="dxa"/>
              <w:end w:w="80" w:type="dxa"/>
            </w:tcMar>
          </w:tcPr>
          <w:p>
            <w:pPr>
              <w:spacing w:after="30" w:before="0" w:line="240" w:lineRule="auto"/>
            </w:pPr>
            <w:r>
              <w:rPr>
                <w:sz w:val="16"/>
              </w:rPr>
              <w:t>Represent a duration with OWL-Time-compatible semantics; numeric quantity may additionally use QUDT.</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Before/during/after comparison (CQ23)</w:t>
            </w:r>
          </w:p>
        </w:tc>
        <w:tc>
          <w:tcPr>
            <w:tcW w:type="dxa" w:w="5953"/>
            <w:vAlign w:val="top"/>
            <w:tcMar>
              <w:top w:w="70" w:type="dxa"/>
              <w:start w:w="80" w:type="dxa"/>
              <w:bottom w:w="70" w:type="dxa"/>
              <w:end w:w="80" w:type="dxa"/>
            </w:tcMar>
          </w:tcPr>
          <w:p>
            <w:pPr>
              <w:spacing w:after="30" w:before="0" w:line="240" w:lineRule="auto"/>
            </w:pPr>
            <w:r>
              <w:rPr>
                <w:sz w:val="16"/>
              </w:rPr>
              <w:t>Relate evaluations to explicit temporal entities instead of treating trust/resilience as timeless attributes.</w:t>
            </w:r>
          </w:p>
        </w:tc>
      </w:tr>
    </w:tbl>
    <w:p>
      <w:pPr>
        <w:widowControl/>
      </w:pPr>
    </w:p>
    <w:p>
      <w:pPr>
        <w:pStyle w:val="Heading2"/>
        <w:keepNext/>
        <w:widowControl/>
      </w:pPr>
      <w:r>
        <w:t>7.5 PROV-O</w:t>
      </w:r>
    </w:p>
    <w:p>
      <w:pPr>
        <w:pStyle w:val="BodyText"/>
        <w:widowControl/>
        <w:spacing w:after="100"/>
      </w:pPr>
      <w:r>
        <w:rPr>
          <w:i w:val="0"/>
        </w:rPr>
        <w:t>PROV-O is selected as the provenance backbone for evidence, observations, assessment processes, calculation activities, and results. The SIoTSecurity core will reference PROV-O terms selectively without importing the full ontology.</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2835"/>
            <w:vAlign w:val="top"/>
            <w:tcMar>
              <w:top w:w="70" w:type="dxa"/>
              <w:start w:w="80" w:type="dxa"/>
              <w:bottom w:w="70" w:type="dxa"/>
              <w:end w:w="80" w:type="dxa"/>
            </w:tcMar>
            <w:shd w:fill="D9EAF7"/>
          </w:tcPr>
          <w:p>
            <w:pPr>
              <w:spacing w:after="30" w:before="0" w:line="240" w:lineRule="auto"/>
            </w:pPr>
            <w:r>
              <w:rPr>
                <w:b/>
                <w:sz w:val="16"/>
              </w:rPr>
              <w:t>PROV-O concept/pattern</w:t>
            </w:r>
          </w:p>
        </w:tc>
        <w:tc>
          <w:tcPr>
            <w:tcW w:type="dxa" w:w="6520"/>
            <w:vAlign w:val="top"/>
            <w:tcMar>
              <w:top w:w="70" w:type="dxa"/>
              <w:start w:w="80" w:type="dxa"/>
              <w:bottom w:w="70" w:type="dxa"/>
              <w:end w:w="80" w:type="dxa"/>
            </w:tcMar>
            <w:shd w:fill="D9EAF7"/>
          </w:tcPr>
          <w:p>
            <w:pPr>
              <w:spacing w:after="30" w:before="0" w:line="240" w:lineRule="auto"/>
            </w:pPr>
            <w:r>
              <w:rPr>
                <w:b/>
                <w:sz w:val="16"/>
              </w:rPr>
              <w:t>SIoTSecurity application</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prov:Entity</w:t>
            </w:r>
          </w:p>
        </w:tc>
        <w:tc>
          <w:tcPr>
            <w:tcW w:type="dxa" w:w="6520"/>
            <w:vAlign w:val="top"/>
            <w:tcMar>
              <w:top w:w="70" w:type="dxa"/>
              <w:start w:w="80" w:type="dxa"/>
              <w:bottom w:w="70" w:type="dxa"/>
              <w:end w:w="80" w:type="dxa"/>
            </w:tcMar>
          </w:tcPr>
          <w:p>
            <w:pPr>
              <w:spacing w:after="30" w:before="0" w:line="240" w:lineRule="auto"/>
            </w:pPr>
            <w:r>
              <w:rPr>
                <w:sz w:val="16"/>
              </w:rPr>
              <w:t>Evidence item, dataset, observation result, indicator result, configuration/version artifact.</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prov:Activity</w:t>
            </w:r>
          </w:p>
        </w:tc>
        <w:tc>
          <w:tcPr>
            <w:tcW w:type="dxa" w:w="6520"/>
            <w:vAlign w:val="top"/>
            <w:tcMar>
              <w:top w:w="70" w:type="dxa"/>
              <w:start w:w="80" w:type="dxa"/>
              <w:bottom w:w="70" w:type="dxa"/>
              <w:end w:w="80" w:type="dxa"/>
            </w:tcMar>
          </w:tcPr>
          <w:p>
            <w:pPr>
              <w:spacing w:after="30" w:before="0" w:line="240" w:lineRule="auto"/>
            </w:pPr>
            <w:r>
              <w:rPr>
                <w:sz w:val="16"/>
              </w:rPr>
              <w:t>Trust assessment, reputation assessment, resilience assessment, calculation or normalization activity.</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prov:Agent</w:t>
            </w:r>
          </w:p>
        </w:tc>
        <w:tc>
          <w:tcPr>
            <w:tcW w:type="dxa" w:w="6520"/>
            <w:vAlign w:val="top"/>
            <w:tcMar>
              <w:top w:w="70" w:type="dxa"/>
              <w:start w:w="80" w:type="dxa"/>
              <w:bottom w:w="70" w:type="dxa"/>
              <w:end w:w="80" w:type="dxa"/>
            </w:tcMar>
          </w:tcPr>
          <w:p>
            <w:pPr>
              <w:spacing w:after="30" w:before="0" w:line="240" w:lineRule="auto"/>
            </w:pPr>
            <w:r>
              <w:rPr>
                <w:sz w:val="16"/>
              </w:rPr>
              <w:t>Smart object, software agent, analyst, simulator, or process responsible for evidence/results.</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prov:wasGeneratedBy</w:t>
            </w:r>
          </w:p>
        </w:tc>
        <w:tc>
          <w:tcPr>
            <w:tcW w:type="dxa" w:w="6520"/>
            <w:vAlign w:val="top"/>
            <w:tcMar>
              <w:top w:w="70" w:type="dxa"/>
              <w:start w:w="80" w:type="dxa"/>
              <w:bottom w:w="70" w:type="dxa"/>
              <w:end w:w="80" w:type="dxa"/>
            </w:tcMar>
          </w:tcPr>
          <w:p>
            <w:pPr>
              <w:spacing w:after="30" w:before="0" w:line="240" w:lineRule="auto"/>
            </w:pPr>
            <w:r>
              <w:rPr>
                <w:sz w:val="16"/>
              </w:rPr>
              <w:t>Link result/evidence to the activity that generated it.</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prov:used</w:t>
            </w:r>
          </w:p>
        </w:tc>
        <w:tc>
          <w:tcPr>
            <w:tcW w:type="dxa" w:w="6520"/>
            <w:vAlign w:val="top"/>
            <w:tcMar>
              <w:top w:w="70" w:type="dxa"/>
              <w:start w:w="80" w:type="dxa"/>
              <w:bottom w:w="70" w:type="dxa"/>
              <w:end w:w="80" w:type="dxa"/>
            </w:tcMar>
          </w:tcPr>
          <w:p>
            <w:pPr>
              <w:spacing w:after="30" w:before="0" w:line="240" w:lineRule="auto"/>
            </w:pPr>
            <w:r>
              <w:rPr>
                <w:sz w:val="16"/>
              </w:rPr>
              <w:t>Link an assessment/calculation activity to evidence and parameters used.</w:t>
            </w:r>
          </w:p>
        </w:tc>
      </w:tr>
      <w:tr>
        <w:trPr>
          <w:cantSplit/>
        </w:trPr>
        <w:tc>
          <w:tcPr>
            <w:tcW w:type="dxa" w:w="2835"/>
            <w:vAlign w:val="top"/>
            <w:tcMar>
              <w:top w:w="70" w:type="dxa"/>
              <w:start w:w="80" w:type="dxa"/>
              <w:bottom w:w="70" w:type="dxa"/>
              <w:end w:w="80" w:type="dxa"/>
            </w:tcMar>
          </w:tcPr>
          <w:p>
            <w:pPr>
              <w:spacing w:after="30" w:before="0" w:line="240" w:lineRule="auto"/>
            </w:pPr>
            <w:r>
              <w:rPr>
                <w:sz w:val="16"/>
              </w:rPr>
              <w:t>prov:wasDerivedFrom</w:t>
            </w:r>
          </w:p>
        </w:tc>
        <w:tc>
          <w:tcPr>
            <w:tcW w:type="dxa" w:w="6520"/>
            <w:vAlign w:val="top"/>
            <w:tcMar>
              <w:top w:w="70" w:type="dxa"/>
              <w:start w:w="80" w:type="dxa"/>
              <w:bottom w:w="70" w:type="dxa"/>
              <w:end w:w="80" w:type="dxa"/>
            </w:tcMar>
          </w:tcPr>
          <w:p>
            <w:pPr>
              <w:spacing w:after="30" w:before="0" w:line="240" w:lineRule="auto"/>
            </w:pPr>
            <w:r>
              <w:rPr>
                <w:sz w:val="16"/>
              </w:rPr>
              <w:t>Trace final resilience results to partial results, trust/reputation evidence, metrics, and prior observations.</w:t>
            </w:r>
          </w:p>
        </w:tc>
      </w:tr>
    </w:tbl>
    <w:p>
      <w:pPr>
        <w:widowControl/>
      </w:pPr>
    </w:p>
    <w:p>
      <w:pPr>
        <w:pStyle w:val="Heading2"/>
        <w:keepNext/>
        <w:widowControl/>
      </w:pPr>
      <w:r>
        <w:t>7.6 QUDT and DQV</w:t>
      </w:r>
    </w:p>
    <w:p>
      <w:pPr>
        <w:pStyle w:val="BodyText"/>
        <w:widowControl/>
        <w:spacing w:after="100"/>
      </w:pPr>
      <w:r>
        <w:rPr>
          <w:i w:val="0"/>
        </w:rPr>
        <w:t>QUDT is selected for numeric quantities, units and quantity kinds; DQV is selected as a lightweight pattern for quality metrics/measurements where its semantics fit. Neither resource is fully imported. The exact set of reused QUDT/DQV IRIs will be fixed in the Step 3 property and class specifications.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381"/>
            <w:vAlign w:val="top"/>
            <w:tcMar>
              <w:top w:w="70" w:type="dxa"/>
              <w:start w:w="80" w:type="dxa"/>
              <w:bottom w:w="70" w:type="dxa"/>
              <w:end w:w="80" w:type="dxa"/>
            </w:tcMar>
            <w:shd w:fill="D9EAF7"/>
          </w:tcPr>
          <w:p>
            <w:pPr>
              <w:spacing w:after="30" w:before="0" w:line="240" w:lineRule="auto"/>
            </w:pPr>
            <w:r>
              <w:rPr>
                <w:b/>
                <w:sz w:val="16"/>
              </w:rPr>
              <w:t>Need</w:t>
            </w:r>
          </w:p>
        </w:tc>
        <w:tc>
          <w:tcPr>
            <w:tcW w:type="dxa" w:w="2551"/>
            <w:vAlign w:val="top"/>
            <w:tcMar>
              <w:top w:w="70" w:type="dxa"/>
              <w:start w:w="80" w:type="dxa"/>
              <w:bottom w:w="70" w:type="dxa"/>
              <w:end w:w="80" w:type="dxa"/>
            </w:tcMar>
            <w:shd w:fill="D9EAF7"/>
          </w:tcPr>
          <w:p>
            <w:pPr>
              <w:spacing w:after="30" w:before="0" w:line="240" w:lineRule="auto"/>
            </w:pPr>
            <w:r>
              <w:rPr>
                <w:b/>
                <w:sz w:val="16"/>
              </w:rPr>
              <w:t>Primary basis</w:t>
            </w:r>
          </w:p>
        </w:tc>
        <w:tc>
          <w:tcPr>
            <w:tcW w:type="dxa" w:w="4422"/>
            <w:vAlign w:val="top"/>
            <w:tcMar>
              <w:top w:w="70" w:type="dxa"/>
              <w:start w:w="80" w:type="dxa"/>
              <w:bottom w:w="70" w:type="dxa"/>
              <w:end w:w="80" w:type="dxa"/>
            </w:tcMar>
            <w:shd w:fill="D9EAF7"/>
          </w:tcPr>
          <w:p>
            <w:pPr>
              <w:spacing w:after="30" w:before="0" w:line="240" w:lineRule="auto"/>
            </w:pPr>
            <w:r>
              <w:rPr>
                <w:b/>
                <w:sz w:val="16"/>
              </w:rPr>
              <w:t>Modeling decision</w:t>
            </w:r>
          </w:p>
        </w:tc>
      </w:tr>
      <w:tr>
        <w:trPr>
          <w:cantSplit/>
        </w:trPr>
        <w:tc>
          <w:tcPr>
            <w:tcW w:type="dxa" w:w="2381"/>
            <w:vAlign w:val="top"/>
            <w:tcMar>
              <w:top w:w="70" w:type="dxa"/>
              <w:start w:w="80" w:type="dxa"/>
              <w:bottom w:w="70" w:type="dxa"/>
              <w:end w:w="80" w:type="dxa"/>
            </w:tcMar>
          </w:tcPr>
          <w:p>
            <w:pPr>
              <w:spacing w:after="30" w:before="0" w:line="240" w:lineRule="auto"/>
            </w:pPr>
            <w:r>
              <w:rPr>
                <w:sz w:val="16"/>
              </w:rPr>
              <w:t>Measured/normalized numeric value</w:t>
            </w:r>
          </w:p>
        </w:tc>
        <w:tc>
          <w:tcPr>
            <w:tcW w:type="dxa" w:w="2551"/>
            <w:vAlign w:val="top"/>
            <w:tcMar>
              <w:top w:w="70" w:type="dxa"/>
              <w:start w:w="80" w:type="dxa"/>
              <w:bottom w:w="70" w:type="dxa"/>
              <w:end w:w="80" w:type="dxa"/>
            </w:tcMar>
          </w:tcPr>
          <w:p>
            <w:pPr>
              <w:spacing w:after="30" w:before="0" w:line="240" w:lineRule="auto"/>
            </w:pPr>
            <w:r>
              <w:rPr>
                <w:sz w:val="16"/>
              </w:rPr>
              <w:t>QUDT QuantityValue pattern + SIoTSecurity data properties when required</w:t>
            </w:r>
          </w:p>
        </w:tc>
        <w:tc>
          <w:tcPr>
            <w:tcW w:type="dxa" w:w="4422"/>
            <w:vAlign w:val="top"/>
            <w:tcMar>
              <w:top w:w="70" w:type="dxa"/>
              <w:start w:w="80" w:type="dxa"/>
              <w:bottom w:w="70" w:type="dxa"/>
              <w:end w:w="80" w:type="dxa"/>
            </w:tcMar>
          </w:tcPr>
          <w:p>
            <w:pPr>
              <w:spacing w:after="30" w:before="0" w:line="240" w:lineRule="auto"/>
            </w:pPr>
            <w:r>
              <w:rPr>
                <w:sz w:val="16"/>
              </w:rPr>
              <w:t>Keep value and unit explicit and traceable.</w:t>
            </w:r>
          </w:p>
        </w:tc>
      </w:tr>
      <w:tr>
        <w:trPr>
          <w:cantSplit/>
        </w:trPr>
        <w:tc>
          <w:tcPr>
            <w:tcW w:type="dxa" w:w="2381"/>
            <w:vAlign w:val="top"/>
            <w:tcMar>
              <w:top w:w="70" w:type="dxa"/>
              <w:start w:w="80" w:type="dxa"/>
              <w:bottom w:w="70" w:type="dxa"/>
              <w:end w:w="80" w:type="dxa"/>
            </w:tcMar>
          </w:tcPr>
          <w:p>
            <w:pPr>
              <w:spacing w:after="30" w:before="0" w:line="240" w:lineRule="auto"/>
            </w:pPr>
            <w:r>
              <w:rPr>
                <w:sz w:val="16"/>
              </w:rPr>
              <w:t>Unit</w:t>
            </w:r>
          </w:p>
        </w:tc>
        <w:tc>
          <w:tcPr>
            <w:tcW w:type="dxa" w:w="2551"/>
            <w:vAlign w:val="top"/>
            <w:tcMar>
              <w:top w:w="70" w:type="dxa"/>
              <w:start w:w="80" w:type="dxa"/>
              <w:bottom w:w="70" w:type="dxa"/>
              <w:end w:w="80" w:type="dxa"/>
            </w:tcMar>
          </w:tcPr>
          <w:p>
            <w:pPr>
              <w:spacing w:after="30" w:before="0" w:line="240" w:lineRule="auto"/>
            </w:pPr>
            <w:r>
              <w:rPr>
                <w:sz w:val="16"/>
              </w:rPr>
              <w:t>QUDT Unit</w:t>
            </w:r>
          </w:p>
        </w:tc>
        <w:tc>
          <w:tcPr>
            <w:tcW w:type="dxa" w:w="4422"/>
            <w:vAlign w:val="top"/>
            <w:tcMar>
              <w:top w:w="70" w:type="dxa"/>
              <w:start w:w="80" w:type="dxa"/>
              <w:bottom w:w="70" w:type="dxa"/>
              <w:end w:w="80" w:type="dxa"/>
            </w:tcMar>
          </w:tcPr>
          <w:p>
            <w:pPr>
              <w:spacing w:after="30" w:before="0" w:line="240" w:lineRule="auto"/>
            </w:pPr>
            <w:r>
              <w:rPr>
                <w:sz w:val="16"/>
              </w:rPr>
              <w:t>Prefer established unit IRIs rather than local strings.</w:t>
            </w:r>
          </w:p>
        </w:tc>
      </w:tr>
      <w:tr>
        <w:trPr>
          <w:cantSplit/>
        </w:trPr>
        <w:tc>
          <w:tcPr>
            <w:tcW w:type="dxa" w:w="2381"/>
            <w:vAlign w:val="top"/>
            <w:tcMar>
              <w:top w:w="70" w:type="dxa"/>
              <w:start w:w="80" w:type="dxa"/>
              <w:bottom w:w="70" w:type="dxa"/>
              <w:end w:w="80" w:type="dxa"/>
            </w:tcMar>
          </w:tcPr>
          <w:p>
            <w:pPr>
              <w:spacing w:after="30" w:before="0" w:line="240" w:lineRule="auto"/>
            </w:pPr>
            <w:r>
              <w:rPr>
                <w:sz w:val="16"/>
              </w:rPr>
              <w:t>Quantity kind</w:t>
            </w:r>
          </w:p>
        </w:tc>
        <w:tc>
          <w:tcPr>
            <w:tcW w:type="dxa" w:w="2551"/>
            <w:vAlign w:val="top"/>
            <w:tcMar>
              <w:top w:w="70" w:type="dxa"/>
              <w:start w:w="80" w:type="dxa"/>
              <w:bottom w:w="70" w:type="dxa"/>
              <w:end w:w="80" w:type="dxa"/>
            </w:tcMar>
          </w:tcPr>
          <w:p>
            <w:pPr>
              <w:spacing w:after="30" w:before="0" w:line="240" w:lineRule="auto"/>
            </w:pPr>
            <w:r>
              <w:rPr>
                <w:sz w:val="16"/>
              </w:rPr>
              <w:t>QUDT QuantityKind</w:t>
            </w:r>
          </w:p>
        </w:tc>
        <w:tc>
          <w:tcPr>
            <w:tcW w:type="dxa" w:w="4422"/>
            <w:vAlign w:val="top"/>
            <w:tcMar>
              <w:top w:w="70" w:type="dxa"/>
              <w:start w:w="80" w:type="dxa"/>
              <w:bottom w:w="70" w:type="dxa"/>
              <w:end w:w="80" w:type="dxa"/>
            </w:tcMar>
          </w:tcPr>
          <w:p>
            <w:pPr>
              <w:spacing w:after="30" w:before="0" w:line="240" w:lineRule="auto"/>
            </w:pPr>
            <w:r>
              <w:rPr>
                <w:sz w:val="16"/>
              </w:rPr>
              <w:t>Use for latency, duration, energy, rate, etc. where a QUDT quantity kind exists.</w:t>
            </w:r>
          </w:p>
        </w:tc>
      </w:tr>
      <w:tr>
        <w:trPr>
          <w:cantSplit/>
        </w:trPr>
        <w:tc>
          <w:tcPr>
            <w:tcW w:type="dxa" w:w="2381"/>
            <w:vAlign w:val="top"/>
            <w:tcMar>
              <w:top w:w="70" w:type="dxa"/>
              <w:start w:w="80" w:type="dxa"/>
              <w:bottom w:w="70" w:type="dxa"/>
              <w:end w:w="80" w:type="dxa"/>
            </w:tcMar>
          </w:tcPr>
          <w:p>
            <w:pPr>
              <w:spacing w:after="30" w:before="0" w:line="240" w:lineRule="auto"/>
            </w:pPr>
            <w:r>
              <w:rPr>
                <w:sz w:val="16"/>
              </w:rPr>
              <w:t>Metric definition</w:t>
            </w:r>
          </w:p>
        </w:tc>
        <w:tc>
          <w:tcPr>
            <w:tcW w:type="dxa" w:w="2551"/>
            <w:vAlign w:val="top"/>
            <w:tcMar>
              <w:top w:w="70" w:type="dxa"/>
              <w:start w:w="80" w:type="dxa"/>
              <w:bottom w:w="70" w:type="dxa"/>
              <w:end w:w="80" w:type="dxa"/>
            </w:tcMar>
          </w:tcPr>
          <w:p>
            <w:pPr>
              <w:spacing w:after="30" w:before="0" w:line="240" w:lineRule="auto"/>
            </w:pPr>
            <w:r>
              <w:rPr>
                <w:sz w:val="16"/>
              </w:rPr>
              <w:t>DQV Metric or local Metric specialization</w:t>
            </w:r>
          </w:p>
        </w:tc>
        <w:tc>
          <w:tcPr>
            <w:tcW w:type="dxa" w:w="4422"/>
            <w:vAlign w:val="top"/>
            <w:tcMar>
              <w:top w:w="70" w:type="dxa"/>
              <w:start w:w="80" w:type="dxa"/>
              <w:bottom w:w="70" w:type="dxa"/>
              <w:end w:w="80" w:type="dxa"/>
            </w:tcMar>
          </w:tcPr>
          <w:p>
            <w:pPr>
              <w:spacing w:after="30" w:before="0" w:line="240" w:lineRule="auto"/>
            </w:pPr>
            <w:r>
              <w:rPr>
                <w:sz w:val="16"/>
              </w:rPr>
              <w:t>Local ResilienceMetric may specialize a generic metric concept.</w:t>
            </w:r>
          </w:p>
        </w:tc>
      </w:tr>
      <w:tr>
        <w:trPr>
          <w:cantSplit/>
        </w:trPr>
        <w:tc>
          <w:tcPr>
            <w:tcW w:type="dxa" w:w="2381"/>
            <w:vAlign w:val="top"/>
            <w:tcMar>
              <w:top w:w="70" w:type="dxa"/>
              <w:start w:w="80" w:type="dxa"/>
              <w:bottom w:w="70" w:type="dxa"/>
              <w:end w:w="80" w:type="dxa"/>
            </w:tcMar>
          </w:tcPr>
          <w:p>
            <w:pPr>
              <w:spacing w:after="30" w:before="0" w:line="240" w:lineRule="auto"/>
            </w:pPr>
            <w:r>
              <w:rPr>
                <w:sz w:val="16"/>
              </w:rPr>
              <w:t>Quality measurement</w:t>
            </w:r>
          </w:p>
        </w:tc>
        <w:tc>
          <w:tcPr>
            <w:tcW w:type="dxa" w:w="2551"/>
            <w:vAlign w:val="top"/>
            <w:tcMar>
              <w:top w:w="70" w:type="dxa"/>
              <w:start w:w="80" w:type="dxa"/>
              <w:bottom w:w="70" w:type="dxa"/>
              <w:end w:w="80" w:type="dxa"/>
            </w:tcMar>
          </w:tcPr>
          <w:p>
            <w:pPr>
              <w:spacing w:after="30" w:before="0" w:line="240" w:lineRule="auto"/>
            </w:pPr>
            <w:r>
              <w:rPr>
                <w:sz w:val="16"/>
              </w:rPr>
              <w:t>DQV QualityMeasurement or local specialization</w:t>
            </w:r>
          </w:p>
        </w:tc>
        <w:tc>
          <w:tcPr>
            <w:tcW w:type="dxa" w:w="4422"/>
            <w:vAlign w:val="top"/>
            <w:tcMar>
              <w:top w:w="70" w:type="dxa"/>
              <w:start w:w="80" w:type="dxa"/>
              <w:bottom w:w="70" w:type="dxa"/>
              <w:end w:w="80" w:type="dxa"/>
            </w:tcMar>
          </w:tcPr>
          <w:p>
            <w:pPr>
              <w:spacing w:after="30" w:before="0" w:line="240" w:lineRule="auto"/>
            </w:pPr>
            <w:r>
              <w:rPr>
                <w:sz w:val="16"/>
              </w:rPr>
              <w:t>Use only for quality-style measurements; resilience assessment remains local.</w:t>
            </w:r>
          </w:p>
        </w:tc>
      </w:tr>
    </w:tbl>
    <w:p>
      <w:pPr>
        <w:widowControl/>
      </w:pPr>
    </w:p>
    <w:p>
      <w:pPr>
        <w:pStyle w:val="Heading2"/>
        <w:keepNext/>
        <w:widowControl/>
      </w:pPr>
      <w:r>
        <w:t>7.7 GeoSPARQL</w:t>
      </w:r>
    </w:p>
    <w:p>
      <w:pPr>
        <w:pStyle w:val="BodyText"/>
        <w:widowControl/>
        <w:spacing w:after="100"/>
      </w:pPr>
      <w:r>
        <w:rPr>
          <w:i w:val="0"/>
        </w:rPr>
        <w:t>GeoSPARQL 1.1 is conditionally accepted for spatial context. Simple latitude/longitude strings will not be invented as a substitute for geospatial semantics when actual spatial queries are required. For deployments that only need a place identifier, lighter local/contextual properties may be sufficient. No full import is used.</w:t>
      </w:r>
    </w:p>
    <w:p>
      <w:pPr>
        <w:pStyle w:val="Heading1"/>
        <w:keepNext/>
        <w:widowControl/>
      </w:pPr>
      <w:r>
        <w:t>8. Cybersecurity and Defensive Knowledge Reuse</w:t>
      </w:r>
    </w:p>
    <w:p>
      <w:pPr>
        <w:pStyle w:val="Heading2"/>
        <w:keepNext/>
        <w:widowControl/>
      </w:pPr>
      <w:r>
        <w:t>8.1 Unified Cybersecurity Ontology (UCO)</w:t>
      </w:r>
    </w:p>
    <w:p>
      <w:pPr>
        <w:pStyle w:val="BodyText"/>
        <w:widowControl/>
        <w:spacing w:after="100"/>
      </w:pPr>
      <w:r>
        <w:rPr>
          <w:i w:val="0"/>
        </w:rPr>
        <w:t>UCO is accepted as an alignment source for cybersecurity entities, identity/action/observable patterns, and interoperable cyber-investigation concepts. Because UCO is modular and has a non-trivial dependency closure, SIoTSecurity v1.0 will not owl:imports the UCO family. Local classes such as Cyberattack, Vulnerability, SecurityIncident, AffectedAsset, and SecurityImpact will be mapped only where semantic correspondence is verified.</w:t>
      </w:r>
    </w:p>
    <w:p>
      <w:pPr>
        <w:pStyle w:val="Heading2"/>
        <w:keepNext/>
        <w:widowControl/>
      </w:pPr>
      <w:r>
        <w:t>8.2 MITRE D3FEND</w:t>
      </w:r>
    </w:p>
    <w:p>
      <w:pPr>
        <w:pStyle w:val="BodyText"/>
        <w:widowControl/>
        <w:spacing w:after="100"/>
      </w:pPr>
      <w:r>
        <w:rPr>
          <w:i w:val="0"/>
        </w:rPr>
        <w:t>D3FEND is accepted as an alignment source for defensive techniques, digital artifacts, events, and relevant operational-technology defense concepts. It is not used as the ontology of resilience itself. SIoTSecurity DefenseMechanism, DetectionMechanism, MitigationMechanism, RecoveryMechanism, and AdaptationMechanism remain local concepts; mappings to D3FEND are added when a corresponding technique exists.</w:t>
      </w:r>
    </w:p>
    <w:p>
      <w:pPr>
        <w:pStyle w:val="Heading2"/>
        <w:keepNext/>
        <w:widowControl/>
      </w:pPr>
      <w:r>
        <w:t>8.3 CAPEC and MITRE ATT&amp;CK</w:t>
      </w:r>
    </w:p>
    <w:p>
      <w:pPr>
        <w:pStyle w:val="BodyText"/>
        <w:widowControl/>
        <w:spacing w:after="100"/>
      </w:pPr>
      <w:r>
        <w:rPr>
          <w:i w:val="0"/>
        </w:rPr>
        <w:t>CAPEC and MITRE ATT&amp;CK are treated as external cybersecurity knowledge bases/taxonomies, not as OWL ontologies to import. SIoTSecurity attack classes and individuals may use external identifiers or SKOS mappings where a valid correspondence exists. SIoT-specific trust/reputation/social attacks that have no precise external equivalent remain local.</w:t>
      </w:r>
    </w:p>
    <w:p>
      <w:pPr>
        <w:pStyle w:val="Heading2"/>
        <w:keepNext/>
        <w:widowControl/>
      </w:pPr>
      <w:r>
        <w:t>8.4 Local SIoT Threat Meta-Taxonomy</w:t>
      </w:r>
    </w:p>
    <w:p>
      <w:pPr>
        <w:pStyle w:val="BodyText"/>
        <w:widowControl/>
        <w:spacing w:after="100"/>
      </w:pPr>
      <w:r>
        <w:rPr>
          <w:i w:val="0"/>
        </w:rPr>
        <w:t>The updated RSL identifies five threat domains that must be representable in SIoTSecurity: inherited technical IoT threats; identity and access threats; trust and reputation threats; social and relational threats; and dynamic/opportunistic/contextual threats. This meta-taxonomy is a local SIoTSecurity conceptual contribution informed by the RSL. It is not an imported external ontology.</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381"/>
            <w:vAlign w:val="top"/>
            <w:tcMar>
              <w:top w:w="70" w:type="dxa"/>
              <w:start w:w="80" w:type="dxa"/>
              <w:bottom w:w="70" w:type="dxa"/>
              <w:end w:w="80" w:type="dxa"/>
            </w:tcMar>
            <w:shd w:fill="D9EAF7"/>
          </w:tcPr>
          <w:p>
            <w:pPr>
              <w:spacing w:after="30" w:before="0" w:line="240" w:lineRule="auto"/>
            </w:pPr>
            <w:r>
              <w:rPr>
                <w:b/>
                <w:sz w:val="15"/>
              </w:rPr>
              <w:t>Threat domain</w:t>
            </w:r>
          </w:p>
        </w:tc>
        <w:tc>
          <w:tcPr>
            <w:tcW w:type="dxa" w:w="4535"/>
            <w:vAlign w:val="top"/>
            <w:tcMar>
              <w:top w:w="70" w:type="dxa"/>
              <w:start w:w="80" w:type="dxa"/>
              <w:bottom w:w="70" w:type="dxa"/>
              <w:end w:w="80" w:type="dxa"/>
            </w:tcMar>
            <w:shd w:fill="D9EAF7"/>
          </w:tcPr>
          <w:p>
            <w:pPr>
              <w:spacing w:after="30" w:before="0" w:line="240" w:lineRule="auto"/>
            </w:pPr>
            <w:r>
              <w:rPr>
                <w:b/>
                <w:sz w:val="15"/>
              </w:rPr>
              <w:t>Examples retained for Step 3</w:t>
            </w:r>
          </w:p>
        </w:tc>
        <w:tc>
          <w:tcPr>
            <w:tcW w:type="dxa" w:w="2438"/>
            <w:vAlign w:val="top"/>
            <w:tcMar>
              <w:top w:w="70" w:type="dxa"/>
              <w:start w:w="80" w:type="dxa"/>
              <w:bottom w:w="70" w:type="dxa"/>
              <w:end w:w="80" w:type="dxa"/>
            </w:tcMar>
            <w:shd w:fill="D9EAF7"/>
          </w:tcPr>
          <w:p>
            <w:pPr>
              <w:spacing w:after="30" w:before="0" w:line="240" w:lineRule="auto"/>
            </w:pPr>
            <w:r>
              <w:rPr>
                <w:b/>
                <w:sz w:val="15"/>
              </w:rPr>
              <w:t>Reuse strategy</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Technical IoT</w:t>
            </w:r>
          </w:p>
        </w:tc>
        <w:tc>
          <w:tcPr>
            <w:tcW w:type="dxa" w:w="4535"/>
            <w:vAlign w:val="top"/>
            <w:tcMar>
              <w:top w:w="70" w:type="dxa"/>
              <w:start w:w="80" w:type="dxa"/>
              <w:bottom w:w="70" w:type="dxa"/>
              <w:end w:w="80" w:type="dxa"/>
            </w:tcMar>
          </w:tcPr>
          <w:p>
            <w:pPr>
              <w:spacing w:after="30" w:before="0" w:line="240" w:lineRule="auto"/>
            </w:pPr>
            <w:r>
              <w:rPr>
                <w:sz w:val="15"/>
              </w:rPr>
              <w:t>DoS/DDoS, malware, spoofing, code injection, brute force, storage attacks, eavesdropping</w:t>
            </w:r>
          </w:p>
        </w:tc>
        <w:tc>
          <w:tcPr>
            <w:tcW w:type="dxa" w:w="2438"/>
            <w:vAlign w:val="top"/>
            <w:tcMar>
              <w:top w:w="70" w:type="dxa"/>
              <w:start w:w="80" w:type="dxa"/>
              <w:bottom w:w="70" w:type="dxa"/>
              <w:end w:w="80" w:type="dxa"/>
            </w:tcMar>
          </w:tcPr>
          <w:p>
            <w:pPr>
              <w:spacing w:after="30" w:before="0" w:line="240" w:lineRule="auto"/>
            </w:pPr>
            <w:r>
              <w:rPr>
                <w:sz w:val="15"/>
              </w:rPr>
              <w:t>Map to CAPEC/ATT&amp;CK/UCO when exact; otherwise local.</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Identity and access</w:t>
            </w:r>
          </w:p>
        </w:tc>
        <w:tc>
          <w:tcPr>
            <w:tcW w:type="dxa" w:w="4535"/>
            <w:vAlign w:val="top"/>
            <w:tcMar>
              <w:top w:w="70" w:type="dxa"/>
              <w:start w:w="80" w:type="dxa"/>
              <w:bottom w:w="70" w:type="dxa"/>
              <w:end w:w="80" w:type="dxa"/>
            </w:tcMar>
          </w:tcPr>
          <w:p>
            <w:pPr>
              <w:spacing w:after="30" w:before="0" w:line="240" w:lineRule="auto"/>
            </w:pPr>
            <w:r>
              <w:rPr>
                <w:sz w:val="15"/>
              </w:rPr>
              <w:t>Sybil, impersonation, unauthorized access, message spoofing</w:t>
            </w:r>
          </w:p>
        </w:tc>
        <w:tc>
          <w:tcPr>
            <w:tcW w:type="dxa" w:w="2438"/>
            <w:vAlign w:val="top"/>
            <w:tcMar>
              <w:top w:w="70" w:type="dxa"/>
              <w:start w:w="80" w:type="dxa"/>
              <w:bottom w:w="70" w:type="dxa"/>
              <w:end w:w="80" w:type="dxa"/>
            </w:tcMar>
          </w:tcPr>
          <w:p>
            <w:pPr>
              <w:spacing w:after="30" w:before="0" w:line="240" w:lineRule="auto"/>
            </w:pPr>
            <w:r>
              <w:rPr>
                <w:sz w:val="15"/>
              </w:rPr>
              <w:t>Local classes with external mappings where available.</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Trust and reputation</w:t>
            </w:r>
          </w:p>
        </w:tc>
        <w:tc>
          <w:tcPr>
            <w:tcW w:type="dxa" w:w="4535"/>
            <w:vAlign w:val="top"/>
            <w:tcMar>
              <w:top w:w="70" w:type="dxa"/>
              <w:start w:w="80" w:type="dxa"/>
              <w:bottom w:w="70" w:type="dxa"/>
              <w:end w:w="80" w:type="dxa"/>
            </w:tcMar>
          </w:tcPr>
          <w:p>
            <w:pPr>
              <w:spacing w:after="30" w:before="0" w:line="240" w:lineRule="auto"/>
            </w:pPr>
            <w:r>
              <w:rPr>
                <w:sz w:val="15"/>
              </w:rPr>
              <w:t>Bad mouthing, ballot stuffing, self-promotion/good mouthing, slandering, reputation manipulation</w:t>
            </w:r>
          </w:p>
        </w:tc>
        <w:tc>
          <w:tcPr>
            <w:tcW w:type="dxa" w:w="2438"/>
            <w:vAlign w:val="top"/>
            <w:tcMar>
              <w:top w:w="70" w:type="dxa"/>
              <w:start w:w="80" w:type="dxa"/>
              <w:bottom w:w="70" w:type="dxa"/>
              <w:end w:w="80" w:type="dxa"/>
            </w:tcMar>
          </w:tcPr>
          <w:p>
            <w:pPr>
              <w:spacing w:after="30" w:before="0" w:line="240" w:lineRule="auto"/>
            </w:pPr>
            <w:r>
              <w:rPr>
                <w:sz w:val="15"/>
              </w:rPr>
              <w:t>Primarily local SIoT taxonomy; align to literature/KBs.</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Social and relational</w:t>
            </w:r>
          </w:p>
        </w:tc>
        <w:tc>
          <w:tcPr>
            <w:tcW w:type="dxa" w:w="4535"/>
            <w:vAlign w:val="top"/>
            <w:tcMar>
              <w:top w:w="70" w:type="dxa"/>
              <w:start w:w="80" w:type="dxa"/>
              <w:bottom w:w="70" w:type="dxa"/>
              <w:end w:w="80" w:type="dxa"/>
            </w:tcMar>
          </w:tcPr>
          <w:p>
            <w:pPr>
              <w:spacing w:after="30" w:before="0" w:line="240" w:lineRule="auto"/>
            </w:pPr>
            <w:r>
              <w:rPr>
                <w:sz w:val="15"/>
              </w:rPr>
              <w:t>Collusion, fake social ties, relationship flooding, malicious relationship propagation, abuse of OOR/POR/CLOR/CWOR/SOR</w:t>
            </w:r>
          </w:p>
        </w:tc>
        <w:tc>
          <w:tcPr>
            <w:tcW w:type="dxa" w:w="2438"/>
            <w:vAlign w:val="top"/>
            <w:tcMar>
              <w:top w:w="70" w:type="dxa"/>
              <w:start w:w="80" w:type="dxa"/>
              <w:bottom w:w="70" w:type="dxa"/>
              <w:end w:w="80" w:type="dxa"/>
            </w:tcMar>
          </w:tcPr>
          <w:p>
            <w:pPr>
              <w:spacing w:after="30" w:before="0" w:line="240" w:lineRule="auto"/>
            </w:pPr>
            <w:r>
              <w:rPr>
                <w:sz w:val="15"/>
              </w:rPr>
              <w:t>Local SIoT concepts; no full external ontology covers this scope.</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Dynamic/contextual</w:t>
            </w:r>
          </w:p>
        </w:tc>
        <w:tc>
          <w:tcPr>
            <w:tcW w:type="dxa" w:w="4535"/>
            <w:vAlign w:val="top"/>
            <w:tcMar>
              <w:top w:w="70" w:type="dxa"/>
              <w:start w:w="80" w:type="dxa"/>
              <w:bottom w:w="70" w:type="dxa"/>
              <w:end w:w="80" w:type="dxa"/>
            </w:tcMar>
          </w:tcPr>
          <w:p>
            <w:pPr>
              <w:spacing w:after="30" w:before="0" w:line="240" w:lineRule="auto"/>
            </w:pPr>
            <w:r>
              <w:rPr>
                <w:sz w:val="15"/>
              </w:rPr>
              <w:t>On-off behavior, opportunistic service, selective/discriminatory behavior, whitewashing, uncertainty, data sparsity</w:t>
            </w:r>
          </w:p>
        </w:tc>
        <w:tc>
          <w:tcPr>
            <w:tcW w:type="dxa" w:w="2438"/>
            <w:vAlign w:val="top"/>
            <w:tcMar>
              <w:top w:w="70" w:type="dxa"/>
              <w:start w:w="80" w:type="dxa"/>
              <w:bottom w:w="70" w:type="dxa"/>
              <w:end w:w="80" w:type="dxa"/>
            </w:tcMar>
          </w:tcPr>
          <w:p>
            <w:pPr>
              <w:spacing w:after="30" w:before="0" w:line="240" w:lineRule="auto"/>
            </w:pPr>
            <w:r>
              <w:rPr>
                <w:sz w:val="15"/>
              </w:rPr>
              <w:t>Local SIoT classes/patterns linked to trust evidence and adaptation.</w:t>
            </w:r>
          </w:p>
        </w:tc>
      </w:tr>
    </w:tbl>
    <w:p>
      <w:pPr>
        <w:widowControl/>
      </w:pPr>
    </w:p>
    <w:p>
      <w:pPr>
        <w:pStyle w:val="Heading1"/>
        <w:keepNext/>
        <w:widowControl/>
      </w:pPr>
      <w:r>
        <w:t>9. Trust, Reputation and Adaptive-Learning Concept Reuse</w:t>
      </w:r>
    </w:p>
    <w:p>
      <w:pPr>
        <w:pStyle w:val="BodyText"/>
        <w:widowControl/>
        <w:spacing w:after="100"/>
      </w:pPr>
      <w:r>
        <w:rPr>
          <w:i w:val="0"/>
        </w:rPr>
        <w:t>The literature and previous indicator are reused conceptually in addition to formal ontology reuse. These resources supply dimensions, evidence types, recommendation behavior, and computational methods that are not themselves imported OWL ontologies.</w:t>
      </w:r>
    </w:p>
    <w:p>
      <w:pPr>
        <w:pStyle w:val="Heading2"/>
        <w:keepNext/>
        <w:widowControl/>
      </w:pPr>
      <w:r>
        <w:t>9.1 Previous Reputation Indicator</w:t>
      </w:r>
    </w:p>
    <w:p>
      <w:pPr>
        <w:pStyle w:val="BodyText"/>
        <w:widowControl/>
        <w:spacing w:after="100"/>
      </w:pPr>
      <w:r>
        <w:rPr>
          <w:i w:val="0"/>
        </w:rPr>
        <w:t>The 2024 indicator publication supplies evidence that trust/reputation evaluation in smart-object interactions can use trust, reliability, quality of service, security/performance, user or peer perception, and privacy, and that trust/reputation values may evolve after interactions. Its numeric thresholds, example weights, DAG/AES implementation details, and formula parameters are not converted into universal SIoTSecurity axioms. They are treated as provenance-bearing method/configuration examples.</w:t>
      </w:r>
    </w:p>
    <w:p>
      <w:pPr>
        <w:pStyle w:val="Heading2"/>
        <w:keepNext/>
        <w:widowControl/>
      </w:pPr>
      <w:r>
        <w:t>9.2 Kumari Adaptive Trust Model</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3402"/>
            <w:vAlign w:val="top"/>
            <w:tcMar>
              <w:top w:w="70" w:type="dxa"/>
              <w:start w:w="80" w:type="dxa"/>
              <w:bottom w:w="70" w:type="dxa"/>
              <w:end w:w="80" w:type="dxa"/>
            </w:tcMar>
            <w:shd w:fill="D9EAF7"/>
          </w:tcPr>
          <w:p>
            <w:pPr>
              <w:spacing w:after="30" w:before="0" w:line="240" w:lineRule="auto"/>
            </w:pPr>
            <w:r>
              <w:rPr>
                <w:b/>
                <w:sz w:val="16"/>
              </w:rPr>
              <w:t>Concept from publication</w:t>
            </w:r>
          </w:p>
        </w:tc>
        <w:tc>
          <w:tcPr>
            <w:tcW w:type="dxa" w:w="5953"/>
            <w:vAlign w:val="top"/>
            <w:tcMar>
              <w:top w:w="70" w:type="dxa"/>
              <w:start w:w="80" w:type="dxa"/>
              <w:bottom w:w="70" w:type="dxa"/>
              <w:end w:w="80" w:type="dxa"/>
            </w:tcMar>
            <w:shd w:fill="D9EAF7"/>
          </w:tcPr>
          <w:p>
            <w:pPr>
              <w:spacing w:after="30" w:before="0" w:line="240" w:lineRule="auto"/>
            </w:pPr>
            <w:r>
              <w:rPr>
                <w:b/>
                <w:sz w:val="16"/>
              </w:rPr>
              <w:t>SIoTSecurity treatment</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Direct trust</w:t>
            </w:r>
          </w:p>
        </w:tc>
        <w:tc>
          <w:tcPr>
            <w:tcW w:type="dxa" w:w="5953"/>
            <w:vAlign w:val="top"/>
            <w:tcMar>
              <w:top w:w="70" w:type="dxa"/>
              <w:start w:w="80" w:type="dxa"/>
              <w:bottom w:w="70" w:type="dxa"/>
              <w:end w:w="80" w:type="dxa"/>
            </w:tcMar>
          </w:tcPr>
          <w:p>
            <w:pPr>
              <w:spacing w:after="30" w:before="0" w:line="240" w:lineRule="auto"/>
            </w:pPr>
            <w:r>
              <w:rPr>
                <w:sz w:val="16"/>
              </w:rPr>
              <w:t>Local DirectTrustAssessment / direct evidence pattern.</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Referred/indirect trust</w:t>
            </w:r>
          </w:p>
        </w:tc>
        <w:tc>
          <w:tcPr>
            <w:tcW w:type="dxa" w:w="5953"/>
            <w:vAlign w:val="top"/>
            <w:tcMar>
              <w:top w:w="70" w:type="dxa"/>
              <w:start w:w="80" w:type="dxa"/>
              <w:bottom w:w="70" w:type="dxa"/>
              <w:end w:w="80" w:type="dxa"/>
            </w:tcMar>
          </w:tcPr>
          <w:p>
            <w:pPr>
              <w:spacing w:after="30" w:before="0" w:line="240" w:lineRule="auto"/>
            </w:pPr>
            <w:r>
              <w:rPr>
                <w:sz w:val="16"/>
              </w:rPr>
              <w:t>Local IndirectTrustAssessment; “Referred Trust” recorded as alternative label where appropriate.</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Service reliability</w:t>
            </w:r>
          </w:p>
        </w:tc>
        <w:tc>
          <w:tcPr>
            <w:tcW w:type="dxa" w:w="5953"/>
            <w:vAlign w:val="top"/>
            <w:tcMar>
              <w:top w:w="70" w:type="dxa"/>
              <w:start w:w="80" w:type="dxa"/>
              <w:bottom w:w="70" w:type="dxa"/>
              <w:end w:w="80" w:type="dxa"/>
            </w:tcMar>
          </w:tcPr>
          <w:p>
            <w:pPr>
              <w:spacing w:after="30" w:before="0" w:line="240" w:lineRule="auto"/>
            </w:pPr>
            <w:r>
              <w:rPr>
                <w:sz w:val="16"/>
              </w:rPr>
              <w:t>Evidence/metric input, not identical to resilience.</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Relationship strength</w:t>
            </w:r>
          </w:p>
        </w:tc>
        <w:tc>
          <w:tcPr>
            <w:tcW w:type="dxa" w:w="5953"/>
            <w:vAlign w:val="top"/>
            <w:tcMar>
              <w:top w:w="70" w:type="dxa"/>
              <w:start w:w="80" w:type="dxa"/>
              <w:bottom w:w="70" w:type="dxa"/>
              <w:end w:w="80" w:type="dxa"/>
            </w:tcMar>
          </w:tcPr>
          <w:p>
            <w:pPr>
              <w:spacing w:after="30" w:before="0" w:line="240" w:lineRule="auto"/>
            </w:pPr>
            <w:r>
              <w:rPr>
                <w:sz w:val="16"/>
              </w:rPr>
              <w:t>Contextual social evidence; weights remain parameters, not fixed axioms.</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Recommender benevolence</w:t>
            </w:r>
          </w:p>
        </w:tc>
        <w:tc>
          <w:tcPr>
            <w:tcW w:type="dxa" w:w="5953"/>
            <w:vAlign w:val="top"/>
            <w:tcMar>
              <w:top w:w="70" w:type="dxa"/>
              <w:start w:w="80" w:type="dxa"/>
              <w:bottom w:w="70" w:type="dxa"/>
              <w:end w:w="80" w:type="dxa"/>
            </w:tcMar>
          </w:tcPr>
          <w:p>
            <w:pPr>
              <w:spacing w:after="30" w:before="0" w:line="240" w:lineRule="auto"/>
            </w:pPr>
            <w:r>
              <w:rPr>
                <w:sz w:val="16"/>
              </w:rPr>
              <w:t>RecommenderAssessment/BenevolenceScore candidate.</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Recommendation deviation</w:t>
            </w:r>
          </w:p>
        </w:tc>
        <w:tc>
          <w:tcPr>
            <w:tcW w:type="dxa" w:w="5953"/>
            <w:vAlign w:val="top"/>
            <w:tcMar>
              <w:top w:w="70" w:type="dxa"/>
              <w:start w:w="80" w:type="dxa"/>
              <w:bottom w:w="70" w:type="dxa"/>
              <w:end w:w="80" w:type="dxa"/>
            </w:tcMar>
          </w:tcPr>
          <w:p>
            <w:pPr>
              <w:spacing w:after="30" w:before="0" w:line="240" w:lineRule="auto"/>
            </w:pPr>
            <w:r>
              <w:rPr>
                <w:sz w:val="16"/>
              </w:rPr>
              <w:t>Evidence supporting recommender credibility/quality.</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Q-learning and reward</w:t>
            </w:r>
          </w:p>
        </w:tc>
        <w:tc>
          <w:tcPr>
            <w:tcW w:type="dxa" w:w="5953"/>
            <w:vAlign w:val="top"/>
            <w:tcMar>
              <w:top w:w="70" w:type="dxa"/>
              <w:start w:w="80" w:type="dxa"/>
              <w:bottom w:w="70" w:type="dxa"/>
              <w:end w:w="80" w:type="dxa"/>
            </w:tcMar>
          </w:tcPr>
          <w:p>
            <w:pPr>
              <w:spacing w:after="30" w:before="0" w:line="240" w:lineRule="auto"/>
            </w:pPr>
            <w:r>
              <w:rPr>
                <w:sz w:val="16"/>
              </w:rPr>
              <w:t>Computation-method metadata; the OWL ontology does not execute reinforcement learning.</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Adaptive update after interaction</w:t>
            </w:r>
          </w:p>
        </w:tc>
        <w:tc>
          <w:tcPr>
            <w:tcW w:type="dxa" w:w="5953"/>
            <w:vAlign w:val="top"/>
            <w:tcMar>
              <w:top w:w="70" w:type="dxa"/>
              <w:start w:w="80" w:type="dxa"/>
              <w:bottom w:w="70" w:type="dxa"/>
              <w:end w:w="80" w:type="dxa"/>
            </w:tcMar>
          </w:tcPr>
          <w:p>
            <w:pPr>
              <w:spacing w:after="30" w:before="0" w:line="240" w:lineRule="auto"/>
            </w:pPr>
            <w:r>
              <w:rPr>
                <w:sz w:val="16"/>
              </w:rPr>
              <w:t>Supports adaptation-related evidence and temporal trust update.</w:t>
            </w:r>
          </w:p>
        </w:tc>
      </w:tr>
    </w:tbl>
    <w:p>
      <w:pPr>
        <w:widowControl/>
      </w:pPr>
    </w:p>
    <w:p>
      <w:pPr>
        <w:pStyle w:val="Heading2"/>
        <w:keepNext/>
        <w:widowControl/>
      </w:pPr>
      <w:r>
        <w:t>9.3 Role Modeling Decision</w:t>
      </w:r>
    </w:p>
    <w:p>
      <w:pPr>
        <w:pStyle w:val="BodyText"/>
        <w:widowControl/>
        <w:spacing w:after="100"/>
      </w:pPr>
      <w:r>
        <w:rPr>
          <w:i w:val="0"/>
        </w:rPr>
        <w:t>ServiceProvider, ServiceRequestor/ServiceConsumer, Recommender, Trustor, and Trustee SHALL be modeled as contextual roles or role-bearing relationships. They SHALL NOT be declared pairwise disjoint permanent subclasses of SmartObject, because the same object can play different roles in different interactions, services, contexts, and times.</w:t>
      </w:r>
    </w:p>
    <w:p>
      <w:pPr>
        <w:pStyle w:val="Heading1"/>
        <w:keepNext/>
        <w:widowControl/>
      </w:pPr>
      <w:r>
        <w:t>10. Complementary Standards, Formalisms and Technologies</w:t>
      </w:r>
    </w:p>
    <w:p>
      <w:pPr>
        <w:pStyle w:val="BodyText"/>
        <w:widowControl/>
        <w:spacing w:after="100"/>
      </w:pPr>
      <w:r>
        <w:rPr>
          <w:i w:val="0"/>
        </w:rPr>
        <w:t>The following resources are relevant to SIoTSecurity but must not be confused with reusable ontologies. Their contribution is documented to prevent the Step 2 inventory from incorrectly listing languages or algorithms as ontologies.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984"/>
            <w:vAlign w:val="top"/>
            <w:tcMar>
              <w:top w:w="70" w:type="dxa"/>
              <w:start w:w="80" w:type="dxa"/>
              <w:bottom w:w="70" w:type="dxa"/>
              <w:end w:w="80" w:type="dxa"/>
            </w:tcMar>
            <w:shd w:fill="D9EAF7"/>
          </w:tcPr>
          <w:p>
            <w:pPr>
              <w:spacing w:after="30" w:before="0" w:line="240" w:lineRule="auto"/>
            </w:pPr>
            <w:r>
              <w:rPr>
                <w:b/>
                <w:sz w:val="15"/>
              </w:rPr>
              <w:t>Resource</w:t>
            </w:r>
          </w:p>
        </w:tc>
        <w:tc>
          <w:tcPr>
            <w:tcW w:type="dxa" w:w="1814"/>
            <w:vAlign w:val="top"/>
            <w:tcMar>
              <w:top w:w="70" w:type="dxa"/>
              <w:start w:w="80" w:type="dxa"/>
              <w:bottom w:w="70" w:type="dxa"/>
              <w:end w:w="80" w:type="dxa"/>
            </w:tcMar>
            <w:shd w:fill="D9EAF7"/>
          </w:tcPr>
          <w:p>
            <w:pPr>
              <w:spacing w:after="30" w:before="0" w:line="240" w:lineRule="auto"/>
            </w:pPr>
            <w:r>
              <w:rPr>
                <w:b/>
                <w:sz w:val="15"/>
              </w:rPr>
              <w:t>Nature</w:t>
            </w:r>
          </w:p>
        </w:tc>
        <w:tc>
          <w:tcPr>
            <w:tcW w:type="dxa" w:w="3061"/>
            <w:vAlign w:val="top"/>
            <w:tcMar>
              <w:top w:w="70" w:type="dxa"/>
              <w:start w:w="80" w:type="dxa"/>
              <w:bottom w:w="70" w:type="dxa"/>
              <w:end w:w="80" w:type="dxa"/>
            </w:tcMar>
            <w:shd w:fill="D9EAF7"/>
          </w:tcPr>
          <w:p>
            <w:pPr>
              <w:spacing w:after="30" w:before="0" w:line="240" w:lineRule="auto"/>
            </w:pPr>
            <w:r>
              <w:rPr>
                <w:b/>
                <w:sz w:val="15"/>
              </w:rPr>
              <w:t>Contribution</w:t>
            </w:r>
          </w:p>
        </w:tc>
        <w:tc>
          <w:tcPr>
            <w:tcW w:type="dxa" w:w="2268"/>
            <w:vAlign w:val="top"/>
            <w:tcMar>
              <w:top w:w="70" w:type="dxa"/>
              <w:start w:w="80" w:type="dxa"/>
              <w:bottom w:w="70" w:type="dxa"/>
              <w:end w:w="80" w:type="dxa"/>
            </w:tcMar>
            <w:shd w:fill="D9EAF7"/>
          </w:tcPr>
          <w:p>
            <w:pPr>
              <w:spacing w:after="30" w:before="0" w:line="240" w:lineRule="auto"/>
            </w:pPr>
            <w:r>
              <w:rPr>
                <w:b/>
                <w:sz w:val="15"/>
              </w:rPr>
              <w:t>Treatment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SKOS</w:t>
            </w:r>
          </w:p>
        </w:tc>
        <w:tc>
          <w:tcPr>
            <w:tcW w:type="dxa" w:w="1814"/>
            <w:vAlign w:val="top"/>
            <w:tcMar>
              <w:top w:w="70" w:type="dxa"/>
              <w:start w:w="80" w:type="dxa"/>
              <w:bottom w:w="70" w:type="dxa"/>
              <w:end w:w="80" w:type="dxa"/>
            </w:tcMar>
          </w:tcPr>
          <w:p>
            <w:pPr>
              <w:spacing w:after="30" w:before="0" w:line="240" w:lineRule="auto"/>
            </w:pPr>
            <w:r>
              <w:rPr>
                <w:sz w:val="15"/>
              </w:rPr>
              <w:t>W3C vocabulary</w:t>
            </w:r>
          </w:p>
        </w:tc>
        <w:tc>
          <w:tcPr>
            <w:tcW w:type="dxa" w:w="3061"/>
            <w:vAlign w:val="top"/>
            <w:tcMar>
              <w:top w:w="70" w:type="dxa"/>
              <w:start w:w="80" w:type="dxa"/>
              <w:bottom w:w="70" w:type="dxa"/>
              <w:end w:w="80" w:type="dxa"/>
            </w:tcMar>
          </w:tcPr>
          <w:p>
            <w:pPr>
              <w:spacing w:after="30" w:before="0" w:line="240" w:lineRule="auto"/>
            </w:pPr>
            <w:r>
              <w:rPr>
                <w:sz w:val="15"/>
              </w:rPr>
              <w:t>Labels, definitions, alternative labels, taxonomy and mapping relations.</w:t>
            </w:r>
          </w:p>
        </w:tc>
        <w:tc>
          <w:tcPr>
            <w:tcW w:type="dxa" w:w="2268"/>
            <w:vAlign w:val="top"/>
            <w:tcMar>
              <w:top w:w="70" w:type="dxa"/>
              <w:start w:w="80" w:type="dxa"/>
              <w:bottom w:w="70" w:type="dxa"/>
              <w:end w:w="80" w:type="dxa"/>
            </w:tcMar>
          </w:tcPr>
          <w:p>
            <w:pPr>
              <w:spacing w:after="30" w:before="0" w:line="240" w:lineRule="auto"/>
            </w:pPr>
            <w:r>
              <w:rPr>
                <w:sz w:val="15"/>
              </w:rPr>
              <w:t>Use selectively; no import.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SHACL</w:t>
            </w:r>
          </w:p>
        </w:tc>
        <w:tc>
          <w:tcPr>
            <w:tcW w:type="dxa" w:w="1814"/>
            <w:vAlign w:val="top"/>
            <w:tcMar>
              <w:top w:w="70" w:type="dxa"/>
              <w:start w:w="80" w:type="dxa"/>
              <w:bottom w:w="70" w:type="dxa"/>
              <w:end w:w="80" w:type="dxa"/>
            </w:tcMar>
          </w:tcPr>
          <w:p>
            <w:pPr>
              <w:spacing w:after="30" w:before="0" w:line="240" w:lineRule="auto"/>
            </w:pPr>
            <w:r>
              <w:rPr>
                <w:sz w:val="15"/>
              </w:rPr>
              <w:t>W3C validation language</w:t>
            </w:r>
          </w:p>
        </w:tc>
        <w:tc>
          <w:tcPr>
            <w:tcW w:type="dxa" w:w="3061"/>
            <w:vAlign w:val="top"/>
            <w:tcMar>
              <w:top w:w="70" w:type="dxa"/>
              <w:start w:w="80" w:type="dxa"/>
              <w:bottom w:w="70" w:type="dxa"/>
              <w:end w:w="80" w:type="dxa"/>
            </w:tcMar>
          </w:tcPr>
          <w:p>
            <w:pPr>
              <w:spacing w:after="30" w:before="0" w:line="240" w:lineRule="auto"/>
            </w:pPr>
            <w:r>
              <w:rPr>
                <w:sz w:val="15"/>
              </w:rPr>
              <w:t>Closed-world/data-shape validation in the evaluation stage.</w:t>
            </w:r>
          </w:p>
        </w:tc>
        <w:tc>
          <w:tcPr>
            <w:tcW w:type="dxa" w:w="2268"/>
            <w:vAlign w:val="top"/>
            <w:tcMar>
              <w:top w:w="70" w:type="dxa"/>
              <w:start w:w="80" w:type="dxa"/>
              <w:bottom w:w="70" w:type="dxa"/>
              <w:end w:w="80" w:type="dxa"/>
            </w:tcMar>
          </w:tcPr>
          <w:p>
            <w:pPr>
              <w:spacing w:after="30" w:before="0" w:line="240" w:lineRule="auto"/>
            </w:pPr>
            <w:r>
              <w:rPr>
                <w:sz w:val="15"/>
              </w:rPr>
              <w:t>Evaluation artifact; not ontology import.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OWL / RDF / RDF/XML / Turtle</w:t>
            </w:r>
          </w:p>
        </w:tc>
        <w:tc>
          <w:tcPr>
            <w:tcW w:type="dxa" w:w="1814"/>
            <w:vAlign w:val="top"/>
            <w:tcMar>
              <w:top w:w="70" w:type="dxa"/>
              <w:start w:w="80" w:type="dxa"/>
              <w:bottom w:w="70" w:type="dxa"/>
              <w:end w:w="80" w:type="dxa"/>
            </w:tcMar>
          </w:tcPr>
          <w:p>
            <w:pPr>
              <w:spacing w:after="30" w:before="0" w:line="240" w:lineRule="auto"/>
            </w:pPr>
            <w:r>
              <w:rPr>
                <w:sz w:val="15"/>
              </w:rPr>
              <w:t>Semantic languages/serializations</w:t>
            </w:r>
          </w:p>
        </w:tc>
        <w:tc>
          <w:tcPr>
            <w:tcW w:type="dxa" w:w="3061"/>
            <w:vAlign w:val="top"/>
            <w:tcMar>
              <w:top w:w="70" w:type="dxa"/>
              <w:start w:w="80" w:type="dxa"/>
              <w:bottom w:w="70" w:type="dxa"/>
              <w:end w:w="80" w:type="dxa"/>
            </w:tcMar>
          </w:tcPr>
          <w:p>
            <w:pPr>
              <w:spacing w:after="30" w:before="0" w:line="240" w:lineRule="auto"/>
            </w:pPr>
            <w:r>
              <w:rPr>
                <w:sz w:val="15"/>
              </w:rPr>
              <w:t>Implementation and exchange formats.</w:t>
            </w:r>
          </w:p>
        </w:tc>
        <w:tc>
          <w:tcPr>
            <w:tcW w:type="dxa" w:w="2268"/>
            <w:vAlign w:val="top"/>
            <w:tcMar>
              <w:top w:w="70" w:type="dxa"/>
              <w:start w:w="80" w:type="dxa"/>
              <w:bottom w:w="70" w:type="dxa"/>
              <w:end w:w="80" w:type="dxa"/>
            </w:tcMar>
          </w:tcPr>
          <w:p>
            <w:pPr>
              <w:spacing w:after="30" w:before="0" w:line="240" w:lineRule="auto"/>
            </w:pPr>
            <w:r>
              <w:rPr>
                <w:sz w:val="15"/>
              </w:rPr>
              <w:t>Technical formalism, not reuse candidate.</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SWRL</w:t>
            </w:r>
          </w:p>
        </w:tc>
        <w:tc>
          <w:tcPr>
            <w:tcW w:type="dxa" w:w="1814"/>
            <w:vAlign w:val="top"/>
            <w:tcMar>
              <w:top w:w="70" w:type="dxa"/>
              <w:start w:w="80" w:type="dxa"/>
              <w:bottom w:w="70" w:type="dxa"/>
              <w:end w:w="80" w:type="dxa"/>
            </w:tcMar>
          </w:tcPr>
          <w:p>
            <w:pPr>
              <w:spacing w:after="30" w:before="0" w:line="240" w:lineRule="auto"/>
            </w:pPr>
            <w:r>
              <w:rPr>
                <w:sz w:val="15"/>
              </w:rPr>
              <w:t>Rule language</w:t>
            </w:r>
          </w:p>
        </w:tc>
        <w:tc>
          <w:tcPr>
            <w:tcW w:type="dxa" w:w="3061"/>
            <w:vAlign w:val="top"/>
            <w:tcMar>
              <w:top w:w="70" w:type="dxa"/>
              <w:start w:w="80" w:type="dxa"/>
              <w:bottom w:w="70" w:type="dxa"/>
              <w:end w:w="80" w:type="dxa"/>
            </w:tcMar>
          </w:tcPr>
          <w:p>
            <w:pPr>
              <w:spacing w:after="30" w:before="0" w:line="240" w:lineRule="auto"/>
            </w:pPr>
            <w:r>
              <w:rPr>
                <w:sz w:val="15"/>
              </w:rPr>
              <w:t>Optional explicit rules beyond OWL axioms.</w:t>
            </w:r>
          </w:p>
        </w:tc>
        <w:tc>
          <w:tcPr>
            <w:tcW w:type="dxa" w:w="2268"/>
            <w:vAlign w:val="top"/>
            <w:tcMar>
              <w:top w:w="70" w:type="dxa"/>
              <w:start w:w="80" w:type="dxa"/>
              <w:bottom w:w="70" w:type="dxa"/>
              <w:end w:w="80" w:type="dxa"/>
            </w:tcMar>
          </w:tcPr>
          <w:p>
            <w:pPr>
              <w:spacing w:after="30" w:before="0" w:line="240" w:lineRule="auto"/>
            </w:pPr>
            <w:r>
              <w:rPr>
                <w:sz w:val="15"/>
              </w:rPr>
              <w:t>Use only where justified and documented.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SPARQL</w:t>
            </w:r>
          </w:p>
        </w:tc>
        <w:tc>
          <w:tcPr>
            <w:tcW w:type="dxa" w:w="1814"/>
            <w:vAlign w:val="top"/>
            <w:tcMar>
              <w:top w:w="70" w:type="dxa"/>
              <w:start w:w="80" w:type="dxa"/>
              <w:bottom w:w="70" w:type="dxa"/>
              <w:end w:w="80" w:type="dxa"/>
            </w:tcMar>
          </w:tcPr>
          <w:p>
            <w:pPr>
              <w:spacing w:after="30" w:before="0" w:line="240" w:lineRule="auto"/>
            </w:pPr>
            <w:r>
              <w:rPr>
                <w:sz w:val="15"/>
              </w:rPr>
              <w:t>Query language</w:t>
            </w:r>
          </w:p>
        </w:tc>
        <w:tc>
          <w:tcPr>
            <w:tcW w:type="dxa" w:w="3061"/>
            <w:vAlign w:val="top"/>
            <w:tcMar>
              <w:top w:w="70" w:type="dxa"/>
              <w:start w:w="80" w:type="dxa"/>
              <w:bottom w:w="70" w:type="dxa"/>
              <w:end w:w="80" w:type="dxa"/>
            </w:tcMar>
          </w:tcPr>
          <w:p>
            <w:pPr>
              <w:spacing w:after="30" w:before="0" w:line="240" w:lineRule="auto"/>
            </w:pPr>
            <w:r>
              <w:rPr>
                <w:sz w:val="15"/>
              </w:rPr>
              <w:t>Competency-question testing and evaluation.</w:t>
            </w:r>
          </w:p>
        </w:tc>
        <w:tc>
          <w:tcPr>
            <w:tcW w:type="dxa" w:w="2268"/>
            <w:vAlign w:val="top"/>
            <w:tcMar>
              <w:top w:w="70" w:type="dxa"/>
              <w:start w:w="80" w:type="dxa"/>
              <w:bottom w:w="70" w:type="dxa"/>
              <w:end w:w="80" w:type="dxa"/>
            </w:tcMar>
          </w:tcPr>
          <w:p>
            <w:pPr>
              <w:spacing w:after="30" w:before="0" w:line="240" w:lineRule="auto"/>
            </w:pPr>
            <w:r>
              <w:rPr>
                <w:sz w:val="15"/>
              </w:rPr>
              <w:t>Evaluation/query artifact.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ISO/IEC 25010</w:t>
            </w:r>
          </w:p>
        </w:tc>
        <w:tc>
          <w:tcPr>
            <w:tcW w:type="dxa" w:w="1814"/>
            <w:vAlign w:val="top"/>
            <w:tcMar>
              <w:top w:w="70" w:type="dxa"/>
              <w:start w:w="80" w:type="dxa"/>
              <w:bottom w:w="70" w:type="dxa"/>
              <w:end w:w="80" w:type="dxa"/>
            </w:tcMar>
          </w:tcPr>
          <w:p>
            <w:pPr>
              <w:spacing w:after="30" w:before="0" w:line="240" w:lineRule="auto"/>
            </w:pPr>
            <w:r>
              <w:rPr>
                <w:sz w:val="15"/>
              </w:rPr>
              <w:t>Quality standard</w:t>
            </w:r>
          </w:p>
        </w:tc>
        <w:tc>
          <w:tcPr>
            <w:tcW w:type="dxa" w:w="3061"/>
            <w:vAlign w:val="top"/>
            <w:tcMar>
              <w:top w:w="70" w:type="dxa"/>
              <w:start w:w="80" w:type="dxa"/>
              <w:bottom w:w="70" w:type="dxa"/>
              <w:end w:w="80" w:type="dxa"/>
            </w:tcMar>
          </w:tcPr>
          <w:p>
            <w:pPr>
              <w:spacing w:after="30" w:before="0" w:line="240" w:lineRule="auto"/>
            </w:pPr>
            <w:r>
              <w:rPr>
                <w:sz w:val="15"/>
              </w:rPr>
              <w:t>Quality characteristics and evaluation concepts.</w:t>
            </w:r>
          </w:p>
        </w:tc>
        <w:tc>
          <w:tcPr>
            <w:tcW w:type="dxa" w:w="2268"/>
            <w:vAlign w:val="top"/>
            <w:tcMar>
              <w:top w:w="70" w:type="dxa"/>
              <w:start w:w="80" w:type="dxa"/>
              <w:bottom w:w="70" w:type="dxa"/>
              <w:end w:w="80" w:type="dxa"/>
            </w:tcMar>
          </w:tcPr>
          <w:p>
            <w:pPr>
              <w:spacing w:after="30" w:before="0" w:line="240" w:lineRule="auto"/>
            </w:pPr>
            <w:r>
              <w:rPr>
                <w:sz w:val="15"/>
              </w:rPr>
              <w:t>Conceptual reference; no import.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ISO/IEC 19770-1</w:t>
            </w:r>
          </w:p>
        </w:tc>
        <w:tc>
          <w:tcPr>
            <w:tcW w:type="dxa" w:w="1814"/>
            <w:vAlign w:val="top"/>
            <w:tcMar>
              <w:top w:w="70" w:type="dxa"/>
              <w:start w:w="80" w:type="dxa"/>
              <w:bottom w:w="70" w:type="dxa"/>
              <w:end w:w="80" w:type="dxa"/>
            </w:tcMar>
          </w:tcPr>
          <w:p>
            <w:pPr>
              <w:spacing w:after="30" w:before="0" w:line="240" w:lineRule="auto"/>
            </w:pPr>
            <w:r>
              <w:rPr>
                <w:sz w:val="15"/>
              </w:rPr>
              <w:t>IT asset management standard</w:t>
            </w:r>
          </w:p>
        </w:tc>
        <w:tc>
          <w:tcPr>
            <w:tcW w:type="dxa" w:w="3061"/>
            <w:vAlign w:val="top"/>
            <w:tcMar>
              <w:top w:w="70" w:type="dxa"/>
              <w:start w:w="80" w:type="dxa"/>
              <w:bottom w:w="70" w:type="dxa"/>
              <w:end w:w="80" w:type="dxa"/>
            </w:tcMar>
          </w:tcPr>
          <w:p>
            <w:pPr>
              <w:spacing w:after="30" w:before="0" w:line="240" w:lineRule="auto"/>
            </w:pPr>
            <w:r>
              <w:rPr>
                <w:sz w:val="15"/>
              </w:rPr>
              <w:t>Asset-management reference where applicable.</w:t>
            </w:r>
          </w:p>
        </w:tc>
        <w:tc>
          <w:tcPr>
            <w:tcW w:type="dxa" w:w="2268"/>
            <w:vAlign w:val="top"/>
            <w:tcMar>
              <w:top w:w="70" w:type="dxa"/>
              <w:start w:w="80" w:type="dxa"/>
              <w:bottom w:w="70" w:type="dxa"/>
              <w:end w:w="80" w:type="dxa"/>
            </w:tcMar>
          </w:tcPr>
          <w:p>
            <w:pPr>
              <w:spacing w:after="30" w:before="0" w:line="240" w:lineRule="auto"/>
            </w:pPr>
            <w:r>
              <w:rPr>
                <w:sz w:val="15"/>
              </w:rPr>
              <w:t>Conceptual reference; no import.</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UML</w:t>
            </w:r>
          </w:p>
        </w:tc>
        <w:tc>
          <w:tcPr>
            <w:tcW w:type="dxa" w:w="1814"/>
            <w:vAlign w:val="top"/>
            <w:tcMar>
              <w:top w:w="70" w:type="dxa"/>
              <w:start w:w="80" w:type="dxa"/>
              <w:bottom w:w="70" w:type="dxa"/>
              <w:end w:w="80" w:type="dxa"/>
            </w:tcMar>
          </w:tcPr>
          <w:p>
            <w:pPr>
              <w:spacing w:after="30" w:before="0" w:line="240" w:lineRule="auto"/>
            </w:pPr>
            <w:r>
              <w:rPr>
                <w:sz w:val="15"/>
              </w:rPr>
              <w:t>Modeling notation</w:t>
            </w:r>
          </w:p>
        </w:tc>
        <w:tc>
          <w:tcPr>
            <w:tcW w:type="dxa" w:w="3061"/>
            <w:vAlign w:val="top"/>
            <w:tcMar>
              <w:top w:w="70" w:type="dxa"/>
              <w:start w:w="80" w:type="dxa"/>
              <w:bottom w:w="70" w:type="dxa"/>
              <w:end w:w="80" w:type="dxa"/>
            </w:tcMar>
          </w:tcPr>
          <w:p>
            <w:pPr>
              <w:spacing w:after="30" w:before="0" w:line="240" w:lineRule="auto"/>
            </w:pPr>
            <w:r>
              <w:rPr>
                <w:sz w:val="15"/>
              </w:rPr>
              <w:t>Conceptual diagrams only.</w:t>
            </w:r>
          </w:p>
        </w:tc>
        <w:tc>
          <w:tcPr>
            <w:tcW w:type="dxa" w:w="2268"/>
            <w:vAlign w:val="top"/>
            <w:tcMar>
              <w:top w:w="70" w:type="dxa"/>
              <w:start w:w="80" w:type="dxa"/>
              <w:bottom w:w="70" w:type="dxa"/>
              <w:end w:w="80" w:type="dxa"/>
            </w:tcMar>
          </w:tcPr>
          <w:p>
            <w:pPr>
              <w:spacing w:after="30" w:before="0" w:line="240" w:lineRule="auto"/>
            </w:pPr>
            <w:r>
              <w:rPr>
                <w:sz w:val="15"/>
              </w:rPr>
              <w:t>Not ontology reuse.</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Q-learning / ANN / KGE / federated learning</w:t>
            </w:r>
          </w:p>
        </w:tc>
        <w:tc>
          <w:tcPr>
            <w:tcW w:type="dxa" w:w="1814"/>
            <w:vAlign w:val="top"/>
            <w:tcMar>
              <w:top w:w="70" w:type="dxa"/>
              <w:start w:w="80" w:type="dxa"/>
              <w:bottom w:w="70" w:type="dxa"/>
              <w:end w:w="80" w:type="dxa"/>
            </w:tcMar>
          </w:tcPr>
          <w:p>
            <w:pPr>
              <w:spacing w:after="30" w:before="0" w:line="240" w:lineRule="auto"/>
            </w:pPr>
            <w:r>
              <w:rPr>
                <w:sz w:val="15"/>
              </w:rPr>
              <w:t>Computational methods</w:t>
            </w:r>
          </w:p>
        </w:tc>
        <w:tc>
          <w:tcPr>
            <w:tcW w:type="dxa" w:w="3061"/>
            <w:vAlign w:val="top"/>
            <w:tcMar>
              <w:top w:w="70" w:type="dxa"/>
              <w:start w:w="80" w:type="dxa"/>
              <w:bottom w:w="70" w:type="dxa"/>
              <w:end w:w="80" w:type="dxa"/>
            </w:tcMar>
          </w:tcPr>
          <w:p>
            <w:pPr>
              <w:spacing w:after="30" w:before="0" w:line="240" w:lineRule="auto"/>
            </w:pPr>
            <w:r>
              <w:rPr>
                <w:sz w:val="15"/>
              </w:rPr>
              <w:t>May produce or update evidence, trust, reputation, or adaptation results.</w:t>
            </w:r>
          </w:p>
        </w:tc>
        <w:tc>
          <w:tcPr>
            <w:tcW w:type="dxa" w:w="2268"/>
            <w:vAlign w:val="top"/>
            <w:tcMar>
              <w:top w:w="70" w:type="dxa"/>
              <w:start w:w="80" w:type="dxa"/>
              <w:bottom w:w="70" w:type="dxa"/>
              <w:end w:w="80" w:type="dxa"/>
            </w:tcMar>
          </w:tcPr>
          <w:p>
            <w:pPr>
              <w:spacing w:after="30" w:before="0" w:line="240" w:lineRule="auto"/>
            </w:pPr>
            <w:r>
              <w:rPr>
                <w:sz w:val="15"/>
              </w:rPr>
              <w:t>Represent method metadata; do not execute in OWL.</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Blockchain / DAG / IOTA / AES</w:t>
            </w:r>
          </w:p>
        </w:tc>
        <w:tc>
          <w:tcPr>
            <w:tcW w:type="dxa" w:w="1814"/>
            <w:vAlign w:val="top"/>
            <w:tcMar>
              <w:top w:w="70" w:type="dxa"/>
              <w:start w:w="80" w:type="dxa"/>
              <w:bottom w:w="70" w:type="dxa"/>
              <w:end w:w="80" w:type="dxa"/>
            </w:tcMar>
          </w:tcPr>
          <w:p>
            <w:pPr>
              <w:spacing w:after="30" w:before="0" w:line="240" w:lineRule="auto"/>
            </w:pPr>
            <w:r>
              <w:rPr>
                <w:sz w:val="15"/>
              </w:rPr>
              <w:t>Implementation/security technologies</w:t>
            </w:r>
          </w:p>
        </w:tc>
        <w:tc>
          <w:tcPr>
            <w:tcW w:type="dxa" w:w="3061"/>
            <w:vAlign w:val="top"/>
            <w:tcMar>
              <w:top w:w="70" w:type="dxa"/>
              <w:start w:w="80" w:type="dxa"/>
              <w:bottom w:w="70" w:type="dxa"/>
              <w:end w:w="80" w:type="dxa"/>
            </w:tcMar>
          </w:tcPr>
          <w:p>
            <w:pPr>
              <w:spacing w:after="30" w:before="0" w:line="240" w:lineRule="auto"/>
            </w:pPr>
            <w:r>
              <w:rPr>
                <w:sz w:val="15"/>
              </w:rPr>
              <w:t>May be described as mechanisms/technologies used in a scenario.</w:t>
            </w:r>
          </w:p>
        </w:tc>
        <w:tc>
          <w:tcPr>
            <w:tcW w:type="dxa" w:w="2268"/>
            <w:vAlign w:val="top"/>
            <w:tcMar>
              <w:top w:w="70" w:type="dxa"/>
              <w:start w:w="80" w:type="dxa"/>
              <w:bottom w:w="70" w:type="dxa"/>
              <w:end w:w="80" w:type="dxa"/>
            </w:tcMar>
          </w:tcPr>
          <w:p>
            <w:pPr>
              <w:spacing w:after="30" w:before="0" w:line="240" w:lineRule="auto"/>
            </w:pPr>
            <w:r>
              <w:rPr>
                <w:sz w:val="15"/>
              </w:rPr>
              <w:t>Represent metadata/evidence; not imported ontologies.</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NS-3 / OMNeT++ / Cooja / SWIM / iFogSim</w:t>
            </w:r>
          </w:p>
        </w:tc>
        <w:tc>
          <w:tcPr>
            <w:tcW w:type="dxa" w:w="1814"/>
            <w:vAlign w:val="top"/>
            <w:tcMar>
              <w:top w:w="70" w:type="dxa"/>
              <w:start w:w="80" w:type="dxa"/>
              <w:bottom w:w="70" w:type="dxa"/>
              <w:end w:w="80" w:type="dxa"/>
            </w:tcMar>
          </w:tcPr>
          <w:p>
            <w:pPr>
              <w:spacing w:after="30" w:before="0" w:line="240" w:lineRule="auto"/>
            </w:pPr>
            <w:r>
              <w:rPr>
                <w:sz w:val="15"/>
              </w:rPr>
              <w:t>Simulation environments</w:t>
            </w:r>
          </w:p>
        </w:tc>
        <w:tc>
          <w:tcPr>
            <w:tcW w:type="dxa" w:w="3061"/>
            <w:vAlign w:val="top"/>
            <w:tcMar>
              <w:top w:w="70" w:type="dxa"/>
              <w:start w:w="80" w:type="dxa"/>
              <w:bottom w:w="70" w:type="dxa"/>
              <w:end w:w="80" w:type="dxa"/>
            </w:tcMar>
          </w:tcPr>
          <w:p>
            <w:pPr>
              <w:spacing w:after="30" w:before="0" w:line="240" w:lineRule="auto"/>
            </w:pPr>
            <w:r>
              <w:rPr>
                <w:sz w:val="15"/>
              </w:rPr>
              <w:t>Possible evaluation/simulation provenance.</w:t>
            </w:r>
          </w:p>
        </w:tc>
        <w:tc>
          <w:tcPr>
            <w:tcW w:type="dxa" w:w="2268"/>
            <w:vAlign w:val="top"/>
            <w:tcMar>
              <w:top w:w="70" w:type="dxa"/>
              <w:start w:w="80" w:type="dxa"/>
              <w:bottom w:w="70" w:type="dxa"/>
              <w:end w:w="80" w:type="dxa"/>
            </w:tcMar>
          </w:tcPr>
          <w:p>
            <w:pPr>
              <w:spacing w:after="30" w:before="0" w:line="240" w:lineRule="auto"/>
            </w:pPr>
            <w:r>
              <w:rPr>
                <w:sz w:val="15"/>
              </w:rPr>
              <w:t>Represent as tools/agents when used; not ontology reuse.</w:t>
            </w:r>
          </w:p>
        </w:tc>
      </w:tr>
    </w:tbl>
    <w:p>
      <w:pPr>
        <w:widowControl/>
      </w:pPr>
    </w:p>
    <w:p>
      <w:pPr>
        <w:pStyle w:val="Heading1"/>
        <w:keepNext/>
        <w:widowControl/>
      </w:pPr>
      <w:r>
        <w:t>11. Reusable-Term Mapping Catalogue for Step 3</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2381"/>
            <w:vAlign w:val="top"/>
            <w:tcMar>
              <w:top w:w="70" w:type="dxa"/>
              <w:start w:w="80" w:type="dxa"/>
              <w:bottom w:w="70" w:type="dxa"/>
              <w:end w:w="80" w:type="dxa"/>
            </w:tcMar>
            <w:shd w:fill="D9EAF7"/>
          </w:tcPr>
          <w:p>
            <w:pPr>
              <w:spacing w:after="30" w:before="0" w:line="240" w:lineRule="auto"/>
            </w:pPr>
            <w:r>
              <w:rPr>
                <w:b/>
                <w:sz w:val="15"/>
              </w:rPr>
              <w:t>SIoTSecurity concept</w:t>
            </w:r>
          </w:p>
        </w:tc>
        <w:tc>
          <w:tcPr>
            <w:tcW w:type="dxa" w:w="3628"/>
            <w:vAlign w:val="top"/>
            <w:tcMar>
              <w:top w:w="70" w:type="dxa"/>
              <w:start w:w="80" w:type="dxa"/>
              <w:bottom w:w="70" w:type="dxa"/>
              <w:end w:w="80" w:type="dxa"/>
            </w:tcMar>
            <w:shd w:fill="D9EAF7"/>
          </w:tcPr>
          <w:p>
            <w:pPr>
              <w:spacing w:after="30" w:before="0" w:line="240" w:lineRule="auto"/>
            </w:pPr>
            <w:r>
              <w:rPr>
                <w:b/>
                <w:sz w:val="15"/>
              </w:rPr>
              <w:t>External basis</w:t>
            </w:r>
          </w:p>
        </w:tc>
        <w:tc>
          <w:tcPr>
            <w:tcW w:type="dxa" w:w="2324"/>
            <w:vAlign w:val="top"/>
            <w:tcMar>
              <w:top w:w="70" w:type="dxa"/>
              <w:start w:w="80" w:type="dxa"/>
              <w:bottom w:w="70" w:type="dxa"/>
              <w:end w:w="80" w:type="dxa"/>
            </w:tcMar>
            <w:shd w:fill="D9EAF7"/>
          </w:tcPr>
          <w:p>
            <w:pPr>
              <w:spacing w:after="30" w:before="0" w:line="240" w:lineRule="auto"/>
            </w:pPr>
            <w:r>
              <w:rPr>
                <w:b/>
                <w:sz w:val="15"/>
              </w:rPr>
              <w:t>Decision</w:t>
            </w:r>
          </w:p>
        </w:tc>
        <w:tc>
          <w:tcPr>
            <w:tcW w:type="dxa" w:w="1247"/>
            <w:vAlign w:val="top"/>
            <w:tcMar>
              <w:top w:w="70" w:type="dxa"/>
              <w:start w:w="80" w:type="dxa"/>
              <w:bottom w:w="70" w:type="dxa"/>
              <w:end w:w="80" w:type="dxa"/>
            </w:tcMar>
            <w:shd w:fill="D9EAF7"/>
          </w:tcPr>
          <w:p>
            <w:pPr>
              <w:spacing w:after="30" w:before="0" w:line="240" w:lineRule="auto"/>
            </w:pPr>
            <w:r>
              <w:rPr>
                <w:b/>
                <w:sz w:val="15"/>
              </w:rPr>
              <w:t>CQs</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SmartObject</w:t>
            </w:r>
          </w:p>
        </w:tc>
        <w:tc>
          <w:tcPr>
            <w:tcW w:type="dxa" w:w="3628"/>
            <w:vAlign w:val="top"/>
            <w:tcMar>
              <w:top w:w="70" w:type="dxa"/>
              <w:start w:w="80" w:type="dxa"/>
              <w:bottom w:w="70" w:type="dxa"/>
              <w:end w:w="80" w:type="dxa"/>
            </w:tcMar>
          </w:tcPr>
          <w:p>
            <w:pPr>
              <w:spacing w:after="30" w:before="0" w:line="240" w:lineRule="auto"/>
            </w:pPr>
            <w:r>
              <w:rPr>
                <w:sz w:val="15"/>
              </w:rPr>
              <w:t>SAREF Core Device; SOSA/SSN System patterns</w:t>
            </w:r>
          </w:p>
        </w:tc>
        <w:tc>
          <w:tcPr>
            <w:tcW w:type="dxa" w:w="2324"/>
            <w:vAlign w:val="top"/>
            <w:tcMar>
              <w:top w:w="70" w:type="dxa"/>
              <w:start w:w="80" w:type="dxa"/>
              <w:bottom w:w="70" w:type="dxa"/>
              <w:end w:w="80" w:type="dxa"/>
            </w:tcMar>
          </w:tcPr>
          <w:p>
            <w:pPr>
              <w:spacing w:after="30" w:before="0" w:line="240" w:lineRule="auto"/>
            </w:pPr>
            <w:r>
              <w:rPr>
                <w:sz w:val="15"/>
              </w:rPr>
              <w:t>Local specialization/alignment</w:t>
            </w:r>
          </w:p>
        </w:tc>
        <w:tc>
          <w:tcPr>
            <w:tcW w:type="dxa" w:w="1247"/>
            <w:vAlign w:val="top"/>
            <w:tcMar>
              <w:top w:w="70" w:type="dxa"/>
              <w:start w:w="80" w:type="dxa"/>
              <w:bottom w:w="70" w:type="dxa"/>
              <w:end w:w="80" w:type="dxa"/>
            </w:tcMar>
          </w:tcPr>
          <w:p>
            <w:pPr>
              <w:spacing w:after="30" w:before="0" w:line="240" w:lineRule="auto"/>
            </w:pPr>
            <w:r>
              <w:rPr>
                <w:sz w:val="15"/>
              </w:rPr>
              <w:t>CQ01-04, CQ11</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SIoTService</w:t>
            </w:r>
          </w:p>
        </w:tc>
        <w:tc>
          <w:tcPr>
            <w:tcW w:type="dxa" w:w="3628"/>
            <w:vAlign w:val="top"/>
            <w:tcMar>
              <w:top w:w="70" w:type="dxa"/>
              <w:start w:w="80" w:type="dxa"/>
              <w:bottom w:w="70" w:type="dxa"/>
              <w:end w:w="80" w:type="dxa"/>
            </w:tcMar>
          </w:tcPr>
          <w:p>
            <w:pPr>
              <w:spacing w:after="30" w:before="0" w:line="240" w:lineRule="auto"/>
            </w:pPr>
            <w:r>
              <w:rPr>
                <w:sz w:val="15"/>
              </w:rPr>
              <w:t>SAREF Core Service</w:t>
            </w:r>
          </w:p>
        </w:tc>
        <w:tc>
          <w:tcPr>
            <w:tcW w:type="dxa" w:w="2324"/>
            <w:vAlign w:val="top"/>
            <w:tcMar>
              <w:top w:w="70" w:type="dxa"/>
              <w:start w:w="80" w:type="dxa"/>
              <w:bottom w:w="70" w:type="dxa"/>
              <w:end w:w="80" w:type="dxa"/>
            </w:tcMar>
          </w:tcPr>
          <w:p>
            <w:pPr>
              <w:spacing w:after="30" w:before="0" w:line="240" w:lineRule="auto"/>
            </w:pPr>
            <w:r>
              <w:rPr>
                <w:sz w:val="15"/>
              </w:rPr>
              <w:t>Direct reuse or local specialization</w:t>
            </w:r>
          </w:p>
        </w:tc>
        <w:tc>
          <w:tcPr>
            <w:tcW w:type="dxa" w:w="1247"/>
            <w:vAlign w:val="top"/>
            <w:tcMar>
              <w:top w:w="70" w:type="dxa"/>
              <w:start w:w="80" w:type="dxa"/>
              <w:bottom w:w="70" w:type="dxa"/>
              <w:end w:w="80" w:type="dxa"/>
            </w:tcMar>
          </w:tcPr>
          <w:p>
            <w:pPr>
              <w:spacing w:after="30" w:before="0" w:line="240" w:lineRule="auto"/>
            </w:pPr>
            <w:r>
              <w:rPr>
                <w:sz w:val="15"/>
              </w:rPr>
              <w:t>CQ02, CQ05, CQ11-12, CQ16</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Observation / ContextObservation</w:t>
            </w:r>
          </w:p>
        </w:tc>
        <w:tc>
          <w:tcPr>
            <w:tcW w:type="dxa" w:w="3628"/>
            <w:vAlign w:val="top"/>
            <w:tcMar>
              <w:top w:w="70" w:type="dxa"/>
              <w:start w:w="80" w:type="dxa"/>
              <w:bottom w:w="70" w:type="dxa"/>
              <w:end w:w="80" w:type="dxa"/>
            </w:tcMar>
          </w:tcPr>
          <w:p>
            <w:pPr>
              <w:spacing w:after="30" w:before="0" w:line="240" w:lineRule="auto"/>
            </w:pPr>
            <w:r>
              <w:rPr>
                <w:sz w:val="15"/>
              </w:rPr>
              <w:t>SOSA Observation</w:t>
            </w:r>
          </w:p>
        </w:tc>
        <w:tc>
          <w:tcPr>
            <w:tcW w:type="dxa" w:w="2324"/>
            <w:vAlign w:val="top"/>
            <w:tcMar>
              <w:top w:w="70" w:type="dxa"/>
              <w:start w:w="80" w:type="dxa"/>
              <w:bottom w:w="70" w:type="dxa"/>
              <w:end w:w="80" w:type="dxa"/>
            </w:tcMar>
          </w:tcPr>
          <w:p>
            <w:pPr>
              <w:spacing w:after="30" w:before="0" w:line="240" w:lineRule="auto"/>
            </w:pPr>
            <w:r>
              <w:rPr>
                <w:sz w:val="15"/>
              </w:rPr>
              <w:t>Direct reuse/local specialization</w:t>
            </w:r>
          </w:p>
        </w:tc>
        <w:tc>
          <w:tcPr>
            <w:tcW w:type="dxa" w:w="1247"/>
            <w:vAlign w:val="top"/>
            <w:tcMar>
              <w:top w:w="70" w:type="dxa"/>
              <w:start w:w="80" w:type="dxa"/>
              <w:bottom w:w="70" w:type="dxa"/>
              <w:end w:w="80" w:type="dxa"/>
            </w:tcMar>
          </w:tcPr>
          <w:p>
            <w:pPr>
              <w:spacing w:after="30" w:before="0" w:line="240" w:lineRule="auto"/>
            </w:pPr>
            <w:r>
              <w:rPr>
                <w:sz w:val="15"/>
              </w:rPr>
              <w:t>CQ04, CQ06, CQ09, CQ14-18, CQ24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Sensor / Actuator</w:t>
            </w:r>
          </w:p>
        </w:tc>
        <w:tc>
          <w:tcPr>
            <w:tcW w:type="dxa" w:w="3628"/>
            <w:vAlign w:val="top"/>
            <w:tcMar>
              <w:top w:w="70" w:type="dxa"/>
              <w:start w:w="80" w:type="dxa"/>
              <w:bottom w:w="70" w:type="dxa"/>
              <w:end w:w="80" w:type="dxa"/>
            </w:tcMar>
          </w:tcPr>
          <w:p>
            <w:pPr>
              <w:spacing w:after="30" w:before="0" w:line="240" w:lineRule="auto"/>
            </w:pPr>
            <w:r>
              <w:rPr>
                <w:sz w:val="15"/>
              </w:rPr>
              <w:t>SOSA Sensor / Actuator</w:t>
            </w:r>
          </w:p>
        </w:tc>
        <w:tc>
          <w:tcPr>
            <w:tcW w:type="dxa" w:w="2324"/>
            <w:vAlign w:val="top"/>
            <w:tcMar>
              <w:top w:w="70" w:type="dxa"/>
              <w:start w:w="80" w:type="dxa"/>
              <w:bottom w:w="70" w:type="dxa"/>
              <w:end w:w="80" w:type="dxa"/>
            </w:tcMar>
          </w:tcPr>
          <w:p>
            <w:pPr>
              <w:spacing w:after="30" w:before="0" w:line="240" w:lineRule="auto"/>
            </w:pPr>
            <w:r>
              <w:rPr>
                <w:sz w:val="15"/>
              </w:rPr>
              <w:t>Direct/selective reuse</w:t>
            </w:r>
          </w:p>
        </w:tc>
        <w:tc>
          <w:tcPr>
            <w:tcW w:type="dxa" w:w="1247"/>
            <w:vAlign w:val="top"/>
            <w:tcMar>
              <w:top w:w="70" w:type="dxa"/>
              <w:start w:w="80" w:type="dxa"/>
              <w:bottom w:w="70" w:type="dxa"/>
              <w:end w:w="80" w:type="dxa"/>
            </w:tcMar>
          </w:tcPr>
          <w:p>
            <w:pPr>
              <w:spacing w:after="30" w:before="0" w:line="240" w:lineRule="auto"/>
            </w:pPr>
            <w:r>
              <w:rPr>
                <w:sz w:val="15"/>
              </w:rPr>
              <w:t>CQ01, CQ13-16</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FeatureOfInterest</w:t>
            </w:r>
          </w:p>
        </w:tc>
        <w:tc>
          <w:tcPr>
            <w:tcW w:type="dxa" w:w="3628"/>
            <w:vAlign w:val="top"/>
            <w:tcMar>
              <w:top w:w="70" w:type="dxa"/>
              <w:start w:w="80" w:type="dxa"/>
              <w:bottom w:w="70" w:type="dxa"/>
              <w:end w:w="80" w:type="dxa"/>
            </w:tcMar>
          </w:tcPr>
          <w:p>
            <w:pPr>
              <w:spacing w:after="30" w:before="0" w:line="240" w:lineRule="auto"/>
            </w:pPr>
            <w:r>
              <w:rPr>
                <w:sz w:val="15"/>
              </w:rPr>
              <w:t>SOSA FeatureOfInterest</w:t>
            </w:r>
          </w:p>
        </w:tc>
        <w:tc>
          <w:tcPr>
            <w:tcW w:type="dxa" w:w="2324"/>
            <w:vAlign w:val="top"/>
            <w:tcMar>
              <w:top w:w="70" w:type="dxa"/>
              <w:start w:w="80" w:type="dxa"/>
              <w:bottom w:w="70" w:type="dxa"/>
              <w:end w:w="80" w:type="dxa"/>
            </w:tcMar>
          </w:tcPr>
          <w:p>
            <w:pPr>
              <w:spacing w:after="30" w:before="0" w:line="240" w:lineRule="auto"/>
            </w:pPr>
            <w:r>
              <w:rPr>
                <w:sz w:val="15"/>
              </w:rPr>
              <w:t>Direct reuse where exact</w:t>
            </w:r>
          </w:p>
        </w:tc>
        <w:tc>
          <w:tcPr>
            <w:tcW w:type="dxa" w:w="1247"/>
            <w:vAlign w:val="top"/>
            <w:tcMar>
              <w:top w:w="70" w:type="dxa"/>
              <w:start w:w="80" w:type="dxa"/>
              <w:bottom w:w="70" w:type="dxa"/>
              <w:end w:w="80" w:type="dxa"/>
            </w:tcMar>
          </w:tcPr>
          <w:p>
            <w:pPr>
              <w:spacing w:after="30" w:before="0" w:line="240" w:lineRule="auto"/>
            </w:pPr>
            <w:r>
              <w:rPr>
                <w:sz w:val="15"/>
              </w:rPr>
              <w:t>CQ04, CQ19</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InteractionContext</w:t>
            </w:r>
          </w:p>
        </w:tc>
        <w:tc>
          <w:tcPr>
            <w:tcW w:type="dxa" w:w="3628"/>
            <w:vAlign w:val="top"/>
            <w:tcMar>
              <w:top w:w="70" w:type="dxa"/>
              <w:start w:w="80" w:type="dxa"/>
              <w:bottom w:w="70" w:type="dxa"/>
              <w:end w:w="80" w:type="dxa"/>
            </w:tcMar>
          </w:tcPr>
          <w:p>
            <w:pPr>
              <w:spacing w:after="30" w:before="0" w:line="240" w:lineRule="auto"/>
            </w:pPr>
            <w:r>
              <w:rPr>
                <w:sz w:val="15"/>
              </w:rPr>
              <w:t>TRESIOT TransactionContext + local extensions</w:t>
            </w:r>
          </w:p>
        </w:tc>
        <w:tc>
          <w:tcPr>
            <w:tcW w:type="dxa" w:w="2324"/>
            <w:vAlign w:val="top"/>
            <w:tcMar>
              <w:top w:w="70" w:type="dxa"/>
              <w:start w:w="80" w:type="dxa"/>
              <w:bottom w:w="70" w:type="dxa"/>
              <w:end w:w="80" w:type="dxa"/>
            </w:tcMar>
          </w:tcPr>
          <w:p>
            <w:pPr>
              <w:spacing w:after="30" w:before="0" w:line="240" w:lineRule="auto"/>
            </w:pPr>
            <w:r>
              <w:rPr>
                <w:sz w:val="15"/>
              </w:rPr>
              <w:t>Local aligned concept</w:t>
            </w:r>
          </w:p>
        </w:tc>
        <w:tc>
          <w:tcPr>
            <w:tcW w:type="dxa" w:w="1247"/>
            <w:vAlign w:val="top"/>
            <w:tcMar>
              <w:top w:w="70" w:type="dxa"/>
              <w:start w:w="80" w:type="dxa"/>
              <w:bottom w:w="70" w:type="dxa"/>
              <w:end w:w="80" w:type="dxa"/>
            </w:tcMar>
          </w:tcPr>
          <w:p>
            <w:pPr>
              <w:spacing w:after="30" w:before="0" w:line="240" w:lineRule="auto"/>
            </w:pPr>
            <w:r>
              <w:rPr>
                <w:sz w:val="15"/>
              </w:rPr>
              <w:t>CQ03-05, CQ22-24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TrustEvaluatorRole / EvaluatedEntityRole</w:t>
            </w:r>
          </w:p>
        </w:tc>
        <w:tc>
          <w:tcPr>
            <w:tcW w:type="dxa" w:w="3628"/>
            <w:vAlign w:val="top"/>
            <w:tcMar>
              <w:top w:w="70" w:type="dxa"/>
              <w:start w:w="80" w:type="dxa"/>
              <w:bottom w:w="70" w:type="dxa"/>
              <w:end w:w="80" w:type="dxa"/>
            </w:tcMar>
          </w:tcPr>
          <w:p>
            <w:pPr>
              <w:spacing w:after="30" w:before="0" w:line="240" w:lineRule="auto"/>
            </w:pPr>
            <w:r>
              <w:rPr>
                <w:sz w:val="15"/>
              </w:rPr>
              <w:t>TRESIOT Trustor / Trustee</w:t>
            </w:r>
          </w:p>
        </w:tc>
        <w:tc>
          <w:tcPr>
            <w:tcW w:type="dxa" w:w="2324"/>
            <w:vAlign w:val="top"/>
            <w:tcMar>
              <w:top w:w="70" w:type="dxa"/>
              <w:start w:w="80" w:type="dxa"/>
              <w:bottom w:w="70" w:type="dxa"/>
              <w:end w:w="80" w:type="dxa"/>
            </w:tcMar>
          </w:tcPr>
          <w:p>
            <w:pPr>
              <w:spacing w:after="30" w:before="0" w:line="240" w:lineRule="auto"/>
            </w:pPr>
            <w:r>
              <w:rPr>
                <w:sz w:val="15"/>
              </w:rPr>
              <w:t>Local role alignment</w:t>
            </w:r>
          </w:p>
        </w:tc>
        <w:tc>
          <w:tcPr>
            <w:tcW w:type="dxa" w:w="1247"/>
            <w:vAlign w:val="top"/>
            <w:tcMar>
              <w:top w:w="70" w:type="dxa"/>
              <w:start w:w="80" w:type="dxa"/>
              <w:bottom w:w="70" w:type="dxa"/>
              <w:end w:w="80" w:type="dxa"/>
            </w:tcMar>
          </w:tcPr>
          <w:p>
            <w:pPr>
              <w:spacing w:after="30" w:before="0" w:line="240" w:lineRule="auto"/>
            </w:pPr>
            <w:r>
              <w:rPr>
                <w:sz w:val="15"/>
              </w:rPr>
              <w:t>CQ05-09</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RecommendationEvidence</w:t>
            </w:r>
          </w:p>
        </w:tc>
        <w:tc>
          <w:tcPr>
            <w:tcW w:type="dxa" w:w="3628"/>
            <w:vAlign w:val="top"/>
            <w:tcMar>
              <w:top w:w="70" w:type="dxa"/>
              <w:start w:w="80" w:type="dxa"/>
              <w:bottom w:w="70" w:type="dxa"/>
              <w:end w:w="80" w:type="dxa"/>
            </w:tcMar>
          </w:tcPr>
          <w:p>
            <w:pPr>
              <w:spacing w:after="30" w:before="0" w:line="240" w:lineRule="auto"/>
            </w:pPr>
            <w:r>
              <w:rPr>
                <w:sz w:val="15"/>
              </w:rPr>
              <w:t>TRESIOT TrustRecommendation</w:t>
            </w:r>
          </w:p>
        </w:tc>
        <w:tc>
          <w:tcPr>
            <w:tcW w:type="dxa" w:w="2324"/>
            <w:vAlign w:val="top"/>
            <w:tcMar>
              <w:top w:w="70" w:type="dxa"/>
              <w:start w:w="80" w:type="dxa"/>
              <w:bottom w:w="70" w:type="dxa"/>
              <w:end w:w="80" w:type="dxa"/>
            </w:tcMar>
          </w:tcPr>
          <w:p>
            <w:pPr>
              <w:spacing w:after="30" w:before="0" w:line="240" w:lineRule="auto"/>
            </w:pPr>
            <w:r>
              <w:rPr>
                <w:sz w:val="15"/>
              </w:rPr>
              <w:t>Local specialization/alignment</w:t>
            </w:r>
          </w:p>
        </w:tc>
        <w:tc>
          <w:tcPr>
            <w:tcW w:type="dxa" w:w="1247"/>
            <w:vAlign w:val="top"/>
            <w:tcMar>
              <w:top w:w="70" w:type="dxa"/>
              <w:start w:w="80" w:type="dxa"/>
              <w:bottom w:w="70" w:type="dxa"/>
              <w:end w:w="80" w:type="dxa"/>
            </w:tcMar>
          </w:tcPr>
          <w:p>
            <w:pPr>
              <w:spacing w:after="30" w:before="0" w:line="240" w:lineRule="auto"/>
            </w:pPr>
            <w:r>
              <w:rPr>
                <w:sz w:val="15"/>
              </w:rPr>
              <w:t>CQ07-09, CQ22, CQ24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TrustIndicator</w:t>
            </w:r>
          </w:p>
        </w:tc>
        <w:tc>
          <w:tcPr>
            <w:tcW w:type="dxa" w:w="3628"/>
            <w:vAlign w:val="top"/>
            <w:tcMar>
              <w:top w:w="70" w:type="dxa"/>
              <w:start w:w="80" w:type="dxa"/>
              <w:bottom w:w="70" w:type="dxa"/>
              <w:end w:w="80" w:type="dxa"/>
            </w:tcMar>
          </w:tcPr>
          <w:p>
            <w:pPr>
              <w:spacing w:after="30" w:before="0" w:line="240" w:lineRule="auto"/>
            </w:pPr>
            <w:r>
              <w:rPr>
                <w:sz w:val="15"/>
              </w:rPr>
              <w:t>SAREF-TA TrustIndicator</w:t>
            </w:r>
          </w:p>
        </w:tc>
        <w:tc>
          <w:tcPr>
            <w:tcW w:type="dxa" w:w="2324"/>
            <w:vAlign w:val="top"/>
            <w:tcMar>
              <w:top w:w="70" w:type="dxa"/>
              <w:start w:w="80" w:type="dxa"/>
              <w:bottom w:w="70" w:type="dxa"/>
              <w:end w:w="80" w:type="dxa"/>
            </w:tcMar>
          </w:tcPr>
          <w:p>
            <w:pPr>
              <w:spacing w:after="30" w:before="0" w:line="240" w:lineRule="auto"/>
            </w:pPr>
            <w:r>
              <w:rPr>
                <w:sz w:val="15"/>
              </w:rPr>
              <w:t>Selective reuse/alignment</w:t>
            </w:r>
          </w:p>
        </w:tc>
        <w:tc>
          <w:tcPr>
            <w:tcW w:type="dxa" w:w="1247"/>
            <w:vAlign w:val="top"/>
            <w:tcMar>
              <w:top w:w="70" w:type="dxa"/>
              <w:start w:w="80" w:type="dxa"/>
              <w:bottom w:w="70" w:type="dxa"/>
              <w:end w:w="80" w:type="dxa"/>
            </w:tcMar>
          </w:tcPr>
          <w:p>
            <w:pPr>
              <w:spacing w:after="30" w:before="0" w:line="240" w:lineRule="auto"/>
            </w:pPr>
            <w:r>
              <w:rPr>
                <w:sz w:val="15"/>
              </w:rPr>
              <w:t>CQ05, CQ19, CQ22, CQ24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DirectTrustAssessment</w:t>
            </w:r>
          </w:p>
        </w:tc>
        <w:tc>
          <w:tcPr>
            <w:tcW w:type="dxa" w:w="3628"/>
            <w:vAlign w:val="top"/>
            <w:tcMar>
              <w:top w:w="70" w:type="dxa"/>
              <w:start w:w="80" w:type="dxa"/>
              <w:bottom w:w="70" w:type="dxa"/>
              <w:end w:w="80" w:type="dxa"/>
            </w:tcMar>
          </w:tcPr>
          <w:p>
            <w:pPr>
              <w:spacing w:after="30" w:before="0" w:line="240" w:lineRule="auto"/>
            </w:pPr>
            <w:r>
              <w:rPr>
                <w:sz w:val="15"/>
              </w:rPr>
              <w:t>TRESIOT TrustEvaluation + literature</w:t>
            </w:r>
          </w:p>
        </w:tc>
        <w:tc>
          <w:tcPr>
            <w:tcW w:type="dxa" w:w="2324"/>
            <w:vAlign w:val="top"/>
            <w:tcMar>
              <w:top w:w="70" w:type="dxa"/>
              <w:start w:w="80" w:type="dxa"/>
              <w:bottom w:w="70" w:type="dxa"/>
              <w:end w:w="80" w:type="dxa"/>
            </w:tcMar>
          </w:tcPr>
          <w:p>
            <w:pPr>
              <w:spacing w:after="30" w:before="0" w:line="240" w:lineRule="auto"/>
            </w:pPr>
            <w:r>
              <w:rPr>
                <w:sz w:val="15"/>
              </w:rPr>
              <w:t>Local concept</w:t>
            </w:r>
          </w:p>
        </w:tc>
        <w:tc>
          <w:tcPr>
            <w:tcW w:type="dxa" w:w="1247"/>
            <w:vAlign w:val="top"/>
            <w:tcMar>
              <w:top w:w="70" w:type="dxa"/>
              <w:start w:w="80" w:type="dxa"/>
              <w:bottom w:w="70" w:type="dxa"/>
              <w:end w:w="80" w:type="dxa"/>
            </w:tcMar>
          </w:tcPr>
          <w:p>
            <w:pPr>
              <w:spacing w:after="30" w:before="0" w:line="240" w:lineRule="auto"/>
            </w:pPr>
            <w:r>
              <w:rPr>
                <w:sz w:val="15"/>
              </w:rPr>
              <w:t>CQ05-06</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IndirectTrustAssessment</w:t>
            </w:r>
          </w:p>
        </w:tc>
        <w:tc>
          <w:tcPr>
            <w:tcW w:type="dxa" w:w="3628"/>
            <w:vAlign w:val="top"/>
            <w:tcMar>
              <w:top w:w="70" w:type="dxa"/>
              <w:start w:w="80" w:type="dxa"/>
              <w:bottom w:w="70" w:type="dxa"/>
              <w:end w:w="80" w:type="dxa"/>
            </w:tcMar>
          </w:tcPr>
          <w:p>
            <w:pPr>
              <w:spacing w:after="30" w:before="0" w:line="240" w:lineRule="auto"/>
            </w:pPr>
            <w:r>
              <w:rPr>
                <w:sz w:val="15"/>
              </w:rPr>
              <w:t>TRESIOT TrustInference + Kumari referred trust</w:t>
            </w:r>
          </w:p>
        </w:tc>
        <w:tc>
          <w:tcPr>
            <w:tcW w:type="dxa" w:w="2324"/>
            <w:vAlign w:val="top"/>
            <w:tcMar>
              <w:top w:w="70" w:type="dxa"/>
              <w:start w:w="80" w:type="dxa"/>
              <w:bottom w:w="70" w:type="dxa"/>
              <w:end w:w="80" w:type="dxa"/>
            </w:tcMar>
          </w:tcPr>
          <w:p>
            <w:pPr>
              <w:spacing w:after="30" w:before="0" w:line="240" w:lineRule="auto"/>
            </w:pPr>
            <w:r>
              <w:rPr>
                <w:sz w:val="15"/>
              </w:rPr>
              <w:t>Local concept</w:t>
            </w:r>
          </w:p>
        </w:tc>
        <w:tc>
          <w:tcPr>
            <w:tcW w:type="dxa" w:w="1247"/>
            <w:vAlign w:val="top"/>
            <w:tcMar>
              <w:top w:w="70" w:type="dxa"/>
              <w:start w:w="80" w:type="dxa"/>
              <w:bottom w:w="70" w:type="dxa"/>
              <w:end w:w="80" w:type="dxa"/>
            </w:tcMar>
          </w:tcPr>
          <w:p>
            <w:pPr>
              <w:spacing w:after="30" w:before="0" w:line="240" w:lineRule="auto"/>
            </w:pPr>
            <w:r>
              <w:rPr>
                <w:sz w:val="15"/>
              </w:rPr>
              <w:t>CQ05, CQ07-08</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ReputationAssessment</w:t>
            </w:r>
          </w:p>
        </w:tc>
        <w:tc>
          <w:tcPr>
            <w:tcW w:type="dxa" w:w="3628"/>
            <w:vAlign w:val="top"/>
            <w:tcMar>
              <w:top w:w="70" w:type="dxa"/>
              <w:start w:w="80" w:type="dxa"/>
              <w:bottom w:w="70" w:type="dxa"/>
              <w:end w:w="80" w:type="dxa"/>
            </w:tcMar>
          </w:tcPr>
          <w:p>
            <w:pPr>
              <w:spacing w:after="30" w:before="0" w:line="240" w:lineRule="auto"/>
            </w:pPr>
            <w:r>
              <w:rPr>
                <w:sz w:val="15"/>
              </w:rPr>
              <w:t>Literature/TRESIOT concepts</w:t>
            </w:r>
          </w:p>
        </w:tc>
        <w:tc>
          <w:tcPr>
            <w:tcW w:type="dxa" w:w="2324"/>
            <w:vAlign w:val="top"/>
            <w:tcMar>
              <w:top w:w="70" w:type="dxa"/>
              <w:start w:w="80" w:type="dxa"/>
              <w:bottom w:w="70" w:type="dxa"/>
              <w:end w:w="80" w:type="dxa"/>
            </w:tcMar>
          </w:tcPr>
          <w:p>
            <w:pPr>
              <w:spacing w:after="30" w:before="0" w:line="240" w:lineRule="auto"/>
            </w:pPr>
            <w:r>
              <w:rPr>
                <w:sz w:val="15"/>
              </w:rPr>
              <w:t>Local concept</w:t>
            </w:r>
          </w:p>
        </w:tc>
        <w:tc>
          <w:tcPr>
            <w:tcW w:type="dxa" w:w="1247"/>
            <w:vAlign w:val="top"/>
            <w:tcMar>
              <w:top w:w="70" w:type="dxa"/>
              <w:start w:w="80" w:type="dxa"/>
              <w:bottom w:w="70" w:type="dxa"/>
              <w:end w:w="80" w:type="dxa"/>
            </w:tcMar>
          </w:tcPr>
          <w:p>
            <w:pPr>
              <w:spacing w:after="30" w:before="0" w:line="240" w:lineRule="auto"/>
            </w:pPr>
            <w:r>
              <w:rPr>
                <w:sz w:val="15"/>
              </w:rPr>
              <w:t>CQ07-09</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RecommenderAssessment / BenevolenceScore</w:t>
            </w:r>
          </w:p>
        </w:tc>
        <w:tc>
          <w:tcPr>
            <w:tcW w:type="dxa" w:w="3628"/>
            <w:vAlign w:val="top"/>
            <w:tcMar>
              <w:top w:w="70" w:type="dxa"/>
              <w:start w:w="80" w:type="dxa"/>
              <w:bottom w:w="70" w:type="dxa"/>
              <w:end w:w="80" w:type="dxa"/>
            </w:tcMar>
          </w:tcPr>
          <w:p>
            <w:pPr>
              <w:spacing w:after="30" w:before="0" w:line="240" w:lineRule="auto"/>
            </w:pPr>
            <w:r>
              <w:rPr>
                <w:sz w:val="15"/>
              </w:rPr>
              <w:t>Kumari et al.</w:t>
            </w:r>
          </w:p>
        </w:tc>
        <w:tc>
          <w:tcPr>
            <w:tcW w:type="dxa" w:w="2324"/>
            <w:vAlign w:val="top"/>
            <w:tcMar>
              <w:top w:w="70" w:type="dxa"/>
              <w:start w:w="80" w:type="dxa"/>
              <w:bottom w:w="70" w:type="dxa"/>
              <w:end w:w="80" w:type="dxa"/>
            </w:tcMar>
          </w:tcPr>
          <w:p>
            <w:pPr>
              <w:spacing w:after="30" w:before="0" w:line="240" w:lineRule="auto"/>
            </w:pPr>
            <w:r>
              <w:rPr>
                <w:sz w:val="15"/>
              </w:rPr>
              <w:t>Local concept/metric</w:t>
            </w:r>
          </w:p>
        </w:tc>
        <w:tc>
          <w:tcPr>
            <w:tcW w:type="dxa" w:w="1247"/>
            <w:vAlign w:val="top"/>
            <w:tcMar>
              <w:top w:w="70" w:type="dxa"/>
              <w:start w:w="80" w:type="dxa"/>
              <w:bottom w:w="70" w:type="dxa"/>
              <w:end w:w="80" w:type="dxa"/>
            </w:tcMar>
          </w:tcPr>
          <w:p>
            <w:pPr>
              <w:spacing w:after="30" w:before="0" w:line="240" w:lineRule="auto"/>
            </w:pPr>
            <w:r>
              <w:rPr>
                <w:sz w:val="15"/>
              </w:rPr>
              <w:t>CQ08-09</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EvaluationTime / EvaluationPeriod</w:t>
            </w:r>
          </w:p>
        </w:tc>
        <w:tc>
          <w:tcPr>
            <w:tcW w:type="dxa" w:w="3628"/>
            <w:vAlign w:val="top"/>
            <w:tcMar>
              <w:top w:w="70" w:type="dxa"/>
              <w:start w:w="80" w:type="dxa"/>
              <w:bottom w:w="70" w:type="dxa"/>
              <w:end w:w="80" w:type="dxa"/>
            </w:tcMar>
          </w:tcPr>
          <w:p>
            <w:pPr>
              <w:spacing w:after="30" w:before="0" w:line="240" w:lineRule="auto"/>
            </w:pPr>
            <w:r>
              <w:rPr>
                <w:sz w:val="15"/>
              </w:rPr>
              <w:t>OWL-Time</w:t>
            </w:r>
          </w:p>
        </w:tc>
        <w:tc>
          <w:tcPr>
            <w:tcW w:type="dxa" w:w="2324"/>
            <w:vAlign w:val="top"/>
            <w:tcMar>
              <w:top w:w="70" w:type="dxa"/>
              <w:start w:w="80" w:type="dxa"/>
              <w:bottom w:w="70" w:type="dxa"/>
              <w:end w:w="80" w:type="dxa"/>
            </w:tcMar>
          </w:tcPr>
          <w:p>
            <w:pPr>
              <w:spacing w:after="30" w:before="0" w:line="240" w:lineRule="auto"/>
            </w:pPr>
            <w:r>
              <w:rPr>
                <w:sz w:val="15"/>
              </w:rPr>
              <w:t>Selective reuse/specialization</w:t>
            </w:r>
          </w:p>
        </w:tc>
        <w:tc>
          <w:tcPr>
            <w:tcW w:type="dxa" w:w="1247"/>
            <w:vAlign w:val="top"/>
            <w:tcMar>
              <w:top w:w="70" w:type="dxa"/>
              <w:start w:w="80" w:type="dxa"/>
              <w:bottom w:w="70" w:type="dxa"/>
              <w:end w:w="80" w:type="dxa"/>
            </w:tcMar>
          </w:tcPr>
          <w:p>
            <w:pPr>
              <w:spacing w:after="30" w:before="0" w:line="240" w:lineRule="auto"/>
            </w:pPr>
            <w:r>
              <w:rPr>
                <w:sz w:val="15"/>
              </w:rPr>
              <w:t>CQ04-05, CQ17, CQ23</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Evidence provenance</w:t>
            </w:r>
          </w:p>
        </w:tc>
        <w:tc>
          <w:tcPr>
            <w:tcW w:type="dxa" w:w="3628"/>
            <w:vAlign w:val="top"/>
            <w:tcMar>
              <w:top w:w="70" w:type="dxa"/>
              <w:start w:w="80" w:type="dxa"/>
              <w:bottom w:w="70" w:type="dxa"/>
              <w:end w:w="80" w:type="dxa"/>
            </w:tcMar>
          </w:tcPr>
          <w:p>
            <w:pPr>
              <w:spacing w:after="30" w:before="0" w:line="240" w:lineRule="auto"/>
            </w:pPr>
            <w:r>
              <w:rPr>
                <w:sz w:val="15"/>
              </w:rPr>
              <w:t>PROV-O</w:t>
            </w:r>
          </w:p>
        </w:tc>
        <w:tc>
          <w:tcPr>
            <w:tcW w:type="dxa" w:w="2324"/>
            <w:vAlign w:val="top"/>
            <w:tcMar>
              <w:top w:w="70" w:type="dxa"/>
              <w:start w:w="80" w:type="dxa"/>
              <w:bottom w:w="70" w:type="dxa"/>
              <w:end w:w="80" w:type="dxa"/>
            </w:tcMar>
          </w:tcPr>
          <w:p>
            <w:pPr>
              <w:spacing w:after="30" w:before="0" w:line="240" w:lineRule="auto"/>
            </w:pPr>
            <w:r>
              <w:rPr>
                <w:sz w:val="15"/>
              </w:rPr>
              <w:t>Direct selective reuse</w:t>
            </w:r>
          </w:p>
        </w:tc>
        <w:tc>
          <w:tcPr>
            <w:tcW w:type="dxa" w:w="1247"/>
            <w:vAlign w:val="top"/>
            <w:tcMar>
              <w:top w:w="70" w:type="dxa"/>
              <w:start w:w="80" w:type="dxa"/>
              <w:bottom w:w="70" w:type="dxa"/>
              <w:end w:w="80" w:type="dxa"/>
            </w:tcMar>
          </w:tcPr>
          <w:p>
            <w:pPr>
              <w:spacing w:after="30" w:before="0" w:line="240" w:lineRule="auto"/>
            </w:pPr>
            <w:r>
              <w:rPr>
                <w:sz w:val="15"/>
              </w:rPr>
              <w:t>CQ06-09, CQ14, CQ24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Metric / QuantityValue / Unit</w:t>
            </w:r>
          </w:p>
        </w:tc>
        <w:tc>
          <w:tcPr>
            <w:tcW w:type="dxa" w:w="3628"/>
            <w:vAlign w:val="top"/>
            <w:tcMar>
              <w:top w:w="70" w:type="dxa"/>
              <w:start w:w="80" w:type="dxa"/>
              <w:bottom w:w="70" w:type="dxa"/>
              <w:end w:w="80" w:type="dxa"/>
            </w:tcMar>
          </w:tcPr>
          <w:p>
            <w:pPr>
              <w:spacing w:after="30" w:before="0" w:line="240" w:lineRule="auto"/>
            </w:pPr>
            <w:r>
              <w:rPr>
                <w:sz w:val="15"/>
              </w:rPr>
              <w:t>DQV + QUDT</w:t>
            </w:r>
          </w:p>
        </w:tc>
        <w:tc>
          <w:tcPr>
            <w:tcW w:type="dxa" w:w="2324"/>
            <w:vAlign w:val="top"/>
            <w:tcMar>
              <w:top w:w="70" w:type="dxa"/>
              <w:start w:w="80" w:type="dxa"/>
              <w:bottom w:w="70" w:type="dxa"/>
              <w:end w:w="80" w:type="dxa"/>
            </w:tcMar>
          </w:tcPr>
          <w:p>
            <w:pPr>
              <w:spacing w:after="30" w:before="0" w:line="240" w:lineRule="auto"/>
            </w:pPr>
            <w:r>
              <w:rPr>
                <w:sz w:val="15"/>
              </w:rPr>
              <w:t>Selective reuse/local specialization</w:t>
            </w:r>
          </w:p>
        </w:tc>
        <w:tc>
          <w:tcPr>
            <w:tcW w:type="dxa" w:w="1247"/>
            <w:vAlign w:val="top"/>
            <w:tcMar>
              <w:top w:w="70" w:type="dxa"/>
              <w:start w:w="80" w:type="dxa"/>
              <w:bottom w:w="70" w:type="dxa"/>
              <w:end w:w="80" w:type="dxa"/>
            </w:tcMar>
          </w:tcPr>
          <w:p>
            <w:pPr>
              <w:spacing w:after="30" w:before="0" w:line="240" w:lineRule="auto"/>
            </w:pPr>
            <w:r>
              <w:rPr>
                <w:sz w:val="15"/>
              </w:rPr>
              <w:t>CQ12, CQ16-21, CQ24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Location / Geometry</w:t>
            </w:r>
          </w:p>
        </w:tc>
        <w:tc>
          <w:tcPr>
            <w:tcW w:type="dxa" w:w="3628"/>
            <w:vAlign w:val="top"/>
            <w:tcMar>
              <w:top w:w="70" w:type="dxa"/>
              <w:start w:w="80" w:type="dxa"/>
              <w:bottom w:w="70" w:type="dxa"/>
              <w:end w:w="80" w:type="dxa"/>
            </w:tcMar>
          </w:tcPr>
          <w:p>
            <w:pPr>
              <w:spacing w:after="30" w:before="0" w:line="240" w:lineRule="auto"/>
            </w:pPr>
            <w:r>
              <w:rPr>
                <w:sz w:val="15"/>
              </w:rPr>
              <w:t>GeoSPARQL</w:t>
            </w:r>
          </w:p>
        </w:tc>
        <w:tc>
          <w:tcPr>
            <w:tcW w:type="dxa" w:w="2324"/>
            <w:vAlign w:val="top"/>
            <w:tcMar>
              <w:top w:w="70" w:type="dxa"/>
              <w:start w:w="80" w:type="dxa"/>
              <w:bottom w:w="70" w:type="dxa"/>
              <w:end w:w="80" w:type="dxa"/>
            </w:tcMar>
          </w:tcPr>
          <w:p>
            <w:pPr>
              <w:spacing w:after="30" w:before="0" w:line="240" w:lineRule="auto"/>
            </w:pPr>
            <w:r>
              <w:rPr>
                <w:sz w:val="15"/>
              </w:rPr>
              <w:t>Conditional reuse</w:t>
            </w:r>
          </w:p>
        </w:tc>
        <w:tc>
          <w:tcPr>
            <w:tcW w:type="dxa" w:w="1247"/>
            <w:vAlign w:val="top"/>
            <w:tcMar>
              <w:top w:w="70" w:type="dxa"/>
              <w:start w:w="80" w:type="dxa"/>
              <w:bottom w:w="70" w:type="dxa"/>
              <w:end w:w="80" w:type="dxa"/>
            </w:tcMar>
          </w:tcPr>
          <w:p>
            <w:pPr>
              <w:spacing w:after="30" w:before="0" w:line="240" w:lineRule="auto"/>
            </w:pPr>
            <w:r>
              <w:rPr>
                <w:sz w:val="15"/>
              </w:rPr>
              <w:t>CQ04</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Cyberattack / SecurityIncident / Vulnerability</w:t>
            </w:r>
          </w:p>
        </w:tc>
        <w:tc>
          <w:tcPr>
            <w:tcW w:type="dxa" w:w="3628"/>
            <w:vAlign w:val="top"/>
            <w:tcMar>
              <w:top w:w="70" w:type="dxa"/>
              <w:start w:w="80" w:type="dxa"/>
              <w:bottom w:w="70" w:type="dxa"/>
              <w:end w:w="80" w:type="dxa"/>
            </w:tcMar>
          </w:tcPr>
          <w:p>
            <w:pPr>
              <w:spacing w:after="30" w:before="0" w:line="240" w:lineRule="auto"/>
            </w:pPr>
            <w:r>
              <w:rPr>
                <w:sz w:val="15"/>
              </w:rPr>
              <w:t>UCO + CAPEC/ATT&amp;CK alignments</w:t>
            </w:r>
          </w:p>
        </w:tc>
        <w:tc>
          <w:tcPr>
            <w:tcW w:type="dxa" w:w="2324"/>
            <w:vAlign w:val="top"/>
            <w:tcMar>
              <w:top w:w="70" w:type="dxa"/>
              <w:start w:w="80" w:type="dxa"/>
              <w:bottom w:w="70" w:type="dxa"/>
              <w:end w:w="80" w:type="dxa"/>
            </w:tcMar>
          </w:tcPr>
          <w:p>
            <w:pPr>
              <w:spacing w:after="30" w:before="0" w:line="240" w:lineRule="auto"/>
            </w:pPr>
            <w:r>
              <w:rPr>
                <w:sz w:val="15"/>
              </w:rPr>
              <w:t>Local concepts with mappings</w:t>
            </w:r>
          </w:p>
        </w:tc>
        <w:tc>
          <w:tcPr>
            <w:tcW w:type="dxa" w:w="1247"/>
            <w:vAlign w:val="top"/>
            <w:tcMar>
              <w:top w:w="70" w:type="dxa"/>
              <w:start w:w="80" w:type="dxa"/>
              <w:bottom w:w="70" w:type="dxa"/>
              <w:end w:w="80" w:type="dxa"/>
            </w:tcMar>
          </w:tcPr>
          <w:p>
            <w:pPr>
              <w:spacing w:after="30" w:before="0" w:line="240" w:lineRule="auto"/>
            </w:pPr>
            <w:r>
              <w:rPr>
                <w:sz w:val="15"/>
              </w:rPr>
              <w:t>CQ10-13</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DefenseMechanism</w:t>
            </w:r>
          </w:p>
        </w:tc>
        <w:tc>
          <w:tcPr>
            <w:tcW w:type="dxa" w:w="3628"/>
            <w:vAlign w:val="top"/>
            <w:tcMar>
              <w:top w:w="70" w:type="dxa"/>
              <w:start w:w="80" w:type="dxa"/>
              <w:bottom w:w="70" w:type="dxa"/>
              <w:end w:w="80" w:type="dxa"/>
            </w:tcMar>
          </w:tcPr>
          <w:p>
            <w:pPr>
              <w:spacing w:after="30" w:before="0" w:line="240" w:lineRule="auto"/>
            </w:pPr>
            <w:r>
              <w:rPr>
                <w:sz w:val="15"/>
              </w:rPr>
              <w:t>D3FEND</w:t>
            </w:r>
          </w:p>
        </w:tc>
        <w:tc>
          <w:tcPr>
            <w:tcW w:type="dxa" w:w="2324"/>
            <w:vAlign w:val="top"/>
            <w:tcMar>
              <w:top w:w="70" w:type="dxa"/>
              <w:start w:w="80" w:type="dxa"/>
              <w:bottom w:w="70" w:type="dxa"/>
              <w:end w:w="80" w:type="dxa"/>
            </w:tcMar>
          </w:tcPr>
          <w:p>
            <w:pPr>
              <w:spacing w:after="30" w:before="0" w:line="240" w:lineRule="auto"/>
            </w:pPr>
            <w:r>
              <w:rPr>
                <w:sz w:val="15"/>
              </w:rPr>
              <w:t>Local concept with mapping</w:t>
            </w:r>
          </w:p>
        </w:tc>
        <w:tc>
          <w:tcPr>
            <w:tcW w:type="dxa" w:w="1247"/>
            <w:vAlign w:val="top"/>
            <w:tcMar>
              <w:top w:w="70" w:type="dxa"/>
              <w:start w:w="80" w:type="dxa"/>
              <w:bottom w:w="70" w:type="dxa"/>
              <w:end w:w="80" w:type="dxa"/>
            </w:tcMar>
          </w:tcPr>
          <w:p>
            <w:pPr>
              <w:spacing w:after="30" w:before="0" w:line="240" w:lineRule="auto"/>
            </w:pPr>
            <w:r>
              <w:rPr>
                <w:sz w:val="15"/>
              </w:rPr>
              <w:t>CQ13-18</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ResilienceCapability</w:t>
            </w:r>
          </w:p>
        </w:tc>
        <w:tc>
          <w:tcPr>
            <w:tcW w:type="dxa" w:w="3628"/>
            <w:vAlign w:val="top"/>
            <w:tcMar>
              <w:top w:w="70" w:type="dxa"/>
              <w:start w:w="80" w:type="dxa"/>
              <w:bottom w:w="70" w:type="dxa"/>
              <w:end w:w="80" w:type="dxa"/>
            </w:tcMar>
          </w:tcPr>
          <w:p>
            <w:pPr>
              <w:spacing w:after="30" w:before="0" w:line="240" w:lineRule="auto"/>
            </w:pPr>
            <w:r>
              <w:rPr>
                <w:sz w:val="15"/>
              </w:rPr>
              <w:t>No adequate external ontology covering approved SIoT semantics</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CQ14-18</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IdentificationCapability</w:t>
            </w:r>
          </w:p>
        </w:tc>
        <w:tc>
          <w:tcPr>
            <w:tcW w:type="dxa" w:w="3628"/>
            <w:vAlign w:val="top"/>
            <w:tcMar>
              <w:top w:w="70" w:type="dxa"/>
              <w:start w:w="80" w:type="dxa"/>
              <w:bottom w:w="70" w:type="dxa"/>
              <w:end w:w="80" w:type="dxa"/>
            </w:tcMar>
          </w:tcPr>
          <w:p>
            <w:pPr>
              <w:spacing w:after="30" w:before="0" w:line="240" w:lineRule="auto"/>
            </w:pPr>
            <w:r>
              <w:rPr>
                <w:sz w:val="15"/>
              </w:rPr>
              <w:t>Doctoral/RSL resilience framework</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CQ14, CQ20</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AbsorptionCapability</w:t>
            </w:r>
          </w:p>
        </w:tc>
        <w:tc>
          <w:tcPr>
            <w:tcW w:type="dxa" w:w="3628"/>
            <w:vAlign w:val="top"/>
            <w:tcMar>
              <w:top w:w="70" w:type="dxa"/>
              <w:start w:w="80" w:type="dxa"/>
              <w:bottom w:w="70" w:type="dxa"/>
              <w:end w:w="80" w:type="dxa"/>
            </w:tcMar>
          </w:tcPr>
          <w:p>
            <w:pPr>
              <w:spacing w:after="30" w:before="0" w:line="240" w:lineRule="auto"/>
            </w:pPr>
            <w:r>
              <w:rPr>
                <w:sz w:val="15"/>
              </w:rPr>
              <w:t>Doctoral/RSL resilience framework</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CQ15, CQ20</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ResistanceCapability</w:t>
            </w:r>
          </w:p>
        </w:tc>
        <w:tc>
          <w:tcPr>
            <w:tcW w:type="dxa" w:w="3628"/>
            <w:vAlign w:val="top"/>
            <w:tcMar>
              <w:top w:w="70" w:type="dxa"/>
              <w:start w:w="80" w:type="dxa"/>
              <w:bottom w:w="70" w:type="dxa"/>
              <w:end w:w="80" w:type="dxa"/>
            </w:tcMar>
          </w:tcPr>
          <w:p>
            <w:pPr>
              <w:spacing w:after="30" w:before="0" w:line="240" w:lineRule="auto"/>
            </w:pPr>
            <w:r>
              <w:rPr>
                <w:sz w:val="15"/>
              </w:rPr>
              <w:t>Doctoral/RSL resilience framework</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CQ16, CQ20</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RecoveryCapability</w:t>
            </w:r>
          </w:p>
        </w:tc>
        <w:tc>
          <w:tcPr>
            <w:tcW w:type="dxa" w:w="3628"/>
            <w:vAlign w:val="top"/>
            <w:tcMar>
              <w:top w:w="70" w:type="dxa"/>
              <w:start w:w="80" w:type="dxa"/>
              <w:bottom w:w="70" w:type="dxa"/>
              <w:end w:w="80" w:type="dxa"/>
            </w:tcMar>
          </w:tcPr>
          <w:p>
            <w:pPr>
              <w:spacing w:after="30" w:before="0" w:line="240" w:lineRule="auto"/>
            </w:pPr>
            <w:r>
              <w:rPr>
                <w:sz w:val="15"/>
              </w:rPr>
              <w:t>Doctoral/RSL resilience framework</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CQ17, CQ20</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AdaptationCapability</w:t>
            </w:r>
          </w:p>
        </w:tc>
        <w:tc>
          <w:tcPr>
            <w:tcW w:type="dxa" w:w="3628"/>
            <w:vAlign w:val="top"/>
            <w:tcMar>
              <w:top w:w="70" w:type="dxa"/>
              <w:start w:w="80" w:type="dxa"/>
              <w:bottom w:w="70" w:type="dxa"/>
              <w:end w:w="80" w:type="dxa"/>
            </w:tcMar>
          </w:tcPr>
          <w:p>
            <w:pPr>
              <w:spacing w:after="30" w:before="0" w:line="240" w:lineRule="auto"/>
            </w:pPr>
            <w:r>
              <w:rPr>
                <w:sz w:val="15"/>
              </w:rPr>
              <w:t>Doctoral/RSL resilience framework</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CQ18, CQ20</w:t>
            </w:r>
          </w:p>
        </w:tc>
      </w:tr>
      <w:tr>
        <w:trPr>
          <w:cantSplit/>
        </w:trPr>
        <w:tc>
          <w:tcPr>
            <w:tcW w:type="dxa" w:w="2381"/>
            <w:vAlign w:val="top"/>
            <w:tcMar>
              <w:top w:w="70" w:type="dxa"/>
              <w:start w:w="80" w:type="dxa"/>
              <w:bottom w:w="70" w:type="dxa"/>
              <w:end w:w="80" w:type="dxa"/>
            </w:tcMar>
          </w:tcPr>
          <w:p>
            <w:pPr>
              <w:spacing w:after="30" w:before="0" w:line="240" w:lineRule="auto"/>
            </w:pPr>
            <w:r>
              <w:rPr>
                <w:sz w:val="15"/>
              </w:rPr>
              <w:t>ResilienceIndicator / Subindicator / Assessment / Level</w:t>
            </w:r>
          </w:p>
        </w:tc>
        <w:tc>
          <w:tcPr>
            <w:tcW w:type="dxa" w:w="3628"/>
            <w:vAlign w:val="top"/>
            <w:tcMar>
              <w:top w:w="70" w:type="dxa"/>
              <w:start w:w="80" w:type="dxa"/>
              <w:bottom w:w="70" w:type="dxa"/>
              <w:end w:w="80" w:type="dxa"/>
            </w:tcMar>
          </w:tcPr>
          <w:p>
            <w:pPr>
              <w:spacing w:after="30" w:before="0" w:line="240" w:lineRule="auto"/>
            </w:pPr>
            <w:r>
              <w:rPr>
                <w:sz w:val="15"/>
              </w:rPr>
              <w:t>No complete external match</w:t>
            </w:r>
          </w:p>
        </w:tc>
        <w:tc>
          <w:tcPr>
            <w:tcW w:type="dxa" w:w="2324"/>
            <w:vAlign w:val="top"/>
            <w:tcMar>
              <w:top w:w="70" w:type="dxa"/>
              <w:start w:w="80" w:type="dxa"/>
              <w:bottom w:w="70" w:type="dxa"/>
              <w:end w:w="80" w:type="dxa"/>
            </w:tcMar>
          </w:tcPr>
          <w:p>
            <w:pPr>
              <w:spacing w:after="30" w:before="0" w:line="240" w:lineRule="auto"/>
            </w:pPr>
            <w:r>
              <w:rPr>
                <w:sz w:val="15"/>
              </w:rPr>
              <w:t>LOCAL SIoTSecurity</w:t>
            </w:r>
          </w:p>
        </w:tc>
        <w:tc>
          <w:tcPr>
            <w:tcW w:type="dxa" w:w="1247"/>
            <w:vAlign w:val="top"/>
            <w:tcMar>
              <w:top w:w="70" w:type="dxa"/>
              <w:start w:w="80" w:type="dxa"/>
              <w:bottom w:w="70" w:type="dxa"/>
              <w:end w:w="80" w:type="dxa"/>
            </w:tcMar>
          </w:tcPr>
          <w:p>
            <w:pPr>
              <w:spacing w:after="30" w:before="0" w:line="240" w:lineRule="auto"/>
            </w:pPr>
            <w:r>
              <w:rPr>
                <w:sz w:val="15"/>
              </w:rPr>
              <w:t>CQ19-24</w:t>
            </w:r>
          </w:p>
        </w:tc>
      </w:tr>
    </w:tbl>
    <w:p>
      <w:pPr>
        <w:widowControl/>
      </w:pPr>
    </w:p>
    <w:p>
      <w:pPr>
        <w:pStyle w:val="Heading1"/>
        <w:keepNext/>
        <w:widowControl/>
      </w:pPr>
      <w:r>
        <w:t>12. Competency-Question Coverage by Reuse Source</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2438"/>
            <w:vAlign w:val="top"/>
            <w:tcMar>
              <w:top w:w="70" w:type="dxa"/>
              <w:start w:w="80" w:type="dxa"/>
              <w:bottom w:w="70" w:type="dxa"/>
              <w:end w:w="80" w:type="dxa"/>
            </w:tcMar>
            <w:shd w:fill="D9EAF7"/>
          </w:tcPr>
          <w:p>
            <w:pPr>
              <w:spacing w:after="30" w:before="0" w:line="240" w:lineRule="auto"/>
            </w:pPr>
            <w:r>
              <w:rPr>
                <w:b/>
                <w:sz w:val="16"/>
              </w:rPr>
              <w:t>CQ group</w:t>
            </w:r>
          </w:p>
        </w:tc>
        <w:tc>
          <w:tcPr>
            <w:tcW w:type="dxa" w:w="3402"/>
            <w:vAlign w:val="top"/>
            <w:tcMar>
              <w:top w:w="70" w:type="dxa"/>
              <w:start w:w="80" w:type="dxa"/>
              <w:bottom w:w="70" w:type="dxa"/>
              <w:end w:w="80" w:type="dxa"/>
            </w:tcMar>
            <w:shd w:fill="D9EAF7"/>
          </w:tcPr>
          <w:p>
            <w:pPr>
              <w:spacing w:after="30" w:before="0" w:line="240" w:lineRule="auto"/>
            </w:pPr>
            <w:r>
              <w:rPr>
                <w:b/>
                <w:sz w:val="16"/>
              </w:rPr>
              <w:t>Reuse sources</w:t>
            </w:r>
          </w:p>
        </w:tc>
        <w:tc>
          <w:tcPr>
            <w:tcW w:type="dxa" w:w="3572"/>
            <w:vAlign w:val="top"/>
            <w:tcMar>
              <w:top w:w="70" w:type="dxa"/>
              <w:start w:w="80" w:type="dxa"/>
              <w:bottom w:w="70" w:type="dxa"/>
              <w:end w:w="80" w:type="dxa"/>
            </w:tcMar>
            <w:shd w:fill="D9EAF7"/>
          </w:tcPr>
          <w:p>
            <w:pPr>
              <w:spacing w:after="30" w:before="0" w:line="240" w:lineRule="auto"/>
            </w:pPr>
            <w:r>
              <w:rPr>
                <w:b/>
                <w:sz w:val="16"/>
              </w:rPr>
              <w:t>Coverage decision</w:t>
            </w:r>
          </w:p>
        </w:tc>
      </w:tr>
      <w:tr>
        <w:trPr>
          <w:cantSplit/>
        </w:trPr>
        <w:tc>
          <w:tcPr>
            <w:tcW w:type="dxa" w:w="2438"/>
            <w:vAlign w:val="top"/>
            <w:tcMar>
              <w:top w:w="70" w:type="dxa"/>
              <w:start w:w="80" w:type="dxa"/>
              <w:bottom w:w="70" w:type="dxa"/>
              <w:end w:w="80" w:type="dxa"/>
            </w:tcMar>
          </w:tcPr>
          <w:p>
            <w:pPr>
              <w:spacing w:after="30" w:before="0" w:line="240" w:lineRule="auto"/>
            </w:pPr>
            <w:r>
              <w:rPr>
                <w:sz w:val="16"/>
              </w:rPr>
              <w:t>CQ01-CQ04: entities, services, interaction, context</w:t>
            </w:r>
          </w:p>
        </w:tc>
        <w:tc>
          <w:tcPr>
            <w:tcW w:type="dxa" w:w="3402"/>
            <w:vAlign w:val="top"/>
            <w:tcMar>
              <w:top w:w="70" w:type="dxa"/>
              <w:start w:w="80" w:type="dxa"/>
              <w:bottom w:w="70" w:type="dxa"/>
              <w:end w:w="80" w:type="dxa"/>
            </w:tcMar>
          </w:tcPr>
          <w:p>
            <w:pPr>
              <w:spacing w:after="30" w:before="0" w:line="240" w:lineRule="auto"/>
            </w:pPr>
            <w:r>
              <w:rPr>
                <w:sz w:val="16"/>
              </w:rPr>
              <w:t>SAREF Core, SOSA/SSN, TRESIOT, OWL-Time, optional GeoSPARQL</w:t>
            </w:r>
          </w:p>
        </w:tc>
        <w:tc>
          <w:tcPr>
            <w:tcW w:type="dxa" w:w="3572"/>
            <w:vAlign w:val="top"/>
            <w:tcMar>
              <w:top w:w="70" w:type="dxa"/>
              <w:start w:w="80" w:type="dxa"/>
              <w:bottom w:w="70" w:type="dxa"/>
              <w:end w:w="80" w:type="dxa"/>
            </w:tcMar>
          </w:tcPr>
          <w:p>
            <w:pPr>
              <w:spacing w:after="30" w:before="0" w:line="240" w:lineRule="auto"/>
            </w:pPr>
            <w:r>
              <w:rPr>
                <w:sz w:val="16"/>
              </w:rPr>
              <w:t>External reuse covers foundational entities/observations/time; SIoT social/context composition remains local.</w:t>
            </w:r>
          </w:p>
        </w:tc>
      </w:tr>
      <w:tr>
        <w:trPr>
          <w:cantSplit/>
        </w:trPr>
        <w:tc>
          <w:tcPr>
            <w:tcW w:type="dxa" w:w="2438"/>
            <w:vAlign w:val="top"/>
            <w:tcMar>
              <w:top w:w="70" w:type="dxa"/>
              <w:start w:w="80" w:type="dxa"/>
              <w:bottom w:w="70" w:type="dxa"/>
              <w:end w:w="80" w:type="dxa"/>
            </w:tcMar>
          </w:tcPr>
          <w:p>
            <w:pPr>
              <w:spacing w:after="30" w:before="0" w:line="240" w:lineRule="auto"/>
            </w:pPr>
            <w:r>
              <w:rPr>
                <w:sz w:val="16"/>
              </w:rPr>
              <w:t>CQ05-CQ09: trust and reputation</w:t>
            </w:r>
          </w:p>
        </w:tc>
        <w:tc>
          <w:tcPr>
            <w:tcW w:type="dxa" w:w="3402"/>
            <w:vAlign w:val="top"/>
            <w:tcMar>
              <w:top w:w="70" w:type="dxa"/>
              <w:start w:w="80" w:type="dxa"/>
              <w:bottom w:w="70" w:type="dxa"/>
              <w:end w:w="80" w:type="dxa"/>
            </w:tcMar>
          </w:tcPr>
          <w:p>
            <w:pPr>
              <w:spacing w:after="30" w:before="0" w:line="240" w:lineRule="auto"/>
            </w:pPr>
            <w:r>
              <w:rPr>
                <w:sz w:val="16"/>
              </w:rPr>
              <w:t>TRESIOT, SAREF-TA, PROV-O, QUDT/DQV, Kumari and prior indicator</w:t>
            </w:r>
          </w:p>
        </w:tc>
        <w:tc>
          <w:tcPr>
            <w:tcW w:type="dxa" w:w="3572"/>
            <w:vAlign w:val="top"/>
            <w:tcMar>
              <w:top w:w="70" w:type="dxa"/>
              <w:start w:w="80" w:type="dxa"/>
              <w:bottom w:w="70" w:type="dxa"/>
              <w:end w:w="80" w:type="dxa"/>
            </w:tcMar>
          </w:tcPr>
          <w:p>
            <w:pPr>
              <w:spacing w:after="30" w:before="0" w:line="240" w:lineRule="auto"/>
            </w:pPr>
            <w:r>
              <w:rPr>
                <w:sz w:val="16"/>
              </w:rPr>
              <w:t>Strong external/conceptual support, but TrustAssessment/ReputationAssessment and malicious-behavior evidence structures remain local.</w:t>
            </w:r>
          </w:p>
        </w:tc>
      </w:tr>
      <w:tr>
        <w:trPr>
          <w:cantSplit/>
        </w:trPr>
        <w:tc>
          <w:tcPr>
            <w:tcW w:type="dxa" w:w="2438"/>
            <w:vAlign w:val="top"/>
            <w:tcMar>
              <w:top w:w="70" w:type="dxa"/>
              <w:start w:w="80" w:type="dxa"/>
              <w:bottom w:w="70" w:type="dxa"/>
              <w:end w:w="80" w:type="dxa"/>
            </w:tcMar>
          </w:tcPr>
          <w:p>
            <w:pPr>
              <w:spacing w:after="30" w:before="0" w:line="240" w:lineRule="auto"/>
            </w:pPr>
            <w:r>
              <w:rPr>
                <w:sz w:val="16"/>
              </w:rPr>
              <w:t>CQ10-CQ13: threats, attacks, impacts, response</w:t>
            </w:r>
          </w:p>
        </w:tc>
        <w:tc>
          <w:tcPr>
            <w:tcW w:type="dxa" w:w="3402"/>
            <w:vAlign w:val="top"/>
            <w:tcMar>
              <w:top w:w="70" w:type="dxa"/>
              <w:start w:w="80" w:type="dxa"/>
              <w:bottom w:w="70" w:type="dxa"/>
              <w:end w:w="80" w:type="dxa"/>
            </w:tcMar>
          </w:tcPr>
          <w:p>
            <w:pPr>
              <w:spacing w:after="30" w:before="0" w:line="240" w:lineRule="auto"/>
            </w:pPr>
            <w:r>
              <w:rPr>
                <w:sz w:val="16"/>
              </w:rPr>
              <w:t>UCO, D3FEND, CAPEC, ATT&amp;CK, RSL local meta-taxonomy</w:t>
            </w:r>
          </w:p>
        </w:tc>
        <w:tc>
          <w:tcPr>
            <w:tcW w:type="dxa" w:w="3572"/>
            <w:vAlign w:val="top"/>
            <w:tcMar>
              <w:top w:w="70" w:type="dxa"/>
              <w:start w:w="80" w:type="dxa"/>
              <w:bottom w:w="70" w:type="dxa"/>
              <w:end w:w="80" w:type="dxa"/>
            </w:tcMar>
          </w:tcPr>
          <w:p>
            <w:pPr>
              <w:spacing w:after="30" w:before="0" w:line="240" w:lineRule="auto"/>
            </w:pPr>
            <w:r>
              <w:rPr>
                <w:sz w:val="16"/>
              </w:rPr>
              <w:t>Mappings are selective; SIoT trust/reputation/social threat taxonomy remains local.</w:t>
            </w:r>
          </w:p>
        </w:tc>
      </w:tr>
      <w:tr>
        <w:trPr>
          <w:cantSplit/>
        </w:trPr>
        <w:tc>
          <w:tcPr>
            <w:tcW w:type="dxa" w:w="2438"/>
            <w:vAlign w:val="top"/>
            <w:tcMar>
              <w:top w:w="70" w:type="dxa"/>
              <w:start w:w="80" w:type="dxa"/>
              <w:bottom w:w="70" w:type="dxa"/>
              <w:end w:w="80" w:type="dxa"/>
            </w:tcMar>
          </w:tcPr>
          <w:p>
            <w:pPr>
              <w:spacing w:after="30" w:before="0" w:line="240" w:lineRule="auto"/>
            </w:pPr>
            <w:r>
              <w:rPr>
                <w:sz w:val="16"/>
              </w:rPr>
              <w:t>CQ14-CQ18: resilience capabilities</w:t>
            </w:r>
          </w:p>
        </w:tc>
        <w:tc>
          <w:tcPr>
            <w:tcW w:type="dxa" w:w="3402"/>
            <w:vAlign w:val="top"/>
            <w:tcMar>
              <w:top w:w="70" w:type="dxa"/>
              <w:start w:w="80" w:type="dxa"/>
              <w:bottom w:w="70" w:type="dxa"/>
              <w:end w:w="80" w:type="dxa"/>
            </w:tcMar>
          </w:tcPr>
          <w:p>
            <w:pPr>
              <w:spacing w:after="30" w:before="0" w:line="240" w:lineRule="auto"/>
            </w:pPr>
            <w:r>
              <w:rPr>
                <w:sz w:val="16"/>
              </w:rPr>
              <w:t>D3FEND, SOSA/SSN, PROV-O, OWL-Time, QUDT plus doctoral/RSL framework</w:t>
            </w:r>
          </w:p>
        </w:tc>
        <w:tc>
          <w:tcPr>
            <w:tcW w:type="dxa" w:w="3572"/>
            <w:vAlign w:val="top"/>
            <w:tcMar>
              <w:top w:w="70" w:type="dxa"/>
              <w:start w:w="80" w:type="dxa"/>
              <w:bottom w:w="70" w:type="dxa"/>
              <w:end w:w="80" w:type="dxa"/>
            </w:tcMar>
          </w:tcPr>
          <w:p>
            <w:pPr>
              <w:spacing w:after="30" w:before="0" w:line="240" w:lineRule="auto"/>
            </w:pPr>
            <w:r>
              <w:rPr>
                <w:sz w:val="16"/>
              </w:rPr>
              <w:t>No candidate provides the five approved SIoT capabilities as required; all five capabilities remain local.</w:t>
            </w:r>
          </w:p>
        </w:tc>
      </w:tr>
      <w:tr>
        <w:trPr>
          <w:cantSplit/>
        </w:trPr>
        <w:tc>
          <w:tcPr>
            <w:tcW w:type="dxa" w:w="2438"/>
            <w:vAlign w:val="top"/>
            <w:tcMar>
              <w:top w:w="70" w:type="dxa"/>
              <w:start w:w="80" w:type="dxa"/>
              <w:bottom w:w="70" w:type="dxa"/>
              <w:end w:w="80" w:type="dxa"/>
            </w:tcMar>
          </w:tcPr>
          <w:p>
            <w:pPr>
              <w:spacing w:after="30" w:before="0" w:line="240" w:lineRule="auto"/>
            </w:pPr>
            <w:r>
              <w:rPr>
                <w:sz w:val="16"/>
              </w:rPr>
              <w:t>CQ19-CQ24: resilience indicator and explanation</w:t>
            </w:r>
          </w:p>
        </w:tc>
        <w:tc>
          <w:tcPr>
            <w:tcW w:type="dxa" w:w="3402"/>
            <w:vAlign w:val="top"/>
            <w:tcMar>
              <w:top w:w="70" w:type="dxa"/>
              <w:start w:w="80" w:type="dxa"/>
              <w:bottom w:w="70" w:type="dxa"/>
              <w:end w:w="80" w:type="dxa"/>
            </w:tcMar>
          </w:tcPr>
          <w:p>
            <w:pPr>
              <w:spacing w:after="30" w:before="0" w:line="240" w:lineRule="auto"/>
            </w:pPr>
            <w:r>
              <w:rPr>
                <w:sz w:val="16"/>
              </w:rPr>
              <w:t>QUDT, DQV, PROV-O, OWL-Time, TRESIOT/SAREF-TA trust evidence</w:t>
            </w:r>
          </w:p>
        </w:tc>
        <w:tc>
          <w:tcPr>
            <w:tcW w:type="dxa" w:w="3572"/>
            <w:vAlign w:val="top"/>
            <w:tcMar>
              <w:top w:w="70" w:type="dxa"/>
              <w:start w:w="80" w:type="dxa"/>
              <w:bottom w:w="70" w:type="dxa"/>
              <w:end w:w="80" w:type="dxa"/>
            </w:tcMar>
          </w:tcPr>
          <w:p>
            <w:pPr>
              <w:spacing w:after="30" w:before="0" w:line="240" w:lineRule="auto"/>
            </w:pPr>
            <w:r>
              <w:rPr>
                <w:sz w:val="16"/>
              </w:rPr>
              <w:t>External resources support metrics, units, provenance and context; indicator/subindicators/weights/thresholds/results are SIoTSecurity concepts.</w:t>
            </w:r>
          </w:p>
        </w:tc>
      </w:tr>
    </w:tbl>
    <w:p>
      <w:pPr>
        <w:widowControl/>
      </w:pPr>
    </w:p>
    <w:p>
      <w:pPr>
        <w:pStyle w:val="Heading1"/>
        <w:keepNext/>
        <w:widowControl/>
      </w:pPr>
      <w:r>
        <w:t>13. Local Development Gaps Confirmed by Step 2</w:t>
      </w:r>
    </w:p>
    <w:p>
      <w:pPr>
        <w:pStyle w:val="BodyText"/>
        <w:widowControl/>
        <w:spacing w:after="100"/>
      </w:pPr>
      <w:r>
        <w:rPr>
          <w:i w:val="0"/>
        </w:rPr>
        <w:t>The RSL concludes that the literature does not provide a single unified ontology that simultaneously integrates SIoT context, trust, reputation, threats, metrics, and resilience capabilities. Step 2 confirms this gap at term level. The following concepts therefore constitute the mandatory local modeling work for Step 3:</w:t>
      </w:r>
    </w:p>
    <w:p>
      <w:pPr>
        <w:pStyle w:val="BodyText"/>
        <w:widowControl/>
        <w:spacing w:after="40"/>
        <w:ind w:left="312" w:hanging="142"/>
      </w:pPr>
      <w:r>
        <w:t>• SIoTNetwork and evaluation-scenario structure as the primary resilience assessment unit.</w:t>
      </w:r>
    </w:p>
    <w:p>
      <w:pPr>
        <w:pStyle w:val="BodyText"/>
        <w:widowControl/>
        <w:spacing w:after="40"/>
        <w:ind w:left="312" w:hanging="142"/>
      </w:pPr>
      <w:r>
        <w:t>• InteractionContext integrating technical, social, temporal, spatial, physical, service, energy, security, trust and reputation dimensions.</w:t>
      </w:r>
    </w:p>
    <w:p>
      <w:pPr>
        <w:pStyle w:val="BodyText"/>
        <w:widowControl/>
        <w:spacing w:after="40"/>
        <w:ind w:left="312" w:hanging="142"/>
      </w:pPr>
      <w:r>
        <w:t>• TrustAssessment and ReputationAssessment with explicit evaluator/evaluated entity, service, context, time, evidence and provenance.</w:t>
      </w:r>
    </w:p>
    <w:p>
      <w:pPr>
        <w:pStyle w:val="BodyText"/>
        <w:widowControl/>
        <w:spacing w:after="40"/>
        <w:ind w:left="312" w:hanging="142"/>
      </w:pPr>
      <w:r>
        <w:t>• RecommenderAssessment, recommendation credibility/benevolence, deviation and malicious recommendation evidence.</w:t>
      </w:r>
    </w:p>
    <w:p>
      <w:pPr>
        <w:pStyle w:val="BodyText"/>
        <w:widowControl/>
        <w:spacing w:after="40"/>
        <w:ind w:left="312" w:hanging="142"/>
      </w:pPr>
      <w:r>
        <w:t>• SIoT-specific social relationship types and threats affecting those relationships.</w:t>
      </w:r>
    </w:p>
    <w:p>
      <w:pPr>
        <w:pStyle w:val="BodyText"/>
        <w:widowControl/>
        <w:spacing w:after="40"/>
        <w:ind w:left="312" w:hanging="142"/>
      </w:pPr>
      <w:r>
        <w:t>• Cyberattack-to-impact-to-response links tailored to SIoT services, interactions, relationships and trust/reputation.</w:t>
      </w:r>
    </w:p>
    <w:p>
      <w:pPr>
        <w:pStyle w:val="BodyText"/>
        <w:widowControl/>
        <w:spacing w:after="40"/>
        <w:ind w:left="312" w:hanging="142"/>
      </w:pPr>
      <w:r>
        <w:t>• The five resilience capabilities: Identification, Absorption, Resistance, Recovery and Adaptation.</w:t>
      </w:r>
    </w:p>
    <w:p>
      <w:pPr>
        <w:pStyle w:val="BodyText"/>
        <w:widowControl/>
        <w:spacing w:after="40"/>
        <w:ind w:left="312" w:hanging="142"/>
      </w:pPr>
      <w:r>
        <w:t>• ResilienceAssessment, ResilienceIndicator, ResilienceSubindicator, ResilienceMetric, weight/threshold/method configuration, normalized and raw values, result level and explanation trace.</w:t>
      </w:r>
    </w:p>
    <w:p>
      <w:pPr>
        <w:pStyle w:val="BodyText"/>
        <w:widowControl/>
        <w:spacing w:after="40"/>
        <w:ind w:left="312" w:hanging="142"/>
      </w:pPr>
      <w:r>
        <w:t>• Before/during/after operational-state comparisons and recovery/adaptation evidence.</w:t>
      </w:r>
    </w:p>
    <w:p>
      <w:pPr>
        <w:pStyle w:val="BodyText"/>
        <w:widowControl/>
        <w:spacing w:after="40"/>
        <w:ind w:left="312" w:hanging="142"/>
      </w:pPr>
      <w:r>
        <w:t>• Traceability from doctoral objective and competency question to concept/property/axiom/rule/individual/SPARQL result/validation evidence.</w:t>
      </w:r>
    </w:p>
    <w:p>
      <w:pPr>
        <w:pStyle w:val="Heading2"/>
        <w:keepNext/>
        <w:widowControl/>
      </w:pPr>
      <w:r>
        <w:t>13.1 Explicit Non-Reuse Decisions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3231"/>
            <w:vAlign w:val="top"/>
            <w:tcMar>
              <w:top w:w="70" w:type="dxa"/>
              <w:start w:w="80" w:type="dxa"/>
              <w:bottom w:w="70" w:type="dxa"/>
              <w:end w:w="80" w:type="dxa"/>
            </w:tcMar>
            <w:shd w:fill="D9EAF7"/>
          </w:tcPr>
          <w:p>
            <w:pPr>
              <w:spacing w:after="30" w:before="0" w:line="240" w:lineRule="auto"/>
            </w:pPr>
            <w:r>
              <w:rPr>
                <w:b/>
                <w:sz w:val="16"/>
              </w:rPr>
              <w:t>Item</w:t>
            </w:r>
          </w:p>
        </w:tc>
        <w:tc>
          <w:tcPr>
            <w:tcW w:type="dxa" w:w="6123"/>
            <w:vAlign w:val="top"/>
            <w:tcMar>
              <w:top w:w="70" w:type="dxa"/>
              <w:start w:w="80" w:type="dxa"/>
              <w:bottom w:w="70" w:type="dxa"/>
              <w:end w:w="80" w:type="dxa"/>
            </w:tcMar>
            <w:shd w:fill="D9EAF7"/>
          </w:tcPr>
          <w:p>
            <w:pPr>
              <w:spacing w:after="30" w:before="0" w:line="240" w:lineRule="auto"/>
            </w:pPr>
            <w:r>
              <w:rPr>
                <w:b/>
                <w:sz w:val="16"/>
              </w:rPr>
              <w:t>Reason for local definition or exclusion</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ResilienceCapability and five capability classes</w:t>
            </w:r>
          </w:p>
        </w:tc>
        <w:tc>
          <w:tcPr>
            <w:tcW w:type="dxa" w:w="6123"/>
            <w:vAlign w:val="top"/>
            <w:tcMar>
              <w:top w:w="70" w:type="dxa"/>
              <w:start w:w="80" w:type="dxa"/>
              <w:bottom w:w="70" w:type="dxa"/>
              <w:end w:w="80" w:type="dxa"/>
            </w:tcMar>
          </w:tcPr>
          <w:p>
            <w:pPr>
              <w:spacing w:after="30" w:before="0" w:line="240" w:lineRule="auto"/>
            </w:pPr>
            <w:r>
              <w:rPr>
                <w:sz w:val="16"/>
              </w:rPr>
              <w:t>No examined ontology supplies the approved five-capability SIoT resilience semantics as a coherent model.</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ResilienceIndicator</w:t>
            </w:r>
          </w:p>
        </w:tc>
        <w:tc>
          <w:tcPr>
            <w:tcW w:type="dxa" w:w="6123"/>
            <w:vAlign w:val="top"/>
            <w:tcMar>
              <w:top w:w="70" w:type="dxa"/>
              <w:start w:w="80" w:type="dxa"/>
              <w:bottom w:w="70" w:type="dxa"/>
              <w:end w:w="80" w:type="dxa"/>
            </w:tcMar>
          </w:tcPr>
          <w:p>
            <w:pPr>
              <w:spacing w:after="30" w:before="0" w:line="240" w:lineRule="auto"/>
            </w:pPr>
            <w:r>
              <w:rPr>
                <w:sz w:val="16"/>
              </w:rPr>
              <w:t>No external ontology formalizes the doctoral SIoT resilience indicator objective.</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Static trust/reputation weights from individual studies</w:t>
            </w:r>
          </w:p>
        </w:tc>
        <w:tc>
          <w:tcPr>
            <w:tcW w:type="dxa" w:w="6123"/>
            <w:vAlign w:val="top"/>
            <w:tcMar>
              <w:top w:w="70" w:type="dxa"/>
              <w:start w:w="80" w:type="dxa"/>
              <w:bottom w:w="70" w:type="dxa"/>
              <w:end w:w="80" w:type="dxa"/>
            </w:tcMar>
          </w:tcPr>
          <w:p>
            <w:pPr>
              <w:spacing w:after="30" w:before="0" w:line="240" w:lineRule="auto"/>
            </w:pPr>
            <w:r>
              <w:rPr>
                <w:sz w:val="16"/>
              </w:rPr>
              <w:t>Weights are context-dependent parameters and require validation.</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Static thresholds from the 2024 reputation indicator</w:t>
            </w:r>
          </w:p>
        </w:tc>
        <w:tc>
          <w:tcPr>
            <w:tcW w:type="dxa" w:w="6123"/>
            <w:vAlign w:val="top"/>
            <w:tcMar>
              <w:top w:w="70" w:type="dxa"/>
              <w:start w:w="80" w:type="dxa"/>
              <w:bottom w:w="70" w:type="dxa"/>
              <w:end w:w="80" w:type="dxa"/>
            </w:tcMar>
          </w:tcPr>
          <w:p>
            <w:pPr>
              <w:spacing w:after="30" w:before="0" w:line="240" w:lineRule="auto"/>
            </w:pPr>
            <w:r>
              <w:rPr>
                <w:sz w:val="16"/>
              </w:rPr>
              <w:t>Evidence/example values, not universal resilience thresholds.</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Q-learning reward function as resilience formula</w:t>
            </w:r>
          </w:p>
        </w:tc>
        <w:tc>
          <w:tcPr>
            <w:tcW w:type="dxa" w:w="6123"/>
            <w:vAlign w:val="top"/>
            <w:tcMar>
              <w:top w:w="70" w:type="dxa"/>
              <w:start w:w="80" w:type="dxa"/>
              <w:bottom w:w="70" w:type="dxa"/>
              <w:end w:w="80" w:type="dxa"/>
            </w:tcMar>
          </w:tcPr>
          <w:p>
            <w:pPr>
              <w:spacing w:after="30" w:before="0" w:line="240" w:lineRule="auto"/>
            </w:pPr>
            <w:r>
              <w:rPr>
                <w:sz w:val="16"/>
              </w:rPr>
              <w:t>It is a trust/adaptation computation mechanism, not the doctoral resilience indicator.</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SAREF-TA State</w:t>
            </w:r>
          </w:p>
        </w:tc>
        <w:tc>
          <w:tcPr>
            <w:tcW w:type="dxa" w:w="6123"/>
            <w:vAlign w:val="top"/>
            <w:tcMar>
              <w:top w:w="70" w:type="dxa"/>
              <w:start w:w="80" w:type="dxa"/>
              <w:bottom w:w="70" w:type="dxa"/>
              <w:end w:w="80" w:type="dxa"/>
            </w:tcMar>
          </w:tcPr>
          <w:p>
            <w:pPr>
              <w:spacing w:after="30" w:before="0" w:line="240" w:lineRule="auto"/>
            </w:pPr>
            <w:r>
              <w:rPr>
                <w:sz w:val="16"/>
              </w:rPr>
              <w:t>Class/property IRI overloading makes it unsuitable as the local resilience-state foundation.</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SAREF-TA isMeasuredIn and isUsedFor</w:t>
            </w:r>
          </w:p>
        </w:tc>
        <w:tc>
          <w:tcPr>
            <w:tcW w:type="dxa" w:w="6123"/>
            <w:vAlign w:val="top"/>
            <w:tcMar>
              <w:top w:w="70" w:type="dxa"/>
              <w:start w:w="80" w:type="dxa"/>
              <w:bottom w:w="70" w:type="dxa"/>
              <w:end w:w="80" w:type="dxa"/>
            </w:tcMar>
          </w:tcPr>
          <w:p>
            <w:pPr>
              <w:spacing w:after="30" w:before="0" w:line="240" w:lineRule="auto"/>
            </w:pPr>
            <w:r>
              <w:rPr>
                <w:sz w:val="16"/>
              </w:rPr>
              <w:t>Detected domain/range/modeling consequences are not accepted into SIoTSecurity.</w:t>
            </w:r>
          </w:p>
        </w:tc>
      </w:tr>
      <w:tr>
        <w:trPr>
          <w:cantSplit/>
        </w:trPr>
        <w:tc>
          <w:tcPr>
            <w:tcW w:type="dxa" w:w="3231"/>
            <w:vAlign w:val="top"/>
            <w:tcMar>
              <w:top w:w="70" w:type="dxa"/>
              <w:start w:w="80" w:type="dxa"/>
              <w:bottom w:w="70" w:type="dxa"/>
              <w:end w:w="80" w:type="dxa"/>
            </w:tcMar>
          </w:tcPr>
          <w:p>
            <w:pPr>
              <w:spacing w:after="30" w:before="0" w:line="240" w:lineRule="auto"/>
            </w:pPr>
            <w:r>
              <w:rPr>
                <w:sz w:val="16"/>
              </w:rPr>
              <w:t>Full copy of CAPEC/ATT&amp;CK/UCO/D3FEND taxonomies</w:t>
            </w:r>
          </w:p>
        </w:tc>
        <w:tc>
          <w:tcPr>
            <w:tcW w:type="dxa" w:w="6123"/>
            <w:vAlign w:val="top"/>
            <w:tcMar>
              <w:top w:w="70" w:type="dxa"/>
              <w:start w:w="80" w:type="dxa"/>
              <w:bottom w:w="70" w:type="dxa"/>
              <w:end w:w="80" w:type="dxa"/>
            </w:tcMar>
          </w:tcPr>
          <w:p>
            <w:pPr>
              <w:spacing w:after="30" w:before="0" w:line="240" w:lineRule="auto"/>
            </w:pPr>
            <w:r>
              <w:rPr>
                <w:sz w:val="16"/>
              </w:rPr>
              <w:t>Out of scope and unnecessary for the SIoTSecurity core; only relevant mappings are retained.</w:t>
            </w:r>
          </w:p>
        </w:tc>
      </w:tr>
    </w:tbl>
    <w:p>
      <w:pPr>
        <w:widowControl/>
      </w:pPr>
    </w:p>
    <w:p>
      <w:pPr>
        <w:pStyle w:val="Heading1"/>
        <w:keepNext/>
        <w:widowControl/>
      </w:pPr>
      <w:r>
        <w:t>14. Implementation Rules Handed to Step 3 and Step 4</w:t>
      </w:r>
    </w:p>
    <w:p>
      <w:pPr>
        <w:pStyle w:val="BodyText"/>
        <w:widowControl/>
        <w:spacing w:after="40"/>
        <w:ind w:left="312" w:hanging="198"/>
      </w:pPr>
      <w:r>
        <w:t>1. Every reused external IRI shall be documented with source ontology/resource, namespace, version or access date, reuse rationale, and competency-question coverage.</w:t>
      </w:r>
    </w:p>
    <w:p>
      <w:pPr>
        <w:pStyle w:val="BodyText"/>
        <w:widowControl/>
        <w:spacing w:after="40"/>
        <w:ind w:left="312" w:hanging="198"/>
      </w:pPr>
      <w:r>
        <w:t>2. Every local SIoTSecurity class, property, or individual shall use an English canonical identifier. Spanish will be represented through language-tagged annotations.</w:t>
      </w:r>
    </w:p>
    <w:p>
      <w:pPr>
        <w:pStyle w:val="BodyText"/>
        <w:widowControl/>
        <w:spacing w:after="40"/>
        <w:ind w:left="312" w:hanging="198"/>
      </w:pPr>
      <w:r>
        <w:t>3. No external owl:imports statements shall be added to SIoTSecurity.owl v1.0.</w:t>
      </w:r>
    </w:p>
    <w:p>
      <w:pPr>
        <w:pStyle w:val="BodyText"/>
        <w:widowControl/>
        <w:spacing w:after="40"/>
        <w:ind w:left="312" w:hanging="198"/>
      </w:pPr>
      <w:r>
        <w:t>4. Direct external IRI reuse is allowed only when the external semantics match the intended use; otherwise a local specialization/alignment shall be created.</w:t>
      </w:r>
    </w:p>
    <w:p>
      <w:pPr>
        <w:pStyle w:val="BodyText"/>
        <w:widowControl/>
        <w:spacing w:after="40"/>
        <w:ind w:left="312" w:hanging="198"/>
      </w:pPr>
      <w:r>
        <w:t>5. owl:equivalentClass and owl:equivalentProperty shall be used only after a documented identity check; similarity alone is insufficient.</w:t>
      </w:r>
    </w:p>
    <w:p>
      <w:pPr>
        <w:pStyle w:val="BodyText"/>
        <w:widowControl/>
        <w:spacing w:after="40"/>
        <w:ind w:left="312" w:hanging="198"/>
      </w:pPr>
      <w:r>
        <w:t>6. SKOS mappings shall be used for external attack taxonomies and other non-OWL controlled vocabularies when appropriate.</w:t>
      </w:r>
    </w:p>
    <w:p>
      <w:pPr>
        <w:pStyle w:val="BodyText"/>
        <w:widowControl/>
        <w:spacing w:after="40"/>
        <w:ind w:left="312" w:hanging="198"/>
      </w:pPr>
      <w:r>
        <w:t>7. Roles such as Trustor, Trustee, ServiceProvider, ServiceConsumer, and Recommender shall be contextual roles rather than disjoint permanent SmartObject types.</w:t>
      </w:r>
    </w:p>
    <w:p>
      <w:pPr>
        <w:pStyle w:val="BodyText"/>
        <w:widowControl/>
        <w:spacing w:after="40"/>
        <w:ind w:left="312" w:hanging="198"/>
      </w:pPr>
      <w:r>
        <w:t>8. Trust and reputation values shall be associated with context, service, evaluator/evaluated entity and time; they shall not be modeled as permanent scalar attributes of an object.</w:t>
      </w:r>
    </w:p>
    <w:p>
      <w:pPr>
        <w:pStyle w:val="BodyText"/>
        <w:widowControl/>
        <w:spacing w:after="40"/>
        <w:ind w:left="312" w:hanging="198"/>
      </w:pPr>
      <w:r>
        <w:t>9. Numeric values shall retain units, method/configuration, observation time and provenance where relevant.</w:t>
      </w:r>
    </w:p>
    <w:p>
      <w:pPr>
        <w:pStyle w:val="BodyText"/>
        <w:widowControl/>
        <w:spacing w:after="40"/>
        <w:ind w:left="312" w:hanging="198"/>
      </w:pPr>
      <w:r>
        <w:t>10. External computational algorithms may be represented as methods or software activities; OWL is not required to execute Q-learning, DAG, AES, network simulation, or complex numeric aggregation.</w:t>
      </w:r>
    </w:p>
    <w:p>
      <w:pPr>
        <w:pStyle w:val="BodyText"/>
        <w:widowControl/>
        <w:spacing w:after="40"/>
        <w:ind w:left="312" w:hanging="198"/>
      </w:pPr>
      <w:r>
        <w:t>11. The final SIoTSecurity ontology shall be reasoned and regression-tested after the selective mappings are implemented, because even non-imported external IRIs can participate in local axioms.</w:t>
      </w:r>
    </w:p>
    <w:p>
      <w:pPr>
        <w:pStyle w:val="BodyText"/>
        <w:widowControl/>
        <w:spacing w:after="40"/>
        <w:ind w:left="312" w:hanging="198"/>
      </w:pPr>
      <w:r>
        <w:t>12. The reusable-term catalogue produced here shall be used as a mandatory input to the Step 3 glossary, class list, class hierarchy, properties, restrictions and axioms.</w:t>
      </w:r>
    </w:p>
    <w:p>
      <w:pPr>
        <w:pStyle w:val="Heading1"/>
        <w:keepNext/>
        <w:widowControl/>
      </w:pPr>
      <w:r>
        <w:t>15. Technical Verification Record Summary</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493"/>
        <w:gridCol w:w="2493"/>
        <w:gridCol w:w="2493"/>
        <w:gridCol w:w="2493"/>
      </w:tblGrid>
      <w:tr>
        <w:trPr>
          <w:cantSplit/>
          <w:tblHeader w:val="true"/>
        </w:trPr>
        <w:tc>
          <w:tcPr>
            <w:tcW w:type="dxa" w:w="1984"/>
            <w:vAlign w:val="top"/>
            <w:tcMar>
              <w:top w:w="70" w:type="dxa"/>
              <w:start w:w="80" w:type="dxa"/>
              <w:bottom w:w="70" w:type="dxa"/>
              <w:end w:w="80" w:type="dxa"/>
            </w:tcMar>
            <w:shd w:fill="D9EAF7"/>
          </w:tcPr>
          <w:p>
            <w:pPr>
              <w:spacing w:after="30" w:before="0" w:line="240" w:lineRule="auto"/>
            </w:pPr>
            <w:r>
              <w:rPr>
                <w:b/>
                <w:sz w:val="15"/>
              </w:rPr>
              <w:t>Resource</w:t>
            </w:r>
          </w:p>
        </w:tc>
        <w:tc>
          <w:tcPr>
            <w:tcW w:type="dxa" w:w="3685"/>
            <w:vAlign w:val="top"/>
            <w:tcMar>
              <w:top w:w="70" w:type="dxa"/>
              <w:start w:w="80" w:type="dxa"/>
              <w:bottom w:w="70" w:type="dxa"/>
              <w:end w:w="80" w:type="dxa"/>
            </w:tcMar>
            <w:shd w:fill="D9EAF7"/>
          </w:tcPr>
          <w:p>
            <w:pPr>
              <w:spacing w:after="30" w:before="0" w:line="240" w:lineRule="auto"/>
            </w:pPr>
            <w:r>
              <w:rPr>
                <w:b/>
                <w:sz w:val="15"/>
              </w:rPr>
              <w:t>Verification result</w:t>
            </w:r>
          </w:p>
        </w:tc>
        <w:tc>
          <w:tcPr>
            <w:tcW w:type="dxa" w:w="3402"/>
            <w:vAlign w:val="top"/>
            <w:tcMar>
              <w:top w:w="70" w:type="dxa"/>
              <w:start w:w="80" w:type="dxa"/>
              <w:bottom w:w="70" w:type="dxa"/>
              <w:end w:w="80" w:type="dxa"/>
            </w:tcMar>
            <w:shd w:fill="D9EAF7"/>
          </w:tcPr>
          <w:p>
            <w:pPr>
              <w:spacing w:after="30" w:before="0" w:line="240" w:lineRule="auto"/>
            </w:pPr>
            <w:r>
              <w:rPr>
                <w:b/>
                <w:sz w:val="15"/>
              </w:rPr>
              <w:t>Final integration decision</w:t>
            </w:r>
          </w:p>
        </w:tc>
        <w:tc>
          <w:tcPr>
            <w:tcW w:type="dxa" w:w="850"/>
            <w:vAlign w:val="top"/>
            <w:tcMar>
              <w:top w:w="70" w:type="dxa"/>
              <w:start w:w="80" w:type="dxa"/>
              <w:bottom w:w="70" w:type="dxa"/>
              <w:end w:w="80" w:type="dxa"/>
            </w:tcMar>
            <w:shd w:fill="D9EAF7"/>
          </w:tcPr>
          <w:p>
            <w:pPr>
              <w:spacing w:after="30" w:before="0" w:line="240" w:lineRule="auto"/>
            </w:pPr>
            <w:r>
              <w:rPr>
                <w:b/>
                <w:sz w:val="15"/>
              </w:rPr>
              <w:t>Status</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TRESIOT</w:t>
            </w:r>
          </w:p>
        </w:tc>
        <w:tc>
          <w:tcPr>
            <w:tcW w:type="dxa" w:w="3685"/>
            <w:vAlign w:val="top"/>
            <w:tcMar>
              <w:top w:w="70" w:type="dxa"/>
              <w:start w:w="80" w:type="dxa"/>
              <w:bottom w:w="70" w:type="dxa"/>
              <w:end w:w="80" w:type="dxa"/>
            </w:tcMar>
          </w:tcPr>
          <w:p>
            <w:pPr>
              <w:spacing w:after="30" w:before="0" w:line="240" w:lineRule="auto"/>
            </w:pPr>
            <w:r>
              <w:rPr>
                <w:sz w:val="15"/>
              </w:rPr>
              <w:t>Official documentation and terms verified; exact formal serialization not reproducibly retrievable.</w:t>
            </w:r>
          </w:p>
        </w:tc>
        <w:tc>
          <w:tcPr>
            <w:tcW w:type="dxa" w:w="3402"/>
            <w:vAlign w:val="top"/>
            <w:tcMar>
              <w:top w:w="70" w:type="dxa"/>
              <w:start w:w="80" w:type="dxa"/>
              <w:bottom w:w="70" w:type="dxa"/>
              <w:end w:w="80" w:type="dxa"/>
            </w:tcMar>
          </w:tcPr>
          <w:p>
            <w:pPr>
              <w:spacing w:after="30" w:before="0" w:line="240" w:lineRule="auto"/>
            </w:pPr>
            <w:r>
              <w:rPr>
                <w:sz w:val="15"/>
              </w:rPr>
              <w:t>NO owl:imports. Semantic alignment/conceptual reuse only.</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SAREF-TA</w:t>
            </w:r>
          </w:p>
        </w:tc>
        <w:tc>
          <w:tcPr>
            <w:tcW w:type="dxa" w:w="3685"/>
            <w:vAlign w:val="top"/>
            <w:tcMar>
              <w:top w:w="70" w:type="dxa"/>
              <w:start w:w="80" w:type="dxa"/>
              <w:bottom w:w="70" w:type="dxa"/>
              <w:end w:w="80" w:type="dxa"/>
            </w:tcMar>
          </w:tcPr>
          <w:p>
            <w:pPr>
              <w:spacing w:after="30" w:before="0" w:line="240" w:lineRule="auto"/>
            </w:pPr>
            <w:r>
              <w:rPr>
                <w:sz w:val="15"/>
              </w:rPr>
              <w:t>Exact RDF/XML located and inspected; version/IRI/license recorded; no internal imports detected; semantic/modeling issues identified.</w:t>
            </w:r>
          </w:p>
        </w:tc>
        <w:tc>
          <w:tcPr>
            <w:tcW w:type="dxa" w:w="3402"/>
            <w:vAlign w:val="top"/>
            <w:tcMar>
              <w:top w:w="70" w:type="dxa"/>
              <w:start w:w="80" w:type="dxa"/>
              <w:bottom w:w="70" w:type="dxa"/>
              <w:end w:w="80" w:type="dxa"/>
            </w:tcMar>
          </w:tcPr>
          <w:p>
            <w:pPr>
              <w:spacing w:after="30" w:before="0" w:line="240" w:lineRule="auto"/>
            </w:pPr>
            <w:r>
              <w:rPr>
                <w:sz w:val="15"/>
              </w:rPr>
              <w:t>NO owl:imports. Selective trust-term reuse with explicit exclusions.</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SOSA/SSN</w:t>
            </w:r>
          </w:p>
        </w:tc>
        <w:tc>
          <w:tcPr>
            <w:tcW w:type="dxa" w:w="3685"/>
            <w:vAlign w:val="top"/>
            <w:tcMar>
              <w:top w:w="70" w:type="dxa"/>
              <w:start w:w="80" w:type="dxa"/>
              <w:bottom w:w="70" w:type="dxa"/>
              <w:end w:w="80" w:type="dxa"/>
            </w:tcMar>
          </w:tcPr>
          <w:p>
            <w:pPr>
              <w:spacing w:after="30" w:before="0" w:line="240" w:lineRule="auto"/>
            </w:pPr>
            <w:r>
              <w:rPr>
                <w:sz w:val="15"/>
              </w:rPr>
              <w:t>Stable W3C Recommendation selected as v1.0 basis.</w:t>
            </w:r>
          </w:p>
        </w:tc>
        <w:tc>
          <w:tcPr>
            <w:tcW w:type="dxa" w:w="3402"/>
            <w:vAlign w:val="top"/>
            <w:tcMar>
              <w:top w:w="70" w:type="dxa"/>
              <w:start w:w="80" w:type="dxa"/>
              <w:bottom w:w="70" w:type="dxa"/>
              <w:end w:w="80" w:type="dxa"/>
            </w:tcMar>
          </w:tcPr>
          <w:p>
            <w:pPr>
              <w:spacing w:after="30" w:before="0" w:line="240" w:lineRule="auto"/>
            </w:pPr>
            <w:r>
              <w:rPr>
                <w:sz w:val="15"/>
              </w:rPr>
              <w:t>NO owl:imports. Selective IRI reuse.</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SAREF Core</w:t>
            </w:r>
          </w:p>
        </w:tc>
        <w:tc>
          <w:tcPr>
            <w:tcW w:type="dxa" w:w="3685"/>
            <w:vAlign w:val="top"/>
            <w:tcMar>
              <w:top w:w="70" w:type="dxa"/>
              <w:start w:w="80" w:type="dxa"/>
              <w:bottom w:w="70" w:type="dxa"/>
              <w:end w:w="80" w:type="dxa"/>
            </w:tcMar>
          </w:tcPr>
          <w:p>
            <w:pPr>
              <w:spacing w:after="30" w:before="0" w:line="240" w:lineRule="auto"/>
            </w:pPr>
            <w:r>
              <w:rPr>
                <w:sz w:val="15"/>
              </w:rPr>
              <w:t>Current SAREF reference family selected for foundational IoT concepts.</w:t>
            </w:r>
          </w:p>
        </w:tc>
        <w:tc>
          <w:tcPr>
            <w:tcW w:type="dxa" w:w="3402"/>
            <w:vAlign w:val="top"/>
            <w:tcMar>
              <w:top w:w="70" w:type="dxa"/>
              <w:start w:w="80" w:type="dxa"/>
              <w:bottom w:w="70" w:type="dxa"/>
              <w:end w:w="80" w:type="dxa"/>
            </w:tcMar>
          </w:tcPr>
          <w:p>
            <w:pPr>
              <w:spacing w:after="30" w:before="0" w:line="240" w:lineRule="auto"/>
            </w:pPr>
            <w:r>
              <w:rPr>
                <w:sz w:val="15"/>
              </w:rPr>
              <w:t>NO owl:imports. Selective IRI reuse/alignment.</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OWL-Time / PROV-O / QUDT / DQV / GeoSPARQL</w:t>
            </w:r>
          </w:p>
        </w:tc>
        <w:tc>
          <w:tcPr>
            <w:tcW w:type="dxa" w:w="3685"/>
            <w:vAlign w:val="top"/>
            <w:tcMar>
              <w:top w:w="70" w:type="dxa"/>
              <w:start w:w="80" w:type="dxa"/>
              <w:bottom w:w="70" w:type="dxa"/>
              <w:end w:w="80" w:type="dxa"/>
            </w:tcMar>
          </w:tcPr>
          <w:p>
            <w:pPr>
              <w:spacing w:after="30" w:before="0" w:line="240" w:lineRule="auto"/>
            </w:pPr>
            <w:r>
              <w:rPr>
                <w:sz w:val="15"/>
              </w:rPr>
              <w:t>Established standard vocabularies selected for time, provenance, quantities, quality and spatial context.</w:t>
            </w:r>
          </w:p>
        </w:tc>
        <w:tc>
          <w:tcPr>
            <w:tcW w:type="dxa" w:w="3402"/>
            <w:vAlign w:val="top"/>
            <w:tcMar>
              <w:top w:w="70" w:type="dxa"/>
              <w:start w:w="80" w:type="dxa"/>
              <w:bottom w:w="70" w:type="dxa"/>
              <w:end w:w="80" w:type="dxa"/>
            </w:tcMar>
          </w:tcPr>
          <w:p>
            <w:pPr>
              <w:spacing w:after="30" w:before="0" w:line="240" w:lineRule="auto"/>
            </w:pPr>
            <w:r>
              <w:rPr>
                <w:sz w:val="15"/>
              </w:rPr>
              <w:t>NO owl:imports. Selective reuse.</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UCO / D3FEND</w:t>
            </w:r>
          </w:p>
        </w:tc>
        <w:tc>
          <w:tcPr>
            <w:tcW w:type="dxa" w:w="3685"/>
            <w:vAlign w:val="top"/>
            <w:tcMar>
              <w:top w:w="70" w:type="dxa"/>
              <w:start w:w="80" w:type="dxa"/>
              <w:bottom w:w="70" w:type="dxa"/>
              <w:end w:w="80" w:type="dxa"/>
            </w:tcMar>
          </w:tcPr>
          <w:p>
            <w:pPr>
              <w:spacing w:after="30" w:before="0" w:line="240" w:lineRule="auto"/>
            </w:pPr>
            <w:r>
              <w:rPr>
                <w:sz w:val="15"/>
              </w:rPr>
              <w:t>Cybersecurity/defense resources accepted as alignment sources.</w:t>
            </w:r>
          </w:p>
        </w:tc>
        <w:tc>
          <w:tcPr>
            <w:tcW w:type="dxa" w:w="3402"/>
            <w:vAlign w:val="top"/>
            <w:tcMar>
              <w:top w:w="70" w:type="dxa"/>
              <w:start w:w="80" w:type="dxa"/>
              <w:bottom w:w="70" w:type="dxa"/>
              <w:end w:w="80" w:type="dxa"/>
            </w:tcMar>
          </w:tcPr>
          <w:p>
            <w:pPr>
              <w:spacing w:after="30" w:before="0" w:line="240" w:lineRule="auto"/>
            </w:pPr>
            <w:r>
              <w:rPr>
                <w:sz w:val="15"/>
              </w:rPr>
              <w:t>NO owl:imports. Selective mappings.</w:t>
            </w:r>
          </w:p>
        </w:tc>
        <w:tc>
          <w:tcPr>
            <w:tcW w:type="dxa" w:w="850"/>
            <w:vAlign w:val="top"/>
            <w:tcMar>
              <w:top w:w="70" w:type="dxa"/>
              <w:start w:w="80" w:type="dxa"/>
              <w:bottom w:w="70" w:type="dxa"/>
              <w:end w:w="80" w:type="dxa"/>
            </w:tcMar>
          </w:tcPr>
          <w:p>
            <w:pPr>
              <w:spacing w:after="30" w:before="0" w:line="240" w:lineRule="auto"/>
            </w:pPr>
            <w:r>
              <w:rPr>
                <w:sz w:val="15"/>
              </w:rPr>
              <w:t>CLOSED</w:t>
            </w:r>
          </w:p>
        </w:tc>
      </w:tr>
      <w:tr>
        <w:trPr>
          <w:cantSplit/>
        </w:trPr>
        <w:tc>
          <w:tcPr>
            <w:tcW w:type="dxa" w:w="1984"/>
            <w:vAlign w:val="top"/>
            <w:tcMar>
              <w:top w:w="70" w:type="dxa"/>
              <w:start w:w="80" w:type="dxa"/>
              <w:bottom w:w="70" w:type="dxa"/>
              <w:end w:w="80" w:type="dxa"/>
            </w:tcMar>
          </w:tcPr>
          <w:p>
            <w:pPr>
              <w:spacing w:after="30" w:before="0" w:line="240" w:lineRule="auto"/>
            </w:pPr>
            <w:r>
              <w:rPr>
                <w:sz w:val="15"/>
              </w:rPr>
              <w:t>CAPEC / ATT&amp;CK / standards / algorithms</w:t>
            </w:r>
          </w:p>
        </w:tc>
        <w:tc>
          <w:tcPr>
            <w:tcW w:type="dxa" w:w="3685"/>
            <w:vAlign w:val="top"/>
            <w:tcMar>
              <w:top w:w="70" w:type="dxa"/>
              <w:start w:w="80" w:type="dxa"/>
              <w:bottom w:w="70" w:type="dxa"/>
              <w:end w:w="80" w:type="dxa"/>
            </w:tcMar>
          </w:tcPr>
          <w:p>
            <w:pPr>
              <w:spacing w:after="30" w:before="0" w:line="240" w:lineRule="auto"/>
            </w:pPr>
            <w:r>
              <w:rPr>
                <w:sz w:val="15"/>
              </w:rPr>
              <w:t>Classified correctly as taxonomies, standards, methods or technologies rather than imported ontologies.</w:t>
            </w:r>
          </w:p>
        </w:tc>
        <w:tc>
          <w:tcPr>
            <w:tcW w:type="dxa" w:w="3402"/>
            <w:vAlign w:val="top"/>
            <w:tcMar>
              <w:top w:w="70" w:type="dxa"/>
              <w:start w:w="80" w:type="dxa"/>
              <w:bottom w:w="70" w:type="dxa"/>
              <w:end w:w="80" w:type="dxa"/>
            </w:tcMar>
          </w:tcPr>
          <w:p>
            <w:pPr>
              <w:spacing w:after="30" w:before="0" w:line="240" w:lineRule="auto"/>
            </w:pPr>
            <w:r>
              <w:rPr>
                <w:sz w:val="15"/>
              </w:rPr>
              <w:t>Reference/mapping only.</w:t>
            </w:r>
          </w:p>
        </w:tc>
        <w:tc>
          <w:tcPr>
            <w:tcW w:type="dxa" w:w="850"/>
            <w:vAlign w:val="top"/>
            <w:tcMar>
              <w:top w:w="70" w:type="dxa"/>
              <w:start w:w="80" w:type="dxa"/>
              <w:bottom w:w="70" w:type="dxa"/>
              <w:end w:w="80" w:type="dxa"/>
            </w:tcMar>
          </w:tcPr>
          <w:p>
            <w:pPr>
              <w:spacing w:after="30" w:before="0" w:line="240" w:lineRule="auto"/>
            </w:pPr>
            <w:r>
              <w:rPr>
                <w:sz w:val="15"/>
              </w:rPr>
              <w:t>CLOSED</w:t>
            </w:r>
          </w:p>
        </w:tc>
      </w:tr>
    </w:tbl>
    <w:p>
      <w:pPr>
        <w:widowControl/>
      </w:pPr>
    </w:p>
    <w:p>
      <w:pPr>
        <w:pStyle w:val="BodyText"/>
        <w:widowControl/>
        <w:spacing w:after="100"/>
      </w:pPr>
      <w:r>
        <w:rPr>
          <w:i w:val="0"/>
        </w:rPr>
        <w:t>The absence of a local OWLAPI/HermiT execution over the complete SAREF-TA file in the connector runtime does not leave the imports-versus-alignment decision pending. Full import is already rejected by the explicit v1.0 architecture policy and by the independent semantic/modeling findings. OWL 2 DL profile and reasoner tests are mandatory on the resulting SIoTSecurity ontology and its explicit mappings during implementation/evaluation.</w:t>
      </w:r>
    </w:p>
    <w:p>
      <w:pPr>
        <w:pStyle w:val="Heading1"/>
        <w:keepNext/>
        <w:widowControl/>
      </w:pPr>
      <w:r>
        <w:t>16. Step 2 Deliverables for Step 3</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24"/>
        <w:gridCol w:w="3324"/>
        <w:gridCol w:w="3324"/>
      </w:tblGrid>
      <w:tr>
        <w:trPr>
          <w:cantSplit/>
          <w:tblHeader w:val="true"/>
        </w:trPr>
        <w:tc>
          <w:tcPr>
            <w:tcW w:type="dxa" w:w="3402"/>
            <w:vAlign w:val="top"/>
            <w:tcMar>
              <w:top w:w="70" w:type="dxa"/>
              <w:start w:w="80" w:type="dxa"/>
              <w:bottom w:w="70" w:type="dxa"/>
              <w:end w:w="80" w:type="dxa"/>
            </w:tcMar>
            <w:shd w:fill="D9EAF7"/>
          </w:tcPr>
          <w:p>
            <w:pPr>
              <w:spacing w:after="30" w:before="0" w:line="240" w:lineRule="auto"/>
            </w:pPr>
            <w:r>
              <w:rPr>
                <w:b/>
                <w:sz w:val="16"/>
              </w:rPr>
              <w:t>Deliverable</w:t>
            </w:r>
          </w:p>
        </w:tc>
        <w:tc>
          <w:tcPr>
            <w:tcW w:type="dxa" w:w="2268"/>
            <w:vAlign w:val="top"/>
            <w:tcMar>
              <w:top w:w="70" w:type="dxa"/>
              <w:start w:w="80" w:type="dxa"/>
              <w:bottom w:w="70" w:type="dxa"/>
              <w:end w:w="80" w:type="dxa"/>
            </w:tcMar>
            <w:shd w:fill="D9EAF7"/>
          </w:tcPr>
          <w:p>
            <w:pPr>
              <w:spacing w:after="30" w:before="0" w:line="240" w:lineRule="auto"/>
            </w:pPr>
            <w:r>
              <w:rPr>
                <w:b/>
                <w:sz w:val="16"/>
              </w:rPr>
              <w:t>Status</w:t>
            </w:r>
          </w:p>
        </w:tc>
        <w:tc>
          <w:tcPr>
            <w:tcW w:type="dxa" w:w="3969"/>
            <w:vAlign w:val="top"/>
            <w:tcMar>
              <w:top w:w="70" w:type="dxa"/>
              <w:start w:w="80" w:type="dxa"/>
              <w:bottom w:w="70" w:type="dxa"/>
              <w:end w:w="80" w:type="dxa"/>
            </w:tcMar>
            <w:shd w:fill="D9EAF7"/>
          </w:tcPr>
          <w:p>
            <w:pPr>
              <w:spacing w:after="30" w:before="0" w:line="240" w:lineRule="auto"/>
            </w:pPr>
            <w:r>
              <w:rPr>
                <w:b/>
                <w:sz w:val="16"/>
              </w:rPr>
              <w:t>Use in next step</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External resource inventory</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Source for glossary/classes/properties provenance.</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owl:imports versus alignment decision</w:t>
            </w:r>
          </w:p>
        </w:tc>
        <w:tc>
          <w:tcPr>
            <w:tcW w:type="dxa" w:w="2268"/>
            <w:vAlign w:val="top"/>
            <w:tcMar>
              <w:top w:w="70" w:type="dxa"/>
              <w:start w:w="80" w:type="dxa"/>
              <w:bottom w:w="70" w:type="dxa"/>
              <w:end w:w="80" w:type="dxa"/>
            </w:tcMar>
          </w:tcPr>
          <w:p>
            <w:pPr>
              <w:spacing w:after="30" w:before="0" w:line="240" w:lineRule="auto"/>
            </w:pPr>
            <w:r>
              <w:rPr>
                <w:sz w:val="16"/>
              </w:rPr>
              <w:t>COMPLETED - no external full imports in v1.0</w:t>
            </w:r>
          </w:p>
        </w:tc>
        <w:tc>
          <w:tcPr>
            <w:tcW w:type="dxa" w:w="3969"/>
            <w:vAlign w:val="top"/>
            <w:tcMar>
              <w:top w:w="70" w:type="dxa"/>
              <w:start w:w="80" w:type="dxa"/>
              <w:bottom w:w="70" w:type="dxa"/>
              <w:end w:w="80" w:type="dxa"/>
            </w:tcMar>
          </w:tcPr>
          <w:p>
            <w:pPr>
              <w:spacing w:after="30" w:before="0" w:line="240" w:lineRule="auto"/>
            </w:pPr>
            <w:r>
              <w:rPr>
                <w:sz w:val="16"/>
              </w:rPr>
              <w:t>Implementation constraint for all Step 3/4 artifacts.</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TRESIOT reuse decision</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Trust/recommendation/context vocabulary alignment.</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SAREF-TA technical reuse decision</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Selective trust-indicator terms; exclusions documented.</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Foundational ontology decisions</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SAREF, SOSA/SSN, time, provenance, measurement, spatial patterns.</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Cybersecurity/defense mapping decisions</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Threat/attack/defense alignment targets.</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Local-gap catalogue</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Mandatory SIoTSecurity classes/properties to define in Step 3.</w:t>
            </w:r>
          </w:p>
        </w:tc>
      </w:tr>
      <w:tr>
        <w:trPr>
          <w:cantSplit/>
        </w:trPr>
        <w:tc>
          <w:tcPr>
            <w:tcW w:type="dxa" w:w="3402"/>
            <w:vAlign w:val="top"/>
            <w:tcMar>
              <w:top w:w="70" w:type="dxa"/>
              <w:start w:w="80" w:type="dxa"/>
              <w:bottom w:w="70" w:type="dxa"/>
              <w:end w:w="80" w:type="dxa"/>
            </w:tcMar>
          </w:tcPr>
          <w:p>
            <w:pPr>
              <w:spacing w:after="30" w:before="0" w:line="240" w:lineRule="auto"/>
            </w:pPr>
            <w:r>
              <w:rPr>
                <w:sz w:val="16"/>
              </w:rPr>
              <w:t>CQ-to-reuse coverage matrix</w:t>
            </w:r>
          </w:p>
        </w:tc>
        <w:tc>
          <w:tcPr>
            <w:tcW w:type="dxa" w:w="2268"/>
            <w:vAlign w:val="top"/>
            <w:tcMar>
              <w:top w:w="70" w:type="dxa"/>
              <w:start w:w="80" w:type="dxa"/>
              <w:bottom w:w="70" w:type="dxa"/>
              <w:end w:w="80" w:type="dxa"/>
            </w:tcMar>
          </w:tcPr>
          <w:p>
            <w:pPr>
              <w:spacing w:after="30" w:before="0" w:line="240" w:lineRule="auto"/>
            </w:pPr>
            <w:r>
              <w:rPr>
                <w:sz w:val="16"/>
              </w:rPr>
              <w:t>COMPLETED</w:t>
            </w:r>
          </w:p>
        </w:tc>
        <w:tc>
          <w:tcPr>
            <w:tcW w:type="dxa" w:w="3969"/>
            <w:vAlign w:val="top"/>
            <w:tcMar>
              <w:top w:w="70" w:type="dxa"/>
              <w:start w:w="80" w:type="dxa"/>
              <w:bottom w:w="70" w:type="dxa"/>
              <w:end w:w="80" w:type="dxa"/>
            </w:tcMar>
          </w:tcPr>
          <w:p>
            <w:pPr>
              <w:spacing w:after="30" w:before="0" w:line="240" w:lineRule="auto"/>
            </w:pPr>
            <w:r>
              <w:rPr>
                <w:sz w:val="16"/>
              </w:rPr>
              <w:t>Traceability baseline for Step 3 and SPARQL tests.</w:t>
            </w:r>
          </w:p>
        </w:tc>
      </w:tr>
    </w:tbl>
    <w:p>
      <w:pPr>
        <w:widowControl/>
      </w:pPr>
    </w:p>
    <w:p>
      <w:pPr>
        <w:pStyle w:val="Heading1"/>
        <w:keepNext/>
        <w:widowControl/>
      </w:pPr>
      <w:r>
        <w:t>17. Step 2 Acceptance Criteria</w:t>
      </w:r>
    </w:p>
    <w:p>
      <w:pPr>
        <w:pStyle w:val="BodyText"/>
        <w:widowControl/>
        <w:spacing w:after="100"/>
      </w:pPr>
      <w:r>
        <w:rPr>
          <w:i w:val="0"/>
        </w:rPr>
        <w:t>The Step 2 document is complete for review when all the following conditions are satisfied:</w:t>
      </w:r>
    </w:p>
    <w:p>
      <w:pPr>
        <w:pStyle w:val="BodyText"/>
        <w:widowControl/>
        <w:spacing w:after="40"/>
        <w:ind w:left="312" w:hanging="198"/>
      </w:pPr>
      <w:r>
        <w:t>1. The approved Step 1 requirements are used as the scope baseline.</w:t>
      </w:r>
    </w:p>
    <w:p>
      <w:pPr>
        <w:pStyle w:val="BodyText"/>
        <w:widowControl/>
        <w:spacing w:after="40"/>
        <w:ind w:left="312" w:hanging="198"/>
      </w:pPr>
      <w:r>
        <w:t>2. The RSL ontology/standard/metric findings are separated into true ontologies, controlled vocabularies/taxonomies, standards, methods, and technologies.</w:t>
      </w:r>
    </w:p>
    <w:p>
      <w:pPr>
        <w:pStyle w:val="BodyText"/>
        <w:widowControl/>
        <w:spacing w:after="40"/>
        <w:ind w:left="312" w:hanging="198"/>
      </w:pPr>
      <w:r>
        <w:t>3. TRESIOT and SAREF-TA have explicit and final reuse decisions.</w:t>
      </w:r>
    </w:p>
    <w:p>
      <w:pPr>
        <w:pStyle w:val="BodyText"/>
        <w:widowControl/>
        <w:spacing w:after="40"/>
        <w:ind w:left="312" w:hanging="198"/>
      </w:pPr>
      <w:r>
        <w:t>4. The exact SAREF-TA RDF/XML artifact and version identity are recorded.</w:t>
      </w:r>
    </w:p>
    <w:p>
      <w:pPr>
        <w:pStyle w:val="BodyText"/>
        <w:widowControl/>
        <w:spacing w:after="40"/>
        <w:ind w:left="312" w:hanging="198"/>
      </w:pPr>
      <w:r>
        <w:t>5. The lack of a reproducibly retrievable TRESIOT serialization is documented and resolved through alignment rather than left as an open issue.</w:t>
      </w:r>
    </w:p>
    <w:p>
      <w:pPr>
        <w:pStyle w:val="BodyText"/>
        <w:widowControl/>
        <w:spacing w:after="40"/>
        <w:ind w:left="312" w:hanging="198"/>
      </w:pPr>
      <w:r>
        <w:t>6. The project-wide v1.0 owl:imports decision is explicit: no external full imports.</w:t>
      </w:r>
    </w:p>
    <w:p>
      <w:pPr>
        <w:pStyle w:val="BodyText"/>
        <w:widowControl/>
        <w:spacing w:after="40"/>
        <w:ind w:left="312" w:hanging="198"/>
      </w:pPr>
      <w:r>
        <w:t>7. Each accepted external resource has a defined selective reuse/alignment role.</w:t>
      </w:r>
    </w:p>
    <w:p>
      <w:pPr>
        <w:pStyle w:val="BodyText"/>
        <w:widowControl/>
        <w:spacing w:after="40"/>
        <w:ind w:left="312" w:hanging="198"/>
      </w:pPr>
      <w:r>
        <w:t>8. Known SAREF-TA terms with undesirable modeling consequences are explicitly excluded from direct reuse.</w:t>
      </w:r>
    </w:p>
    <w:p>
      <w:pPr>
        <w:pStyle w:val="BodyText"/>
        <w:widowControl/>
        <w:spacing w:after="40"/>
        <w:ind w:left="312" w:hanging="198"/>
      </w:pPr>
      <w:r>
        <w:t>9. Foundational IoT, observation, time, provenance, measurement, location, cybersecurity and defense sources are assigned without duplicating their functions.</w:t>
      </w:r>
    </w:p>
    <w:p>
      <w:pPr>
        <w:pStyle w:val="BodyText"/>
        <w:widowControl/>
        <w:spacing w:after="40"/>
        <w:ind w:left="312" w:hanging="198"/>
      </w:pPr>
      <w:r>
        <w:t>10. The five approved resilience capabilities remain local SIoTSecurity concepts.</w:t>
      </w:r>
    </w:p>
    <w:p>
      <w:pPr>
        <w:pStyle w:val="BodyText"/>
        <w:widowControl/>
        <w:spacing w:after="40"/>
        <w:ind w:left="312" w:hanging="198"/>
      </w:pPr>
      <w:r>
        <w:t>11. The resilience-indicator structure remains a local SIoTSecurity contribution.</w:t>
      </w:r>
    </w:p>
    <w:p>
      <w:pPr>
        <w:pStyle w:val="BodyText"/>
        <w:widowControl/>
        <w:spacing w:after="40"/>
        <w:ind w:left="312" w:hanging="198"/>
      </w:pPr>
      <w:r>
        <w:t>12. Weights, thresholds, formulas, scores and learning rewards from prior studies are not treated as universal axioms without validation.</w:t>
      </w:r>
    </w:p>
    <w:p>
      <w:pPr>
        <w:pStyle w:val="BodyText"/>
        <w:widowControl/>
        <w:spacing w:after="40"/>
        <w:ind w:left="312" w:hanging="198"/>
      </w:pPr>
      <w:r>
        <w:t>13. Competency-question groups are traceable to reuse sources and local modeling gaps.</w:t>
      </w:r>
    </w:p>
    <w:p>
      <w:pPr>
        <w:pStyle w:val="BodyText"/>
        <w:widowControl/>
        <w:spacing w:after="40"/>
        <w:ind w:left="312" w:hanging="198"/>
      </w:pPr>
      <w:r>
        <w:t>14. The next-step class/glossary/property work has an explicit reuse catalogue and implementation rules.</w:t>
      </w:r>
    </w:p>
    <w:p>
      <w:pPr>
        <w:pStyle w:val="Heading1"/>
        <w:keepNext/>
        <w:widowControl/>
      </w:pPr>
      <w:r>
        <w:t>18. References and Source Records</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680"/>
            <w:vAlign w:val="top"/>
            <w:tcMar>
              <w:top w:w="70" w:type="dxa"/>
              <w:start w:w="80" w:type="dxa"/>
              <w:bottom w:w="70" w:type="dxa"/>
              <w:end w:w="80" w:type="dxa"/>
            </w:tcMar>
            <w:shd w:fill="D9EAF7"/>
          </w:tcPr>
          <w:p>
            <w:pPr>
              <w:spacing w:after="30" w:before="0" w:line="240" w:lineRule="auto"/>
            </w:pPr>
            <w:r>
              <w:rPr>
                <w:b/>
                <w:sz w:val="16"/>
              </w:rPr>
              <w:t>ID</w:t>
            </w:r>
          </w:p>
        </w:tc>
        <w:tc>
          <w:tcPr>
            <w:tcW w:type="dxa" w:w="8957"/>
            <w:vAlign w:val="top"/>
            <w:tcMar>
              <w:top w:w="70" w:type="dxa"/>
              <w:start w:w="80" w:type="dxa"/>
              <w:bottom w:w="70" w:type="dxa"/>
              <w:end w:w="80" w:type="dxa"/>
            </w:tcMar>
            <w:shd w:fill="D9EAF7"/>
          </w:tcPr>
          <w:p>
            <w:pPr>
              <w:spacing w:after="30" w:before="0" w:line="240" w:lineRule="auto"/>
            </w:pPr>
            <w:r>
              <w:rPr>
                <w:b/>
                <w:sz w:val="16"/>
              </w:rPr>
              <w:t>Source</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w:t>
            </w:r>
          </w:p>
        </w:tc>
        <w:tc>
          <w:tcPr>
            <w:tcW w:type="dxa" w:w="8957"/>
            <w:vAlign w:val="top"/>
            <w:tcMar>
              <w:top w:w="70" w:type="dxa"/>
              <w:start w:w="80" w:type="dxa"/>
              <w:bottom w:w="70" w:type="dxa"/>
              <w:end w:w="80" w:type="dxa"/>
            </w:tcMar>
          </w:tcPr>
          <w:p>
            <w:pPr>
              <w:spacing w:after="30" w:before="0" w:line="240" w:lineRule="auto"/>
            </w:pPr>
            <w:r>
              <w:rPr>
                <w:sz w:val="16"/>
              </w:rPr>
              <w:t>SIoTSecurity Ontology Formalization v1.1, Step 1 - Requirements Determination, approved 6 August 2026.</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R2</w:t>
            </w:r>
          </w:p>
        </w:tc>
        <w:tc>
          <w:tcPr>
            <w:tcW w:type="dxa" w:w="8957"/>
            <w:vAlign w:val="top"/>
            <w:tcMar>
              <w:top w:w="70" w:type="dxa"/>
              <w:start w:w="80" w:type="dxa"/>
              <w:bottom w:w="70" w:type="dxa"/>
              <w:end w:w="80" w:type="dxa"/>
            </w:tcMar>
          </w:tcPr>
          <w:p>
            <w:pPr>
              <w:spacing w:after="30" w:before="0" w:line="240" w:lineRule="auto"/>
            </w:pPr>
            <w:r>
              <w:rPr>
                <w:sz w:val="16"/>
              </w:rPr>
              <w:t>Seguridad resiliente en la SIoT - RSL.docx, updated systematic literature review used as Step 2 evidence source.</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R3</w:t>
            </w:r>
          </w:p>
        </w:tc>
        <w:tc>
          <w:tcPr>
            <w:tcW w:type="dxa" w:w="8957"/>
            <w:vAlign w:val="top"/>
            <w:tcMar>
              <w:top w:w="70" w:type="dxa"/>
              <w:start w:w="80" w:type="dxa"/>
              <w:bottom w:w="70" w:type="dxa"/>
              <w:end w:w="80" w:type="dxa"/>
            </w:tcMar>
          </w:tcPr>
          <w:p>
            <w:pPr>
              <w:spacing w:after="30" w:before="0" w:line="240" w:lineRule="auto"/>
            </w:pPr>
            <w:r>
              <w:rPr>
                <w:sz w:val="16"/>
              </w:rPr>
              <w:t>Díaz-Santacruz, C. A., Niño-Zambrano, M. A., Zarate-Guevara, D. G., &amp; Bulla-Ortega, S. Y. (2024). Reputation Indicator to Ensure Security in Semantic Interaction between IoT Smart Objects Using DAG and AES Cryptography. Revista Científica, 51(3), 62-86. DOI: 10.14483/23448350.22622.</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R4</w:t>
            </w:r>
          </w:p>
        </w:tc>
        <w:tc>
          <w:tcPr>
            <w:tcW w:type="dxa" w:w="8957"/>
            <w:vAlign w:val="top"/>
            <w:tcMar>
              <w:top w:w="70" w:type="dxa"/>
              <w:start w:w="80" w:type="dxa"/>
              <w:bottom w:w="70" w:type="dxa"/>
              <w:end w:w="80" w:type="dxa"/>
            </w:tcMar>
          </w:tcPr>
          <w:p>
            <w:pPr>
              <w:spacing w:after="30" w:before="0" w:line="240" w:lineRule="auto"/>
            </w:pPr>
            <w:r>
              <w:rPr>
                <w:sz w:val="16"/>
              </w:rPr>
              <w:t>TRESIOT official documentation: https://liidr.org/trust-recommendation-in-social-internet-of-things/ (accessed during Step 2).</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R5</w:t>
            </w:r>
          </w:p>
        </w:tc>
        <w:tc>
          <w:tcPr>
            <w:tcW w:type="dxa" w:w="8957"/>
            <w:vAlign w:val="top"/>
            <w:tcMar>
              <w:top w:w="70" w:type="dxa"/>
              <w:start w:w="80" w:type="dxa"/>
              <w:bottom w:w="70" w:type="dxa"/>
              <w:end w:w="80" w:type="dxa"/>
            </w:tcMar>
          </w:tcPr>
          <w:p>
            <w:pPr>
              <w:spacing w:after="30" w:before="0" w:line="240" w:lineRule="auto"/>
            </w:pPr>
            <w:r>
              <w:rPr>
                <w:sz w:val="16"/>
              </w:rPr>
              <w:t>SAREF-TA repository: https://github.com/MB-Presents/SAREF-TA ; inspected file Ontology/saref-ta.rdf, blob SHA 89d98dd2cea4963caf36894d4c288cb5ade636c6.</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R6</w:t>
            </w:r>
          </w:p>
        </w:tc>
        <w:tc>
          <w:tcPr>
            <w:tcW w:type="dxa" w:w="8957"/>
            <w:vAlign w:val="top"/>
            <w:tcMar>
              <w:top w:w="70" w:type="dxa"/>
              <w:start w:w="80" w:type="dxa"/>
              <w:bottom w:w="70" w:type="dxa"/>
              <w:end w:w="80" w:type="dxa"/>
            </w:tcMar>
          </w:tcPr>
          <w:p>
            <w:pPr>
              <w:spacing w:after="30" w:before="0" w:line="240" w:lineRule="auto"/>
            </w:pPr>
            <w:r>
              <w:rPr>
                <w:sz w:val="16"/>
              </w:rPr>
              <w:t>W3C Semantic Sensor Network Ontology (SOSA/SSN), W3C Recommendation 19 October 2017: https://www.w3.org/TR/vocab-ssn/.</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R7</w:t>
            </w:r>
          </w:p>
        </w:tc>
        <w:tc>
          <w:tcPr>
            <w:tcW w:type="dxa" w:w="8957"/>
            <w:vAlign w:val="top"/>
            <w:tcMar>
              <w:top w:w="70" w:type="dxa"/>
              <w:start w:w="80" w:type="dxa"/>
              <w:bottom w:w="70" w:type="dxa"/>
              <w:end w:w="80" w:type="dxa"/>
            </w:tcMar>
          </w:tcPr>
          <w:p>
            <w:pPr>
              <w:spacing w:after="30" w:before="0" w:line="240" w:lineRule="auto"/>
            </w:pPr>
            <w:r>
              <w:rPr>
                <w:sz w:val="16"/>
              </w:rPr>
              <w:t>ETSI SAREF portal: https://saref.etsi.org/.</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R8</w:t>
            </w:r>
          </w:p>
        </w:tc>
        <w:tc>
          <w:tcPr>
            <w:tcW w:type="dxa" w:w="8957"/>
            <w:vAlign w:val="top"/>
            <w:tcMar>
              <w:top w:w="70" w:type="dxa"/>
              <w:start w:w="80" w:type="dxa"/>
              <w:bottom w:w="70" w:type="dxa"/>
              <w:end w:w="80" w:type="dxa"/>
            </w:tcMar>
          </w:tcPr>
          <w:p>
            <w:pPr>
              <w:spacing w:after="30" w:before="0" w:line="240" w:lineRule="auto"/>
            </w:pPr>
            <w:r>
              <w:rPr>
                <w:sz w:val="16"/>
              </w:rPr>
              <w:t>W3C PROV-O: The PROV Ontology: https://www.w3.org/TR/prov-o/.</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R9</w:t>
            </w:r>
          </w:p>
        </w:tc>
        <w:tc>
          <w:tcPr>
            <w:tcW w:type="dxa" w:w="8957"/>
            <w:vAlign w:val="top"/>
            <w:tcMar>
              <w:top w:w="70" w:type="dxa"/>
              <w:start w:w="80" w:type="dxa"/>
              <w:bottom w:w="70" w:type="dxa"/>
              <w:end w:w="80" w:type="dxa"/>
            </w:tcMar>
          </w:tcPr>
          <w:p>
            <w:pPr>
              <w:spacing w:after="30" w:before="0" w:line="240" w:lineRule="auto"/>
            </w:pPr>
            <w:r>
              <w:rPr>
                <w:sz w:val="16"/>
              </w:rPr>
              <w:t>W3C Time Ontology in OWL: https://www.w3.org/TR/owl-time/.</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R10</w:t>
            </w:r>
          </w:p>
        </w:tc>
        <w:tc>
          <w:tcPr>
            <w:tcW w:type="dxa" w:w="8957"/>
            <w:vAlign w:val="top"/>
            <w:tcMar>
              <w:top w:w="70" w:type="dxa"/>
              <w:start w:w="80" w:type="dxa"/>
              <w:bottom w:w="70" w:type="dxa"/>
              <w:end w:w="80" w:type="dxa"/>
            </w:tcMar>
          </w:tcPr>
          <w:p>
            <w:pPr>
              <w:spacing w:after="30" w:before="0" w:line="240" w:lineRule="auto"/>
            </w:pPr>
            <w:r>
              <w:rPr>
                <w:sz w:val="16"/>
              </w:rPr>
              <w:t>QUDT: https://qudt.org/.</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R11</w:t>
            </w:r>
          </w:p>
        </w:tc>
        <w:tc>
          <w:tcPr>
            <w:tcW w:type="dxa" w:w="8957"/>
            <w:vAlign w:val="top"/>
            <w:tcMar>
              <w:top w:w="70" w:type="dxa"/>
              <w:start w:w="80" w:type="dxa"/>
              <w:bottom w:w="70" w:type="dxa"/>
              <w:end w:w="80" w:type="dxa"/>
            </w:tcMar>
          </w:tcPr>
          <w:p>
            <w:pPr>
              <w:spacing w:after="30" w:before="0" w:line="240" w:lineRule="auto"/>
            </w:pPr>
            <w:r>
              <w:rPr>
                <w:sz w:val="16"/>
              </w:rPr>
              <w:t>OGC GeoSPARQL 1.1: https://www.ogc.org/standard/geosparql/.</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R12</w:t>
            </w:r>
          </w:p>
        </w:tc>
        <w:tc>
          <w:tcPr>
            <w:tcW w:type="dxa" w:w="8957"/>
            <w:vAlign w:val="top"/>
            <w:tcMar>
              <w:top w:w="70" w:type="dxa"/>
              <w:start w:w="80" w:type="dxa"/>
              <w:bottom w:w="70" w:type="dxa"/>
              <w:end w:w="80" w:type="dxa"/>
            </w:tcMar>
          </w:tcPr>
          <w:p>
            <w:pPr>
              <w:spacing w:after="30" w:before="0" w:line="240" w:lineRule="auto"/>
            </w:pPr>
            <w:r>
              <w:rPr>
                <w:sz w:val="16"/>
              </w:rPr>
              <w:t>Unified Cybersecurity Ontology (UCO): https://unifiedcyberontology.org/.</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R13</w:t>
            </w:r>
          </w:p>
        </w:tc>
        <w:tc>
          <w:tcPr>
            <w:tcW w:type="dxa" w:w="8957"/>
            <w:vAlign w:val="top"/>
            <w:tcMar>
              <w:top w:w="70" w:type="dxa"/>
              <w:start w:w="80" w:type="dxa"/>
              <w:bottom w:w="70" w:type="dxa"/>
              <w:end w:w="80" w:type="dxa"/>
            </w:tcMar>
          </w:tcPr>
          <w:p>
            <w:pPr>
              <w:spacing w:after="30" w:before="0" w:line="240" w:lineRule="auto"/>
            </w:pPr>
            <w:r>
              <w:rPr>
                <w:sz w:val="16"/>
              </w:rPr>
              <w:t>MITRE D3FEND: https://d3fend.mitre.org/.</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R14</w:t>
            </w:r>
          </w:p>
        </w:tc>
        <w:tc>
          <w:tcPr>
            <w:tcW w:type="dxa" w:w="8957"/>
            <w:vAlign w:val="top"/>
            <w:tcMar>
              <w:top w:w="70" w:type="dxa"/>
              <w:start w:w="80" w:type="dxa"/>
              <w:bottom w:w="70" w:type="dxa"/>
              <w:end w:w="80" w:type="dxa"/>
            </w:tcMar>
          </w:tcPr>
          <w:p>
            <w:pPr>
              <w:spacing w:after="30" w:before="0" w:line="240" w:lineRule="auto"/>
            </w:pPr>
            <w:r>
              <w:rPr>
                <w:sz w:val="16"/>
              </w:rPr>
              <w:t>W3C Data Quality Vocabulary (DQV): https://www.w3.org/TR/vocab-dqv/.</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R15</w:t>
            </w:r>
          </w:p>
        </w:tc>
        <w:tc>
          <w:tcPr>
            <w:tcW w:type="dxa" w:w="8957"/>
            <w:vAlign w:val="top"/>
            <w:tcMar>
              <w:top w:w="70" w:type="dxa"/>
              <w:start w:w="80" w:type="dxa"/>
              <w:bottom w:w="70" w:type="dxa"/>
              <w:end w:w="80" w:type="dxa"/>
            </w:tcMar>
          </w:tcPr>
          <w:p>
            <w:pPr>
              <w:spacing w:after="30" w:before="0" w:line="240" w:lineRule="auto"/>
            </w:pPr>
            <w:r>
              <w:rPr>
                <w:sz w:val="16"/>
              </w:rPr>
              <w:t>oneM2M Base Ontology, TS-0012: official oneM2M specifications portal.</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R16</w:t>
            </w:r>
          </w:p>
        </w:tc>
        <w:tc>
          <w:tcPr>
            <w:tcW w:type="dxa" w:w="8957"/>
            <w:vAlign w:val="top"/>
            <w:tcMar>
              <w:top w:w="70" w:type="dxa"/>
              <w:start w:w="80" w:type="dxa"/>
              <w:bottom w:w="70" w:type="dxa"/>
              <w:end w:w="80" w:type="dxa"/>
            </w:tcMar>
          </w:tcPr>
          <w:p>
            <w:pPr>
              <w:spacing w:after="30" w:before="0" w:line="240" w:lineRule="auto"/>
            </w:pPr>
            <w:r>
              <w:rPr>
                <w:sz w:val="16"/>
              </w:rPr>
              <w:t>OWL-S 1.1, W3C Member Submission: https://www.w3.org/Submission/OWL-S/.</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R17</w:t>
            </w:r>
          </w:p>
        </w:tc>
        <w:tc>
          <w:tcPr>
            <w:tcW w:type="dxa" w:w="8957"/>
            <w:vAlign w:val="top"/>
            <w:tcMar>
              <w:top w:w="70" w:type="dxa"/>
              <w:start w:w="80" w:type="dxa"/>
              <w:bottom w:w="70" w:type="dxa"/>
              <w:end w:w="80" w:type="dxa"/>
            </w:tcMar>
          </w:tcPr>
          <w:p>
            <w:pPr>
              <w:spacing w:after="30" w:before="0" w:line="240" w:lineRule="auto"/>
            </w:pPr>
            <w:r>
              <w:rPr>
                <w:sz w:val="16"/>
              </w:rPr>
              <w:t>W3C SKOS Simple Knowledge Organization System Reference: https://www.w3.org/TR/skos-reference/.</w:t>
            </w:r>
          </w:p>
        </w:tc>
      </w:tr>
      <w:tr>
        <w:trPr>
          <w:cantSplit/>
        </w:trPr>
        <w:tc>
          <w:tcPr>
            <w:tcW w:type="dxa" w:w="680"/>
            <w:vAlign w:val="top"/>
            <w:tcMar>
              <w:top w:w="70" w:type="dxa"/>
              <w:start w:w="80" w:type="dxa"/>
              <w:bottom w:w="70" w:type="dxa"/>
              <w:end w:w="80" w:type="dxa"/>
            </w:tcMar>
          </w:tcPr>
          <w:p>
            <w:pPr>
              <w:spacing w:after="30" w:before="0" w:line="240" w:lineRule="auto"/>
            </w:pPr>
            <w:r>
              <w:rPr>
                <w:sz w:val="16"/>
              </w:rPr>
              <w:t>R18</w:t>
            </w:r>
          </w:p>
        </w:tc>
        <w:tc>
          <w:tcPr>
            <w:tcW w:type="dxa" w:w="8957"/>
            <w:vAlign w:val="top"/>
            <w:tcMar>
              <w:top w:w="70" w:type="dxa"/>
              <w:start w:w="80" w:type="dxa"/>
              <w:bottom w:w="70" w:type="dxa"/>
              <w:end w:w="80" w:type="dxa"/>
            </w:tcMar>
          </w:tcPr>
          <w:p>
            <w:pPr>
              <w:spacing w:after="30" w:before="0" w:line="240" w:lineRule="auto"/>
            </w:pPr>
            <w:r>
              <w:rPr>
                <w:sz w:val="16"/>
              </w:rPr>
              <w:t>MITRE CAPEC: https://capec.mitre.org/ ; MITRE ATT&amp;CK: https://attack.mitre.org/.</w:t>
            </w:r>
          </w:p>
        </w:tc>
      </w:tr>
    </w:tbl>
    <w:p>
      <w:pPr>
        <w:widowControl/>
      </w:pPr>
    </w:p>
    <w:p>
      <w:pPr>
        <w:pStyle w:val="Heading1"/>
        <w:keepNext/>
        <w:widowControl/>
      </w:pPr>
      <w:r>
        <w:t>19. Review and Approval Record</w:t>
      </w:r>
    </w:p>
    <w:tbl>
      <w:tblPr>
        <w:tblW w:type="auto" w:w="0"/>
        <w:jc w:val="center"/>
        <w:tblLayout w:type="autofit"/>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986"/>
        <w:gridCol w:w="4986"/>
      </w:tblGrid>
      <w:tr>
        <w:trPr>
          <w:cantSplit/>
          <w:tblHeader w:val="true"/>
        </w:trPr>
        <w:tc>
          <w:tcPr>
            <w:tcW w:type="dxa" w:w="3005"/>
            <w:vAlign w:val="top"/>
            <w:tcMar>
              <w:top w:w="70" w:type="dxa"/>
              <w:start w:w="80" w:type="dxa"/>
              <w:bottom w:w="70" w:type="dxa"/>
              <w:end w:w="80" w:type="dxa"/>
            </w:tcMar>
            <w:shd w:fill="D9EAF7"/>
          </w:tcPr>
          <w:p>
            <w:pPr>
              <w:spacing w:after="30" w:before="0" w:line="240" w:lineRule="auto"/>
            </w:pPr>
            <w:r>
              <w:rPr>
                <w:b/>
                <w:sz w:val="17"/>
              </w:rPr>
              <w:t>Field</w:t>
            </w:r>
          </w:p>
        </w:tc>
        <w:tc>
          <w:tcPr>
            <w:tcW w:type="dxa" w:w="6633"/>
            <w:vAlign w:val="top"/>
            <w:tcMar>
              <w:top w:w="70" w:type="dxa"/>
              <w:start w:w="80" w:type="dxa"/>
              <w:bottom w:w="70" w:type="dxa"/>
              <w:end w:w="80" w:type="dxa"/>
            </w:tcMar>
            <w:shd w:fill="D9EAF7"/>
          </w:tcPr>
          <w:p>
            <w:pPr>
              <w:spacing w:after="30" w:before="0" w:line="240" w:lineRule="auto"/>
            </w:pPr>
            <w:r>
              <w:rPr>
                <w:b/>
                <w:sz w:val="17"/>
              </w:rPr>
              <w:t>Value</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Status</w:t>
            </w:r>
          </w:p>
        </w:tc>
        <w:tc>
          <w:tcPr>
            <w:tcW w:type="dxa" w:w="6633"/>
            <w:vAlign w:val="top"/>
            <w:tcMar>
              <w:top w:w="70" w:type="dxa"/>
              <w:start w:w="80" w:type="dxa"/>
              <w:bottom w:w="70" w:type="dxa"/>
              <w:end w:w="80" w:type="dxa"/>
            </w:tcMar>
          </w:tcPr>
          <w:p>
            <w:pPr>
              <w:spacing w:after="30" w:before="0" w:line="240" w:lineRule="auto"/>
            </w:pPr>
            <w:r>
              <w:rPr>
                <w:sz w:val="17"/>
              </w:rPr>
              <w:t>COMPLETED FOR REVIEW</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Document version</w:t>
            </w:r>
          </w:p>
        </w:tc>
        <w:tc>
          <w:tcPr>
            <w:tcW w:type="dxa" w:w="6633"/>
            <w:vAlign w:val="top"/>
            <w:tcMar>
              <w:top w:w="70" w:type="dxa"/>
              <w:start w:w="80" w:type="dxa"/>
              <w:bottom w:w="70" w:type="dxa"/>
              <w:end w:w="80" w:type="dxa"/>
            </w:tcMar>
          </w:tcPr>
          <w:p>
            <w:pPr>
              <w:spacing w:after="30" w:before="0" w:line="240" w:lineRule="auto"/>
            </w:pPr>
            <w:r>
              <w:rPr>
                <w:sz w:val="17"/>
              </w:rPr>
              <w:t>1.0</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Completion date</w:t>
            </w:r>
          </w:p>
        </w:tc>
        <w:tc>
          <w:tcPr>
            <w:tcW w:type="dxa" w:w="6633"/>
            <w:vAlign w:val="top"/>
            <w:tcMar>
              <w:top w:w="70" w:type="dxa"/>
              <w:start w:w="80" w:type="dxa"/>
              <w:bottom w:w="70" w:type="dxa"/>
              <w:end w:w="80" w:type="dxa"/>
            </w:tcMar>
          </w:tcPr>
          <w:p>
            <w:pPr>
              <w:spacing w:after="30" w:before="0" w:line="240" w:lineRule="auto"/>
            </w:pPr>
            <w:r>
              <w:rPr>
                <w:sz w:val="17"/>
              </w:rPr>
              <w:t>7 August 2026</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Step 1 baseline</w:t>
            </w:r>
          </w:p>
        </w:tc>
        <w:tc>
          <w:tcPr>
            <w:tcW w:type="dxa" w:w="6633"/>
            <w:vAlign w:val="top"/>
            <w:tcMar>
              <w:top w:w="70" w:type="dxa"/>
              <w:start w:w="80" w:type="dxa"/>
              <w:bottom w:w="70" w:type="dxa"/>
              <w:end w:w="80" w:type="dxa"/>
            </w:tcMar>
          </w:tcPr>
          <w:p>
            <w:pPr>
              <w:spacing w:after="30" w:before="0" w:line="240" w:lineRule="auto"/>
            </w:pPr>
            <w:r>
              <w:rPr>
                <w:sz w:val="17"/>
              </w:rPr>
              <w:t>v1.1 APPROVED</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Key architectural decision</w:t>
            </w:r>
          </w:p>
        </w:tc>
        <w:tc>
          <w:tcPr>
            <w:tcW w:type="dxa" w:w="6633"/>
            <w:vAlign w:val="top"/>
            <w:tcMar>
              <w:top w:w="70" w:type="dxa"/>
              <w:start w:w="80" w:type="dxa"/>
              <w:bottom w:w="70" w:type="dxa"/>
              <w:end w:w="80" w:type="dxa"/>
            </w:tcMar>
          </w:tcPr>
          <w:p>
            <w:pPr>
              <w:spacing w:after="30" w:before="0" w:line="240" w:lineRule="auto"/>
            </w:pPr>
            <w:r>
              <w:rPr>
                <w:sz w:val="17"/>
              </w:rPr>
              <w:t>SIoTSecurity v1.0 uses no external owl:imports; all reuse is selective direct IRI reuse, specialization, conceptual reuse, or explicit mapping.</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TRESIOT decision</w:t>
            </w:r>
          </w:p>
        </w:tc>
        <w:tc>
          <w:tcPr>
            <w:tcW w:type="dxa" w:w="6633"/>
            <w:vAlign w:val="top"/>
            <w:tcMar>
              <w:top w:w="70" w:type="dxa"/>
              <w:start w:w="80" w:type="dxa"/>
              <w:bottom w:w="70" w:type="dxa"/>
              <w:end w:w="80" w:type="dxa"/>
            </w:tcMar>
          </w:tcPr>
          <w:p>
            <w:pPr>
              <w:spacing w:after="30" w:before="0" w:line="240" w:lineRule="auto"/>
            </w:pPr>
            <w:r>
              <w:rPr>
                <w:sz w:val="17"/>
              </w:rPr>
              <w:t>Semantic alignment / conceptual reuse only; no owl:imports.</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SAREF-TA decision</w:t>
            </w:r>
          </w:p>
        </w:tc>
        <w:tc>
          <w:tcPr>
            <w:tcW w:type="dxa" w:w="6633"/>
            <w:vAlign w:val="top"/>
            <w:tcMar>
              <w:top w:w="70" w:type="dxa"/>
              <w:start w:w="80" w:type="dxa"/>
              <w:bottom w:w="70" w:type="dxa"/>
              <w:end w:w="80" w:type="dxa"/>
            </w:tcMar>
          </w:tcPr>
          <w:p>
            <w:pPr>
              <w:spacing w:after="30" w:before="0" w:line="240" w:lineRule="auto"/>
            </w:pPr>
            <w:r>
              <w:rPr>
                <w:sz w:val="17"/>
              </w:rPr>
              <w:t>Selective reuse/alignment with documented exclusions; no owl:imports.</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Approval state</w:t>
            </w:r>
          </w:p>
        </w:tc>
        <w:tc>
          <w:tcPr>
            <w:tcW w:type="dxa" w:w="6633"/>
            <w:vAlign w:val="top"/>
            <w:tcMar>
              <w:top w:w="70" w:type="dxa"/>
              <w:start w:w="80" w:type="dxa"/>
              <w:bottom w:w="70" w:type="dxa"/>
              <w:end w:w="80" w:type="dxa"/>
            </w:tcMar>
          </w:tcPr>
          <w:p>
            <w:pPr>
              <w:spacing w:after="30" w:before="0" w:line="240" w:lineRule="auto"/>
            </w:pPr>
            <w:r>
              <w:rPr>
                <w:sz w:val="17"/>
              </w:rPr>
              <w:t>Pending doctoral researcher review and explicit approval of this Step 2 baseline.</w:t>
            </w:r>
          </w:p>
        </w:tc>
      </w:tr>
      <w:tr>
        <w:trPr>
          <w:cantSplit/>
        </w:trPr>
        <w:tc>
          <w:tcPr>
            <w:tcW w:type="dxa" w:w="3005"/>
            <w:vAlign w:val="top"/>
            <w:tcMar>
              <w:top w:w="70" w:type="dxa"/>
              <w:start w:w="80" w:type="dxa"/>
              <w:bottom w:w="70" w:type="dxa"/>
              <w:end w:w="80" w:type="dxa"/>
            </w:tcMar>
          </w:tcPr>
          <w:p>
            <w:pPr>
              <w:spacing w:after="30" w:before="0" w:line="240" w:lineRule="auto"/>
            </w:pPr>
            <w:r>
              <w:rPr>
                <w:sz w:val="17"/>
              </w:rPr>
              <w:t>Next methodological step after approval</w:t>
            </w:r>
          </w:p>
        </w:tc>
        <w:tc>
          <w:tcPr>
            <w:tcW w:type="dxa" w:w="6633"/>
            <w:vAlign w:val="top"/>
            <w:tcMar>
              <w:top w:w="70" w:type="dxa"/>
              <w:start w:w="80" w:type="dxa"/>
              <w:bottom w:w="70" w:type="dxa"/>
              <w:end w:w="80" w:type="dxa"/>
            </w:tcMar>
          </w:tcPr>
          <w:p>
            <w:pPr>
              <w:spacing w:after="30" w:before="0" w:line="240" w:lineRule="auto"/>
            </w:pPr>
            <w:r>
              <w:rPr>
                <w:sz w:val="17"/>
              </w:rPr>
              <w:t>Step 3 - Conceptual Model, Task 1: Glossary of Terms, using this reuse catalogue as mandatory input.</w:t>
            </w:r>
          </w:p>
        </w:tc>
      </w:tr>
    </w:tbl>
    <w:p>
      <w:pPr>
        <w:widowControl/>
      </w:pPr>
    </w:p>
    <w:tbl>
      <w:tblPr>
        <w:tblW w:type="auto" w:w="0"/>
        <w:jc w:val="center"/>
        <w:tblLook w:firstColumn="1" w:firstRow="1" w:lastColumn="0" w:lastRow="0" w:noHBand="0" w:noVBand="1" w:val="04A0"/>
        <w:tblBorders>
          <w:top w:val="single" w:sz="8" w:space="0" w:color="8FB3C8"/>
          <w:left w:val="single" w:sz="8" w:space="0" w:color="8FB3C8"/>
          <w:bottom w:val="single" w:sz="8" w:space="0" w:color="8FB3C8"/>
          <w:right w:val="single" w:sz="8" w:space="0" w:color="8FB3C8"/>
          <w:insideH w:val="single" w:sz="8" w:space="0" w:color="8FB3C8"/>
          <w:insideV w:val="single" w:sz="8" w:space="0" w:color="8FB3C8"/>
        </w:tblBorders>
      </w:tblPr>
      <w:tblGrid>
        <w:gridCol w:w="9972"/>
      </w:tblGrid>
      <w:tr>
        <w:tc>
          <w:tcPr>
            <w:tcW w:type="dxa" w:w="9972"/>
            <w:shd w:fill="EEF5F9"/>
            <w:tcMar>
              <w:top w:w="100" w:type="dxa"/>
              <w:start w:w="120" w:type="dxa"/>
              <w:bottom w:w="100" w:type="dxa"/>
              <w:end w:w="120" w:type="dxa"/>
            </w:tcMar>
          </w:tcPr>
          <w:p>
            <w:r>
              <w:rPr>
                <w:b/>
              </w:rPr>
              <w:t xml:space="preserve">Approval boundary: </w:t>
            </w:r>
            <w:r>
              <w:t>This document closes all technical reuse and owl:imports decisions needed to complete Step 2. The status remains COMPLETED FOR REVIEW until the doctoral researcher explicitly approves it; no additional technical decision is left pending.</w:t>
            </w:r>
          </w:p>
        </w:tc>
      </w:tr>
    </w:tbl>
    <w:sectPr>
      <w:headerReference w:type="default" r:id="rId9"/>
      <w:footerReference w:type="default" r:id="rId10"/>
      <w:footnotePr>
        <w:numRestart w:val="eachSect"/>
      </w:footnotePr>
      <w:pgMar w:top="1020" w:bottom="964" w:left="1134" w:right="1134"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Completed for review  |  7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7C9CE"/>
      </w:pBdr>
    </w:pPr>
    <w:r>
      <w:rPr>
        <w:i/>
        <w:sz w:val="16"/>
      </w:rPr>
      <w:t>SIoTSecurity Ontology  |  Step 2 - Reuse Ontologies and Metadata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Aptos" w:hAnsi="Aptos"/>
      <w:sz w:val="20"/>
    </w:rPr>
  </w:style>
  <w:style w:styleId="BodyText" w:type="paragraph">
    <w:name w:val="Body Text"/>
    <w:basedOn w:val="Normal"/>
    <w:link w:val="BodyTextChar"/>
    <w:qFormat/>
    <w:pPr>
      <w:spacing w:after="80" w:before="180" w:line="259" w:lineRule="auto"/>
    </w:pPr>
    <w:rPr>
      <w:rFonts w:ascii="Aptos" w:hAnsi="Aptos"/>
      <w:sz w:val="20"/>
    </w:rPr>
  </w:style>
  <w:style w:customStyle="1" w:styleId="FirstParagraph" w:type="paragraph">
    <w:name w:val="First Paragraph"/>
    <w:basedOn w:val="BodyText"/>
    <w:next w:val="BodyText"/>
    <w:qFormat/>
    <w:pPr>
      <w:spacing w:after="80" w:line="259" w:lineRule="auto"/>
    </w:pPr>
    <w:rPr>
      <w:rFonts w:ascii="Aptos" w:hAnsi="Aptos"/>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80" w:line="240" w:lineRule="auto" w:before="120"/>
      <w:contextualSpacing/>
      <w:jc w:val="center"/>
    </w:pPr>
    <w:rPr>
      <w:rFonts w:asciiTheme="majorHAnsi" w:cstheme="majorBidi" w:eastAsiaTheme="majorEastAsia" w:hAnsiTheme="majorHAnsi" w:ascii="Aptos Display" w:hAnsi="Aptos Display"/>
      <w:b/>
      <w:color w:val="1F4E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00"/>
      <w:outlineLvl w:val="0"/>
    </w:pPr>
    <w:rPr>
      <w:rFonts w:asciiTheme="majorHAnsi" w:cstheme="majorBidi" w:eastAsiaTheme="majorEastAsia" w:hAnsiTheme="majorHAnsi" w:ascii="Aptos Display" w:hAnsi="Aptos Display"/>
      <w:b/>
      <w:color w:val="1F4E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20"/>
      <w:outlineLvl w:val="1"/>
    </w:pPr>
    <w:rPr>
      <w:rFonts w:asciiTheme="majorHAnsi" w:cstheme="majorBidi" w:eastAsiaTheme="majorEastAsia" w:hAnsiTheme="majorHAnsi" w:ascii="Aptos" w:hAnsi="Aptos"/>
      <w:b/>
      <w:color w:val="2E7485"/>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20"/>
      <w:outlineLvl w:val="2"/>
    </w:pPr>
    <w:rPr>
      <w:rFonts w:cstheme="majorBidi" w:eastAsiaTheme="majorEastAsia" w:ascii="Aptos" w:hAnsi="Aptos"/>
      <w:b/>
      <w:color w:val="666666"/>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ind w:left="317" w:right="173"/>
    </w:pPr>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customStyle="1" w:styleId="SIoTTable">
    <w:name w:val="SIoT Table"/>
    <w:basedOn w:val="Table"/>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SIoTSecurity Ontology Reuse - Step 2</dc:title>
  <dc:creator/>
  <cp:keywords>SIoTSecurity, METHONTOLOGY, ontology reuse, owl:imports, alignment, SIoT, resilience, trust, reputation</cp:keywords>
  <dcterms:created xsi:type="dcterms:W3CDTF">1970-01-01T00:00:00Z</dcterms:created>
  <dcterms:modified xsi:type="dcterms:W3CDTF">1970-01-01T00:00:00Z</dcterms:modified>
  <dc:subject>Reuse Ontologies and Metadata</dc:subject>
  <dc:description>Completed for review. Step 2 reuse baseline.</dc:description>
</cp:coreProperties>
</file>

<file path=docProps/custom.xml><?xml version="1.0" encoding="utf-8"?>
<Properties xmlns="http://schemas.openxmlformats.org/officeDocument/2006/custom-properties" xmlns:vt="http://schemas.openxmlformats.org/officeDocument/2006/docPropsVTypes"/>
</file>