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ontology-formalization"/>
    <w:p>
      <w:pPr>
        <w:pStyle w:val="Heading1"/>
      </w:pPr>
      <w:r>
        <w:t xml:space="preserve">ONTOLOGY FORMALIZATION</w:t>
      </w:r>
    </w:p>
    <w:bookmarkStart w:id="10" w:name="siotsecurity-ontology"/>
    <w:p>
      <w:pPr>
        <w:pStyle w:val="Heading2"/>
      </w:pPr>
      <w:r>
        <w:t xml:space="preserve">SIoTSecurity Ontology</w:t>
      </w:r>
    </w:p>
    <w:bookmarkStart w:id="9" w:name="step-1-requirements-determination"/>
    <w:p>
      <w:pPr>
        <w:pStyle w:val="Heading3"/>
      </w:pPr>
      <w:r>
        <w:t xml:space="preserve">Step 1 — Requirements Determination</w:t>
      </w:r>
    </w:p>
    <w:p>
      <w:r>
        <w:pict>
          <v:rect style="width:0;height:1.5pt" o:hralign="center" o:hrstd="t" o:hr="t"/>
        </w:pict>
      </w:r>
    </w:p>
    <w:bookmarkEnd w:id="9"/>
    <w:bookmarkEnd w:id="10"/>
    <w:bookmarkStart w:id="11"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name</w:t>
            </w:r>
          </w:p>
        </w:tc>
        <w:tc>
          <w:tcPr/>
          <w:p>
            <w:pPr>
              <w:pStyle w:val="Compact"/>
            </w:pPr>
            <w:r>
              <w:t xml:space="preserve">SIoTSecurity Ontology Formalization</w:t>
            </w:r>
          </w:p>
        </w:tc>
      </w:tr>
      <w:tr>
        <w:tc>
          <w:tcPr/>
          <w:p>
            <w:pPr>
              <w:pStyle w:val="Compact"/>
            </w:pPr>
            <w:r>
              <w:t xml:space="preserve">Methodological stage</w:t>
            </w:r>
          </w:p>
        </w:tc>
        <w:tc>
          <w:tcPr/>
          <w:p>
            <w:pPr>
              <w:pStyle w:val="Compact"/>
            </w:pPr>
            <w:r>
              <w:t xml:space="preserve">Formal Abstraction Stage</w:t>
            </w:r>
          </w:p>
        </w:tc>
      </w:tr>
      <w:tr>
        <w:tc>
          <w:tcPr/>
          <w:p>
            <w:pPr>
              <w:pStyle w:val="Compact"/>
            </w:pPr>
            <w:r>
              <w:t xml:space="preserve">Methodological step</w:t>
            </w:r>
          </w:p>
        </w:tc>
        <w:tc>
          <w:tcPr/>
          <w:p>
            <w:pPr>
              <w:pStyle w:val="Compact"/>
            </w:pPr>
            <w:r>
              <w:t xml:space="preserve">Step 1 — Requirements Determination</w:t>
            </w:r>
          </w:p>
        </w:tc>
      </w:tr>
      <w:tr>
        <w:tc>
          <w:tcPr/>
          <w:p>
            <w:pPr>
              <w:pStyle w:val="Compact"/>
            </w:pPr>
            <w:r>
              <w:t xml:space="preserve">Version</w:t>
            </w:r>
          </w:p>
        </w:tc>
        <w:tc>
          <w:tcPr/>
          <w:p>
            <w:pPr>
              <w:pStyle w:val="Compact"/>
            </w:pPr>
            <w:r>
              <w:t xml:space="preserve">1.1</w:t>
            </w:r>
          </w:p>
        </w:tc>
      </w:tr>
      <w:tr>
        <w:tc>
          <w:tcPr/>
          <w:p>
            <w:pPr>
              <w:pStyle w:val="Compact"/>
            </w:pPr>
            <w:r>
              <w:t xml:space="preserve">Status</w:t>
            </w:r>
          </w:p>
        </w:tc>
        <w:tc>
          <w:tcPr/>
          <w:p>
            <w:pPr>
              <w:pStyle w:val="Compact"/>
            </w:pPr>
            <w:r>
              <w:t xml:space="preserve">APPROVED</w:t>
            </w:r>
          </w:p>
        </w:tc>
      </w:tr>
      <w:tr>
        <w:tc>
          <w:tcPr/>
          <w:p>
            <w:pPr>
              <w:pStyle w:val="Compact"/>
            </w:pPr>
            <w:r>
              <w:t xml:space="preserve">Approval date</w:t>
            </w:r>
          </w:p>
        </w:tc>
        <w:tc>
          <w:tcPr/>
          <w:p>
            <w:pPr>
              <w:pStyle w:val="Compact"/>
            </w:pPr>
            <w:r>
              <w:t xml:space="preserve">6 August 2026</w:t>
            </w:r>
          </w:p>
        </w:tc>
      </w:tr>
      <w:tr>
        <w:tc>
          <w:tcPr/>
          <w:p>
            <w:pPr>
              <w:pStyle w:val="Compact"/>
            </w:pPr>
            <w:r>
              <w:t xml:space="preserve">Primary ontology language</w:t>
            </w:r>
          </w:p>
        </w:tc>
        <w:tc>
          <w:tcPr/>
          <w:p>
            <w:pPr>
              <w:pStyle w:val="Compact"/>
            </w:pPr>
            <w:r>
              <w:t xml:space="preserve">English</w:t>
            </w:r>
          </w:p>
        </w:tc>
      </w:tr>
      <w:tr>
        <w:tc>
          <w:tcPr/>
          <w:p>
            <w:pPr>
              <w:pStyle w:val="Compact"/>
            </w:pPr>
            <w:r>
              <w:t xml:space="preserve">Secondary annotation language</w:t>
            </w:r>
          </w:p>
        </w:tc>
        <w:tc>
          <w:tcPr/>
          <w:p>
            <w:pPr>
              <w:pStyle w:val="Compact"/>
            </w:pPr>
            <w:r>
              <w:t xml:space="preserve">Spanish</w:t>
            </w:r>
          </w:p>
        </w:tc>
      </w:tr>
      <w:tr>
        <w:tc>
          <w:tcPr/>
          <w:p>
            <w:pPr>
              <w:pStyle w:val="Compact"/>
            </w:pPr>
            <w:r>
              <w:t xml:space="preserve">Target representation language</w:t>
            </w:r>
          </w:p>
        </w:tc>
        <w:tc>
          <w:tcPr/>
          <w:p>
            <w:pPr>
              <w:pStyle w:val="Compact"/>
            </w:pPr>
            <w:r>
              <w:t xml:space="preserve">OWL 2 DL</w:t>
            </w:r>
          </w:p>
        </w:tc>
      </w:tr>
      <w:tr>
        <w:tc>
          <w:tcPr/>
          <w:p>
            <w:pPr>
              <w:pStyle w:val="Compact"/>
            </w:pPr>
            <w:r>
              <w:t xml:space="preserve">Ontology short name</w:t>
            </w:r>
          </w:p>
        </w:tc>
        <w:tc>
          <w:tcPr/>
          <w:p>
            <w:pPr>
              <w:pStyle w:val="Compact"/>
            </w:pPr>
            <w:r>
              <w:t xml:space="preserve">SIoTSecurity</w:t>
            </w:r>
          </w:p>
        </w:tc>
      </w:tr>
    </w:tbl>
    <w:p>
      <w:r>
        <w:pict>
          <v:rect style="width:0;height:1.5pt" o:hralign="center" o:hrstd="t" o:hr="t"/>
        </w:pict>
      </w:r>
    </w:p>
    <w:bookmarkEnd w:id="11"/>
    <w:bookmarkEnd w:id="12"/>
    <w:bookmarkStart w:id="20" w:name="general-identification"/>
    <w:p>
      <w:pPr>
        <w:pStyle w:val="Heading1"/>
      </w:pPr>
      <w:r>
        <w:t xml:space="preserve">1. General Identification</w:t>
      </w:r>
    </w:p>
    <w:bookmarkStart w:id="13" w:name="ontology-name"/>
    <w:p>
      <w:pPr>
        <w:pStyle w:val="Heading2"/>
      </w:pPr>
      <w:r>
        <w:t xml:space="preserve">1.1 Ontology Name</w:t>
      </w:r>
    </w:p>
    <w:p>
      <w:pPr>
        <w:pStyle w:val="FirstParagraph"/>
      </w:pPr>
      <w:r>
        <w:rPr>
          <w:b/>
          <w:bCs/>
        </w:rPr>
        <w:t xml:space="preserve">Resilient Security Ontology for the Social Internet of Things through Dynamic Integration of Contextual Trust and Reputation</w:t>
      </w:r>
    </w:p>
    <w:bookmarkEnd w:id="13"/>
    <w:bookmarkStart w:id="14" w:name="spanish-label"/>
    <w:p>
      <w:pPr>
        <w:pStyle w:val="Heading2"/>
      </w:pPr>
      <w:r>
        <w:t xml:space="preserve">1.2 Spanish Label</w:t>
      </w:r>
    </w:p>
    <w:p>
      <w:pPr>
        <w:pStyle w:val="FirstParagraph"/>
      </w:pPr>
      <w:r>
        <w:rPr>
          <w:b/>
          <w:bCs/>
        </w:rPr>
        <w:t xml:space="preserve">Ontología de Seguridad Resiliente para la Internet Social de las Cosas mediante la Integración Dinámica de Confianza y Reputación Contextual</w:t>
      </w:r>
    </w:p>
    <w:bookmarkEnd w:id="14"/>
    <w:bookmarkStart w:id="15" w:name="short-name"/>
    <w:p>
      <w:pPr>
        <w:pStyle w:val="Heading2"/>
      </w:pPr>
      <w:r>
        <w:t xml:space="preserve">1.3 Short Name</w:t>
      </w:r>
    </w:p>
    <w:p>
      <w:pPr>
        <w:pStyle w:val="FirstParagraph"/>
      </w:pPr>
      <w:r>
        <w:rPr>
          <w:b/>
          <w:bCs/>
        </w:rPr>
        <w:t xml:space="preserve">SIoTSecurity</w:t>
      </w:r>
    </w:p>
    <w:bookmarkEnd w:id="15"/>
    <w:bookmarkStart w:id="16" w:name="recommended-prefix"/>
    <w:p>
      <w:pPr>
        <w:pStyle w:val="Heading2"/>
      </w:pPr>
      <w:r>
        <w:t xml:space="preserve">1.4 Recommended Prefix</w:t>
      </w:r>
    </w:p>
    <w:p>
      <w:pPr>
        <w:pStyle w:val="FirstParagraph"/>
      </w:pPr>
      <w:r>
        <w:rPr>
          <w:rStyle w:val="VerbatimChar"/>
        </w:rPr>
        <w:t xml:space="preserve">siotsec:</w:t>
      </w:r>
    </w:p>
    <w:bookmarkEnd w:id="16"/>
    <w:bookmarkStart w:id="17" w:name="primary-modeling-language"/>
    <w:p>
      <w:pPr>
        <w:pStyle w:val="Heading2"/>
      </w:pPr>
      <w:r>
        <w:t xml:space="preserve">1.5 Primary Modeling Language</w:t>
      </w:r>
    </w:p>
    <w:p>
      <w:pPr>
        <w:pStyle w:val="FirstParagraph"/>
      </w:pPr>
      <w:r>
        <w:t xml:space="preserve">English is the canonical modeling language of SIoTSecurity.</w:t>
      </w:r>
    </w:p>
    <w:p>
      <w:pPr>
        <w:pStyle w:val="BodyText"/>
      </w:pPr>
      <w:r>
        <w:t xml:space="preserve">Class names, property names, individual identifiers, ontology modules, internal identifiers, and local IRI fragments must be expressed in English.</w:t>
      </w:r>
    </w:p>
    <w:bookmarkEnd w:id="17"/>
    <w:bookmarkStart w:id="18" w:name="secondary-language"/>
    <w:p>
      <w:pPr>
        <w:pStyle w:val="Heading2"/>
      </w:pPr>
      <w:r>
        <w:t xml:space="preserve">1.6 Secondary Language</w:t>
      </w:r>
    </w:p>
    <w:p>
      <w:pPr>
        <w:pStyle w:val="FirstParagraph"/>
      </w:pPr>
      <w:r>
        <w:t xml:space="preserve">Spanish will be used through language-tagged annotation properties.</w:t>
      </w:r>
    </w:p>
    <w:p>
      <w:pPr>
        <w:pStyle w:val="BodyText"/>
      </w:pPr>
      <w:r>
        <w:t xml:space="preserve">Every ontology entity must have an English</w:t>
      </w:r>
      <w:r>
        <w:t xml:space="preserve"> </w:t>
      </w:r>
      <w:r>
        <w:rPr>
          <w:rStyle w:val="VerbatimChar"/>
        </w:rPr>
        <w:t xml:space="preserve">rdfs:label</w:t>
      </w:r>
      <w:r>
        <w:t xml:space="preserve">. When a validated translation is available, it must also have a Spanish</w:t>
      </w:r>
      <w:r>
        <w:t xml:space="preserve"> </w:t>
      </w:r>
      <w:r>
        <w:rPr>
          <w:rStyle w:val="VerbatimChar"/>
        </w:rPr>
        <w:t xml:space="preserve">rdfs:label</w:t>
      </w:r>
      <w:r>
        <w:t xml:space="preserve">.</w:t>
      </w:r>
    </w:p>
    <w:p>
      <w:pPr>
        <w:pStyle w:val="BodyText"/>
      </w:pPr>
      <w:r>
        <w:t xml:space="preserve">English definitions are normative. Spanish definitions are semantic translations and must not introduce meanings that differ from the English definitions.</w:t>
      </w:r>
    </w:p>
    <w:bookmarkEnd w:id="18"/>
    <w:bookmarkStart w:id="19" w:name="target-owl-profile"/>
    <w:p>
      <w:pPr>
        <w:pStyle w:val="Heading2"/>
      </w:pPr>
      <w:r>
        <w:t xml:space="preserve">1.7 Target OWL Profile</w:t>
      </w:r>
    </w:p>
    <w:p>
      <w:pPr>
        <w:pStyle w:val="FirstParagraph"/>
      </w:pPr>
      <w:r>
        <w:t xml:space="preserve">SIoTSecurity will be implemented using</w:t>
      </w:r>
      <w:r>
        <w:t xml:space="preserve"> </w:t>
      </w:r>
      <w:r>
        <w:rPr>
          <w:b/>
          <w:bCs/>
        </w:rPr>
        <w:t xml:space="preserve">OWL 2 DL</w:t>
      </w:r>
      <w:r>
        <w:t xml:space="preserve">.</w:t>
      </w:r>
    </w:p>
    <w:p>
      <w:pPr>
        <w:pStyle w:val="BodyText"/>
      </w:pPr>
      <w:r>
        <w:t xml:space="preserve">This profile is selected to provide sufficient semantic expressiveness while preserving decidable reasoning and compatibility with ontology reasoners available in Protégé.</w:t>
      </w:r>
    </w:p>
    <w:p>
      <w:r>
        <w:pict>
          <v:rect style="width:0;height:1.5pt" o:hralign="center" o:hrstd="t" o:hr="t"/>
        </w:pict>
      </w:r>
    </w:p>
    <w:bookmarkEnd w:id="19"/>
    <w:bookmarkEnd w:id="20"/>
    <w:bookmarkStart w:id="25" w:name="ontology-iri-and-namespace"/>
    <w:p>
      <w:pPr>
        <w:pStyle w:val="Heading1"/>
      </w:pPr>
      <w:r>
        <w:t xml:space="preserve">2. Ontology IRI and Namespace</w:t>
      </w:r>
    </w:p>
    <w:bookmarkStart w:id="21" w:name="ontology-iri"/>
    <w:p>
      <w:pPr>
        <w:pStyle w:val="Heading2"/>
      </w:pPr>
      <w:r>
        <w:t xml:space="preserve">2.1 Ontology IRI</w:t>
      </w:r>
    </w:p>
    <w:p>
      <w:pPr>
        <w:pStyle w:val="FirstParagraph"/>
      </w:pPr>
      <w:r>
        <w:t xml:space="preserve">The ontology IRI will correspond to the public location of the final</w:t>
      </w:r>
      <w:r>
        <w:t xml:space="preserve"> </w:t>
      </w:r>
      <w:r>
        <w:rPr>
          <w:rStyle w:val="VerbatimChar"/>
        </w:rPr>
        <w:t xml:space="preserve">SIoTSecurity.owl</w:t>
      </w:r>
      <w:r>
        <w:t xml:space="preserve"> </w:t>
      </w:r>
      <w:r>
        <w:t xml:space="preserve">file stored in the SIoTSecurity GitHub repository.</w:t>
      </w:r>
    </w:p>
    <w:p>
      <w:pPr>
        <w:pStyle w:val="BodyText"/>
      </w:pPr>
      <w:r>
        <w:t xml:space="preserve">The definitive IRI will be established during the implementation stage, after confirming the final public location of the OWL file.</w:t>
      </w:r>
    </w:p>
    <w:p>
      <w:pPr>
        <w:pStyle w:val="BodyText"/>
      </w:pPr>
      <w:r>
        <w:t xml:space="preserve">Expected repository location:</w:t>
      </w:r>
    </w:p>
    <w:p>
      <w:pPr>
        <w:pStyle w:val="BodyText"/>
      </w:pPr>
      <w:r>
        <w:rPr>
          <w:rStyle w:val="VerbatimChar"/>
        </w:rPr>
        <w:t xml:space="preserve">SIoTSecOntology/Formal_Abstraction_Stage/Step_4_Implementation/SIoTSecurity.owl</w:t>
      </w:r>
    </w:p>
    <w:bookmarkEnd w:id="21"/>
    <w:bookmarkStart w:id="22" w:name="entity-namespace"/>
    <w:p>
      <w:pPr>
        <w:pStyle w:val="Heading2"/>
      </w:pPr>
      <w:r>
        <w:t xml:space="preserve">2.2 Entity Namespace</w:t>
      </w:r>
    </w:p>
    <w:p>
      <w:pPr>
        <w:pStyle w:val="FirstParagraph"/>
      </w:pPr>
      <w:r>
        <w:t xml:space="preserve">The namespace for ontology classes, object properties, data properties, annotation properties, and individuals will be formed by appending the hash character</w:t>
      </w:r>
      <w:r>
        <w:t xml:space="preserve"> </w:t>
      </w:r>
      <w:r>
        <w:rPr>
          <w:rStyle w:val="VerbatimChar"/>
        </w:rPr>
        <w:t xml:space="preserve">#</w:t>
      </w:r>
      <w:r>
        <w:t xml:space="preserve"> </w:t>
      </w:r>
      <w:r>
        <w:t xml:space="preserve">to the ontology document IRI.</w:t>
      </w:r>
    </w:p>
    <w:p>
      <w:pPr>
        <w:pStyle w:val="BodyText"/>
      </w:pPr>
      <w:r>
        <w:t xml:space="preserve">Conceptual example:</w:t>
      </w:r>
    </w:p>
    <w:p>
      <w:pPr>
        <w:pStyle w:val="SourceCode"/>
      </w:pPr>
      <w:r>
        <w:rPr>
          <w:rStyle w:val="VerbatimChar"/>
        </w:rPr>
        <w:t xml:space="preserve">Ontology IRI:</w:t>
      </w:r>
      <w:r>
        <w:br/>
      </w:r>
      <w:r>
        <w:rPr>
          <w:rStyle w:val="VerbatimChar"/>
        </w:rPr>
        <w:t xml:space="preserve">https://&lt;public-github-location&gt;/SIoTSecurity.owl</w:t>
      </w:r>
      <w:r>
        <w:br/>
      </w:r>
      <w:r>
        <w:br/>
      </w:r>
      <w:r>
        <w:rPr>
          <w:rStyle w:val="VerbatimChar"/>
        </w:rPr>
        <w:t xml:space="preserve">Entity namespace:</w:t>
      </w:r>
      <w:r>
        <w:br/>
      </w:r>
      <w:r>
        <w:rPr>
          <w:rStyle w:val="VerbatimChar"/>
        </w:rPr>
        <w:t xml:space="preserve">https://&lt;public-github-location&gt;/SIoTSecurity.owl#</w:t>
      </w:r>
    </w:p>
    <w:bookmarkEnd w:id="22"/>
    <w:bookmarkStart w:id="23" w:name="publication-decision"/>
    <w:p>
      <w:pPr>
        <w:pStyle w:val="Heading2"/>
      </w:pPr>
      <w:r>
        <w:t xml:space="preserve">2.3 Publication Decision</w:t>
      </w:r>
    </w:p>
    <w:p>
      <w:pPr>
        <w:pStyle w:val="FirstParagraph"/>
      </w:pPr>
      <w:r>
        <w:t xml:space="preserve">A GitHub visualization URL containing</w:t>
      </w:r>
      <w:r>
        <w:t xml:space="preserve"> </w:t>
      </w:r>
      <w:r>
        <w:rPr>
          <w:rStyle w:val="VerbatimChar"/>
        </w:rPr>
        <w:t xml:space="preserve">/blob/main/</w:t>
      </w:r>
      <w:r>
        <w:t xml:space="preserve"> </w:t>
      </w:r>
      <w:r>
        <w:t xml:space="preserve">must not be used as the canonical ontology IRI because it resolves to an HTML visualization page rather than directly to the ontology document.</w:t>
      </w:r>
    </w:p>
    <w:p>
      <w:pPr>
        <w:pStyle w:val="BodyText"/>
      </w:pPr>
      <w:r>
        <w:t xml:space="preserve">The canonical IRI should resolve directly to the OWL file through GitHub Pages, a raw publication endpoint, or another persistent public publication mechanism.</w:t>
      </w:r>
    </w:p>
    <w:bookmarkEnd w:id="23"/>
    <w:bookmarkStart w:id="24" w:name="versioning"/>
    <w:p>
      <w:pPr>
        <w:pStyle w:val="Heading2"/>
      </w:pPr>
      <w:r>
        <w:t xml:space="preserve">2.4 Versioning</w:t>
      </w:r>
    </w:p>
    <w:p>
      <w:pPr>
        <w:pStyle w:val="FirstParagraph"/>
      </w:pPr>
      <w:r>
        <w:t xml:space="preserve">The implemented ontology should distinguish between:</w:t>
      </w:r>
    </w:p>
    <w:p>
      <w:pPr>
        <w:pStyle w:val="Compact"/>
        <w:numPr>
          <w:ilvl w:val="0"/>
          <w:numId w:val="1001"/>
        </w:numPr>
      </w:pPr>
      <w:r>
        <w:t xml:space="preserve">Ontology IRI.</w:t>
      </w:r>
    </w:p>
    <w:p>
      <w:pPr>
        <w:pStyle w:val="Compact"/>
        <w:numPr>
          <w:ilvl w:val="0"/>
          <w:numId w:val="1001"/>
        </w:numPr>
      </w:pPr>
      <w:r>
        <w:t xml:space="preserve">Entity namespace.</w:t>
      </w:r>
    </w:p>
    <w:p>
      <w:pPr>
        <w:pStyle w:val="Compact"/>
        <w:numPr>
          <w:ilvl w:val="0"/>
          <w:numId w:val="1001"/>
        </w:numPr>
      </w:pPr>
      <w:r>
        <w:t xml:space="preserve">Version IRI.</w:t>
      </w:r>
    </w:p>
    <w:p>
      <w:pPr>
        <w:pStyle w:val="Compact"/>
        <w:numPr>
          <w:ilvl w:val="0"/>
          <w:numId w:val="1001"/>
        </w:numPr>
      </w:pPr>
      <w:r>
        <w:t xml:space="preserve">Version information.</w:t>
      </w:r>
    </w:p>
    <w:p>
      <w:pPr>
        <w:pStyle w:val="Compact"/>
        <w:numPr>
          <w:ilvl w:val="0"/>
          <w:numId w:val="1001"/>
        </w:numPr>
      </w:pPr>
      <w:r>
        <w:t xml:space="preserve">GitHub release or tag.</w:t>
      </w:r>
    </w:p>
    <w:p>
      <w:pPr>
        <w:pStyle w:val="FirstParagraph"/>
      </w:pPr>
      <w:r>
        <w:t xml:space="preserve">Conceptual example:</w:t>
      </w:r>
    </w:p>
    <w:p>
      <w:pPr>
        <w:pStyle w:val="SourceCode"/>
      </w:pPr>
      <w:r>
        <w:rPr>
          <w:rStyle w:val="VerbatimChar"/>
        </w:rPr>
        <w:t xml:space="preserve">&lt;OntologyIRI&gt;</w:t>
      </w:r>
      <w:r>
        <w:br/>
      </w:r>
      <w:r>
        <w:rPr>
          <w:rStyle w:val="VerbatimChar"/>
        </w:rPr>
        <w:t xml:space="preserve">    a owl:Ontology ;</w:t>
      </w:r>
      <w:r>
        <w:br/>
      </w:r>
      <w:r>
        <w:rPr>
          <w:rStyle w:val="VerbatimChar"/>
        </w:rPr>
        <w:t xml:space="preserve">    owl:versionIRI &lt;VersionIRI&gt; ;</w:t>
      </w:r>
      <w:r>
        <w:br/>
      </w:r>
      <w:r>
        <w:rPr>
          <w:rStyle w:val="VerbatimChar"/>
        </w:rPr>
        <w:t xml:space="preserve">    owl:versionInfo "1.0.0" .</w:t>
      </w:r>
    </w:p>
    <w:p>
      <w:r>
        <w:pict>
          <v:rect style="width:0;height:1.5pt" o:hralign="center" o:hrstd="t" o:hr="t"/>
        </w:pict>
      </w:r>
    </w:p>
    <w:bookmarkEnd w:id="24"/>
    <w:bookmarkEnd w:id="25"/>
    <w:bookmarkStart w:id="26" w:name="knowledge-domain"/>
    <w:p>
      <w:pPr>
        <w:pStyle w:val="Heading1"/>
      </w:pPr>
      <w:r>
        <w:t xml:space="preserve">3. Knowledge Domain</w:t>
      </w:r>
    </w:p>
    <w:p>
      <w:pPr>
        <w:pStyle w:val="FirstParagraph"/>
      </w:pPr>
      <w:r>
        <w:t xml:space="preserve">SIoTSecurity covers the knowledge domain of resilient security in Social Internet of Things networks.</w:t>
      </w:r>
    </w:p>
    <w:p>
      <w:pPr>
        <w:pStyle w:val="BodyText"/>
      </w:pPr>
      <w:r>
        <w:t xml:space="preserve">The ontology represents the entities and conditions required to characterize a SIoT environment and evaluate its capability to face the harmful effects of cyberattacks.</w:t>
      </w:r>
    </w:p>
    <w:p>
      <w:pPr>
        <w:pStyle w:val="BodyText"/>
      </w:pPr>
      <w:r>
        <w:t xml:space="preserve">The knowledge domain includes:</w:t>
      </w:r>
    </w:p>
    <w:p>
      <w:pPr>
        <w:pStyle w:val="Compact"/>
        <w:numPr>
          <w:ilvl w:val="0"/>
          <w:numId w:val="1002"/>
        </w:numPr>
      </w:pPr>
      <w:r>
        <w:t xml:space="preserve">Smart objects.</w:t>
      </w:r>
    </w:p>
    <w:p>
      <w:pPr>
        <w:pStyle w:val="Compact"/>
        <w:numPr>
          <w:ilvl w:val="0"/>
          <w:numId w:val="1002"/>
        </w:numPr>
      </w:pPr>
      <w:r>
        <w:t xml:space="preserve">Users and owners.</w:t>
      </w:r>
    </w:p>
    <w:p>
      <w:pPr>
        <w:pStyle w:val="Compact"/>
        <w:numPr>
          <w:ilvl w:val="0"/>
          <w:numId w:val="1002"/>
        </w:numPr>
      </w:pPr>
      <w:r>
        <w:t xml:space="preserve">Object profiles.</w:t>
      </w:r>
    </w:p>
    <w:p>
      <w:pPr>
        <w:pStyle w:val="Compact"/>
        <w:numPr>
          <w:ilvl w:val="0"/>
          <w:numId w:val="1002"/>
        </w:numPr>
      </w:pPr>
      <w:r>
        <w:t xml:space="preserve">Technical capabilities.</w:t>
      </w:r>
    </w:p>
    <w:p>
      <w:pPr>
        <w:pStyle w:val="Compact"/>
        <w:numPr>
          <w:ilvl w:val="0"/>
          <w:numId w:val="1002"/>
        </w:numPr>
      </w:pPr>
      <w:r>
        <w:t xml:space="preserve">Services.</w:t>
      </w:r>
    </w:p>
    <w:p>
      <w:pPr>
        <w:pStyle w:val="Compact"/>
        <w:numPr>
          <w:ilvl w:val="0"/>
          <w:numId w:val="1002"/>
        </w:numPr>
      </w:pPr>
      <w:r>
        <w:t xml:space="preserve">Interactions.</w:t>
      </w:r>
    </w:p>
    <w:p>
      <w:pPr>
        <w:pStyle w:val="Compact"/>
        <w:numPr>
          <w:ilvl w:val="0"/>
          <w:numId w:val="1002"/>
        </w:numPr>
      </w:pPr>
      <w:r>
        <w:t xml:space="preserve">Social relationships.</w:t>
      </w:r>
    </w:p>
    <w:p>
      <w:pPr>
        <w:pStyle w:val="Compact"/>
        <w:numPr>
          <w:ilvl w:val="0"/>
          <w:numId w:val="1002"/>
        </w:numPr>
      </w:pPr>
      <w:r>
        <w:t xml:space="preserve">SIoT communities and networks.</w:t>
      </w:r>
    </w:p>
    <w:p>
      <w:pPr>
        <w:pStyle w:val="Compact"/>
        <w:numPr>
          <w:ilvl w:val="0"/>
          <w:numId w:val="1002"/>
        </w:numPr>
      </w:pPr>
      <w:r>
        <w:t xml:space="preserve">Contextual conditions.</w:t>
      </w:r>
    </w:p>
    <w:p>
      <w:pPr>
        <w:pStyle w:val="Compact"/>
        <w:numPr>
          <w:ilvl w:val="0"/>
          <w:numId w:val="1002"/>
        </w:numPr>
      </w:pPr>
      <w:r>
        <w:t xml:space="preserve">Direct and indirect evidence.</w:t>
      </w:r>
    </w:p>
    <w:p>
      <w:pPr>
        <w:pStyle w:val="Compact"/>
        <w:numPr>
          <w:ilvl w:val="0"/>
          <w:numId w:val="1002"/>
        </w:numPr>
      </w:pPr>
      <w:r>
        <w:t xml:space="preserve">Trust assessments.</w:t>
      </w:r>
    </w:p>
    <w:p>
      <w:pPr>
        <w:pStyle w:val="Compact"/>
        <w:numPr>
          <w:ilvl w:val="0"/>
          <w:numId w:val="1002"/>
        </w:numPr>
      </w:pPr>
      <w:r>
        <w:t xml:space="preserve">Reputation assessments.</w:t>
      </w:r>
    </w:p>
    <w:p>
      <w:pPr>
        <w:pStyle w:val="Compact"/>
        <w:numPr>
          <w:ilvl w:val="0"/>
          <w:numId w:val="1002"/>
        </w:numPr>
      </w:pPr>
      <w:r>
        <w:t xml:space="preserve">Threats.</w:t>
      </w:r>
    </w:p>
    <w:p>
      <w:pPr>
        <w:pStyle w:val="Compact"/>
        <w:numPr>
          <w:ilvl w:val="0"/>
          <w:numId w:val="1002"/>
        </w:numPr>
      </w:pPr>
      <w:r>
        <w:t xml:space="preserve">Cyberattacks.</w:t>
      </w:r>
    </w:p>
    <w:p>
      <w:pPr>
        <w:pStyle w:val="Compact"/>
        <w:numPr>
          <w:ilvl w:val="0"/>
          <w:numId w:val="1002"/>
        </w:numPr>
      </w:pPr>
      <w:r>
        <w:t xml:space="preserve">Vulnerabilities.</w:t>
      </w:r>
    </w:p>
    <w:p>
      <w:pPr>
        <w:pStyle w:val="Compact"/>
        <w:numPr>
          <w:ilvl w:val="0"/>
          <w:numId w:val="1002"/>
        </w:numPr>
      </w:pPr>
      <w:r>
        <w:t xml:space="preserve">Security incidents.</w:t>
      </w:r>
    </w:p>
    <w:p>
      <w:pPr>
        <w:pStyle w:val="Compact"/>
        <w:numPr>
          <w:ilvl w:val="0"/>
          <w:numId w:val="1002"/>
        </w:numPr>
      </w:pPr>
      <w:r>
        <w:t xml:space="preserve">Affected assets.</w:t>
      </w:r>
    </w:p>
    <w:p>
      <w:pPr>
        <w:pStyle w:val="Compact"/>
        <w:numPr>
          <w:ilvl w:val="0"/>
          <w:numId w:val="1002"/>
        </w:numPr>
      </w:pPr>
      <w:r>
        <w:t xml:space="preserve">Security and service impacts.</w:t>
      </w:r>
    </w:p>
    <w:p>
      <w:pPr>
        <w:pStyle w:val="Compact"/>
        <w:numPr>
          <w:ilvl w:val="0"/>
          <w:numId w:val="1002"/>
        </w:numPr>
      </w:pPr>
      <w:r>
        <w:t xml:space="preserve">Prevention mechanisms.</w:t>
      </w:r>
    </w:p>
    <w:p>
      <w:pPr>
        <w:pStyle w:val="Compact"/>
        <w:numPr>
          <w:ilvl w:val="0"/>
          <w:numId w:val="1002"/>
        </w:numPr>
      </w:pPr>
      <w:r>
        <w:t xml:space="preserve">Detection mechanisms.</w:t>
      </w:r>
    </w:p>
    <w:p>
      <w:pPr>
        <w:pStyle w:val="Compact"/>
        <w:numPr>
          <w:ilvl w:val="0"/>
          <w:numId w:val="1002"/>
        </w:numPr>
      </w:pPr>
      <w:r>
        <w:t xml:space="preserve">Mitigation mechanisms.</w:t>
      </w:r>
    </w:p>
    <w:p>
      <w:pPr>
        <w:pStyle w:val="Compact"/>
        <w:numPr>
          <w:ilvl w:val="0"/>
          <w:numId w:val="1002"/>
        </w:numPr>
      </w:pPr>
      <w:r>
        <w:t xml:space="preserve">Recovery mechanisms.</w:t>
      </w:r>
    </w:p>
    <w:p>
      <w:pPr>
        <w:pStyle w:val="Compact"/>
        <w:numPr>
          <w:ilvl w:val="0"/>
          <w:numId w:val="1002"/>
        </w:numPr>
      </w:pPr>
      <w:r>
        <w:t xml:space="preserve">Adaptation mechanisms.</w:t>
      </w:r>
    </w:p>
    <w:p>
      <w:pPr>
        <w:pStyle w:val="Compact"/>
        <w:numPr>
          <w:ilvl w:val="0"/>
          <w:numId w:val="1002"/>
        </w:numPr>
      </w:pPr>
      <w:r>
        <w:t xml:space="preserve">Operational states.</w:t>
      </w:r>
    </w:p>
    <w:p>
      <w:pPr>
        <w:pStyle w:val="Compact"/>
        <w:numPr>
          <w:ilvl w:val="0"/>
          <w:numId w:val="1002"/>
        </w:numPr>
      </w:pPr>
      <w:r>
        <w:t xml:space="preserve">Resilience capabilities.</w:t>
      </w:r>
    </w:p>
    <w:p>
      <w:pPr>
        <w:pStyle w:val="Compact"/>
        <w:numPr>
          <w:ilvl w:val="0"/>
          <w:numId w:val="1002"/>
        </w:numPr>
      </w:pPr>
      <w:r>
        <w:t xml:space="preserve">Metrics and variables.</w:t>
      </w:r>
    </w:p>
    <w:p>
      <w:pPr>
        <w:pStyle w:val="Compact"/>
        <w:numPr>
          <w:ilvl w:val="0"/>
          <w:numId w:val="1002"/>
        </w:numPr>
      </w:pPr>
      <w:r>
        <w:t xml:space="preserve">Resilience indicators.</w:t>
      </w:r>
    </w:p>
    <w:p>
      <w:pPr>
        <w:pStyle w:val="Compact"/>
        <w:numPr>
          <w:ilvl w:val="0"/>
          <w:numId w:val="1002"/>
        </w:numPr>
      </w:pPr>
      <w:r>
        <w:t xml:space="preserve">Evaluation results.</w:t>
      </w:r>
    </w:p>
    <w:p>
      <w:pPr>
        <w:pStyle w:val="Compact"/>
        <w:numPr>
          <w:ilvl w:val="0"/>
          <w:numId w:val="1002"/>
        </w:numPr>
      </w:pPr>
      <w:r>
        <w:t xml:space="preserve">Provenance and traceability.</w:t>
      </w:r>
    </w:p>
    <w:p>
      <w:r>
        <w:pict>
          <v:rect style="width:0;height:1.5pt" o:hralign="center" o:hrstd="t" o:hr="t"/>
        </w:pict>
      </w:r>
    </w:p>
    <w:bookmarkEnd w:id="26"/>
    <w:bookmarkStart w:id="29" w:name="evaluation-unit"/>
    <w:p>
      <w:pPr>
        <w:pStyle w:val="Heading1"/>
      </w:pPr>
      <w:r>
        <w:t xml:space="preserve">4. Evaluation Unit</w:t>
      </w:r>
    </w:p>
    <w:bookmarkStart w:id="27" w:name="primary-evaluation-unit"/>
    <w:p>
      <w:pPr>
        <w:pStyle w:val="Heading2"/>
      </w:pPr>
      <w:r>
        <w:t xml:space="preserve">4.1 Primary Evaluation Unit</w:t>
      </w:r>
    </w:p>
    <w:p>
      <w:pPr>
        <w:pStyle w:val="FirstParagraph"/>
      </w:pPr>
      <w:r>
        <w:t xml:space="preserve">The primary evaluation unit is:</w:t>
      </w:r>
    </w:p>
    <w:p>
      <w:pPr>
        <w:pStyle w:val="BlockText"/>
      </w:pPr>
      <w:r>
        <w:t xml:space="preserve">A SIoT network or evaluation scenario observed under a defined context and during a defined time period.</w:t>
      </w:r>
    </w:p>
    <w:p>
      <w:pPr>
        <w:pStyle w:val="FirstParagraph"/>
      </w:pPr>
      <w:r>
        <w:t xml:space="preserve">The resilience indicator must therefore be associated with a specific network or scenario and not interpreted as a permanent or context-independent characteristic.</w:t>
      </w:r>
    </w:p>
    <w:bookmarkEnd w:id="27"/>
    <w:bookmarkStart w:id="28" w:name="subordinate-evaluation-units"/>
    <w:p>
      <w:pPr>
        <w:pStyle w:val="Heading2"/>
      </w:pPr>
      <w:r>
        <w:t xml:space="preserve">4.2 Subordinate Evaluation Units</w:t>
      </w:r>
    </w:p>
    <w:p>
      <w:pPr>
        <w:pStyle w:val="FirstParagraph"/>
      </w:pPr>
      <w:r>
        <w:t xml:space="preserve">The ontology may also represent evaluations concerning:</w:t>
      </w:r>
    </w:p>
    <w:p>
      <w:pPr>
        <w:pStyle w:val="Compact"/>
        <w:numPr>
          <w:ilvl w:val="0"/>
          <w:numId w:val="1003"/>
        </w:numPr>
      </w:pPr>
      <w:r>
        <w:t xml:space="preserve">A smart object.</w:t>
      </w:r>
    </w:p>
    <w:p>
      <w:pPr>
        <w:pStyle w:val="Compact"/>
        <w:numPr>
          <w:ilvl w:val="0"/>
          <w:numId w:val="1003"/>
        </w:numPr>
      </w:pPr>
      <w:r>
        <w:t xml:space="preserve">A SIoT service.</w:t>
      </w:r>
    </w:p>
    <w:p>
      <w:pPr>
        <w:pStyle w:val="Compact"/>
        <w:numPr>
          <w:ilvl w:val="0"/>
          <w:numId w:val="1003"/>
        </w:numPr>
      </w:pPr>
      <w:r>
        <w:t xml:space="preserve">An interaction.</w:t>
      </w:r>
    </w:p>
    <w:p>
      <w:pPr>
        <w:pStyle w:val="Compact"/>
        <w:numPr>
          <w:ilvl w:val="0"/>
          <w:numId w:val="1003"/>
        </w:numPr>
      </w:pPr>
      <w:r>
        <w:t xml:space="preserve">A social relationship.</w:t>
      </w:r>
    </w:p>
    <w:p>
      <w:pPr>
        <w:pStyle w:val="Compact"/>
        <w:numPr>
          <w:ilvl w:val="0"/>
          <w:numId w:val="1003"/>
        </w:numPr>
      </w:pPr>
      <w:r>
        <w:t xml:space="preserve">A community.</w:t>
      </w:r>
    </w:p>
    <w:p>
      <w:pPr>
        <w:pStyle w:val="Compact"/>
        <w:numPr>
          <w:ilvl w:val="0"/>
          <w:numId w:val="1003"/>
        </w:numPr>
      </w:pPr>
      <w:r>
        <w:t xml:space="preserve">A subnetwork.</w:t>
      </w:r>
    </w:p>
    <w:p>
      <w:pPr>
        <w:pStyle w:val="Compact"/>
        <w:numPr>
          <w:ilvl w:val="0"/>
          <w:numId w:val="1003"/>
        </w:numPr>
      </w:pPr>
      <w:r>
        <w:t xml:space="preserve">A security mechanism.</w:t>
      </w:r>
    </w:p>
    <w:p>
      <w:pPr>
        <w:pStyle w:val="Compact"/>
        <w:numPr>
          <w:ilvl w:val="0"/>
          <w:numId w:val="1003"/>
        </w:numPr>
      </w:pPr>
      <w:r>
        <w:t xml:space="preserve">A recovery process.</w:t>
      </w:r>
    </w:p>
    <w:p>
      <w:pPr>
        <w:pStyle w:val="Compact"/>
        <w:numPr>
          <w:ilvl w:val="0"/>
          <w:numId w:val="1003"/>
        </w:numPr>
      </w:pPr>
      <w:r>
        <w:t xml:space="preserve">A service provider.</w:t>
      </w:r>
    </w:p>
    <w:p>
      <w:pPr>
        <w:pStyle w:val="Compact"/>
        <w:numPr>
          <w:ilvl w:val="0"/>
          <w:numId w:val="1003"/>
        </w:numPr>
      </w:pPr>
      <w:r>
        <w:t xml:space="preserve">A service consumer.</w:t>
      </w:r>
    </w:p>
    <w:p>
      <w:pPr>
        <w:pStyle w:val="Compact"/>
        <w:numPr>
          <w:ilvl w:val="0"/>
          <w:numId w:val="1003"/>
        </w:numPr>
      </w:pPr>
      <w:r>
        <w:t xml:space="preserve">An affected asset.</w:t>
      </w:r>
    </w:p>
    <w:p>
      <w:pPr>
        <w:pStyle w:val="FirstParagraph"/>
      </w:pPr>
      <w:r>
        <w:t xml:space="preserve">An evaluation concerning one subordinate entity does not automatically represent the resilience of the complete SIoT network.</w:t>
      </w:r>
    </w:p>
    <w:p>
      <w:r>
        <w:pict>
          <v:rect style="width:0;height:1.5pt" o:hralign="center" o:hrstd="t" o:hr="t"/>
        </w:pict>
      </w:r>
    </w:p>
    <w:bookmarkEnd w:id="28"/>
    <w:bookmarkEnd w:id="29"/>
    <w:bookmarkStart w:id="30" w:name="rationale"/>
    <w:p>
      <w:pPr>
        <w:pStyle w:val="Heading1"/>
      </w:pPr>
      <w:r>
        <w:t xml:space="preserve">5. Rationale</w:t>
      </w:r>
    </w:p>
    <w:p>
      <w:pPr>
        <w:pStyle w:val="FirstParagraph"/>
      </w:pPr>
      <w:r>
        <w:t xml:space="preserve">SIoTSecurity is developed because the SIoT is characterized by:</w:t>
      </w:r>
    </w:p>
    <w:p>
      <w:pPr>
        <w:pStyle w:val="Compact"/>
        <w:numPr>
          <w:ilvl w:val="0"/>
          <w:numId w:val="1004"/>
        </w:numPr>
      </w:pPr>
      <w:r>
        <w:t xml:space="preserve">Heterogeneous devices.</w:t>
      </w:r>
    </w:p>
    <w:p>
      <w:pPr>
        <w:pStyle w:val="Compact"/>
        <w:numPr>
          <w:ilvl w:val="0"/>
          <w:numId w:val="1004"/>
        </w:numPr>
      </w:pPr>
      <w:r>
        <w:t xml:space="preserve">Dynamic network configurations.</w:t>
      </w:r>
    </w:p>
    <w:p>
      <w:pPr>
        <w:pStyle w:val="Compact"/>
        <w:numPr>
          <w:ilvl w:val="0"/>
          <w:numId w:val="1004"/>
        </w:numPr>
      </w:pPr>
      <w:r>
        <w:t xml:space="preserve">Autonomous interactions.</w:t>
      </w:r>
    </w:p>
    <w:p>
      <w:pPr>
        <w:pStyle w:val="Compact"/>
        <w:numPr>
          <w:ilvl w:val="0"/>
          <w:numId w:val="1004"/>
        </w:numPr>
      </w:pPr>
      <w:r>
        <w:t xml:space="preserve">Social relationships between objects.</w:t>
      </w:r>
    </w:p>
    <w:p>
      <w:pPr>
        <w:pStyle w:val="Compact"/>
        <w:numPr>
          <w:ilvl w:val="0"/>
          <w:numId w:val="1004"/>
        </w:numPr>
      </w:pPr>
      <w:r>
        <w:t xml:space="preserve">Context-dependent decisions.</w:t>
      </w:r>
    </w:p>
    <w:p>
      <w:pPr>
        <w:pStyle w:val="Compact"/>
        <w:numPr>
          <w:ilvl w:val="0"/>
          <w:numId w:val="1004"/>
        </w:numPr>
      </w:pPr>
      <w:r>
        <w:t xml:space="preserve">Resource constraints.</w:t>
      </w:r>
    </w:p>
    <w:p>
      <w:pPr>
        <w:pStyle w:val="Compact"/>
        <w:numPr>
          <w:ilvl w:val="0"/>
          <w:numId w:val="1004"/>
        </w:numPr>
      </w:pPr>
      <w:r>
        <w:t xml:space="preserve">Mobile objects.</w:t>
      </w:r>
    </w:p>
    <w:p>
      <w:pPr>
        <w:pStyle w:val="Compact"/>
        <w:numPr>
          <w:ilvl w:val="0"/>
          <w:numId w:val="1004"/>
        </w:numPr>
      </w:pPr>
      <w:r>
        <w:t xml:space="preserve">Changing service providers.</w:t>
      </w:r>
    </w:p>
    <w:p>
      <w:pPr>
        <w:pStyle w:val="Compact"/>
        <w:numPr>
          <w:ilvl w:val="0"/>
          <w:numId w:val="1004"/>
        </w:numPr>
      </w:pPr>
      <w:r>
        <w:t xml:space="preserve">Dynamic trust and reputation.</w:t>
      </w:r>
    </w:p>
    <w:p>
      <w:pPr>
        <w:pStyle w:val="Compact"/>
        <w:numPr>
          <w:ilvl w:val="0"/>
          <w:numId w:val="1004"/>
        </w:numPr>
      </w:pPr>
      <w:r>
        <w:t xml:space="preserve">Evolving threats and attacks.</w:t>
      </w:r>
    </w:p>
    <w:p>
      <w:pPr>
        <w:pStyle w:val="Compact"/>
        <w:numPr>
          <w:ilvl w:val="0"/>
          <w:numId w:val="1004"/>
        </w:numPr>
      </w:pPr>
      <w:r>
        <w:t xml:space="preserve">Distributed evidence.</w:t>
      </w:r>
    </w:p>
    <w:p>
      <w:pPr>
        <w:pStyle w:val="Compact"/>
        <w:numPr>
          <w:ilvl w:val="0"/>
          <w:numId w:val="1004"/>
        </w:numPr>
      </w:pPr>
      <w:r>
        <w:t xml:space="preserve">Variable quality of service.</w:t>
      </w:r>
    </w:p>
    <w:p>
      <w:pPr>
        <w:pStyle w:val="FirstParagraph"/>
      </w:pPr>
      <w:r>
        <w:t xml:space="preserve">These characteristics require a formal knowledge representation capable of integrating technical, social, temporal, spatial, physical, service-related, and security information.</w:t>
      </w:r>
    </w:p>
    <w:p>
      <w:pPr>
        <w:pStyle w:val="BodyText"/>
      </w:pPr>
      <w:r>
        <w:t xml:space="preserve">The ontology is directly associated with the second specific objective of the doctoral research, which proposes the creation of a resilience indicator formalized through an ontology.</w:t>
      </w:r>
    </w:p>
    <w:p>
      <w:pPr>
        <w:pStyle w:val="BodyText"/>
      </w:pPr>
      <w:r>
        <w:t xml:space="preserve">The ontology must therefore represent the information needed to determine the capability of a SIoT network to:</w:t>
      </w:r>
    </w:p>
    <w:p>
      <w:pPr>
        <w:pStyle w:val="Compact"/>
        <w:numPr>
          <w:ilvl w:val="0"/>
          <w:numId w:val="1005"/>
        </w:numPr>
      </w:pPr>
      <w:r>
        <w:t xml:space="preserve">Identify or anticipate a cyberattack.</w:t>
      </w:r>
    </w:p>
    <w:p>
      <w:pPr>
        <w:pStyle w:val="Compact"/>
        <w:numPr>
          <w:ilvl w:val="0"/>
          <w:numId w:val="1005"/>
        </w:numPr>
      </w:pPr>
      <w:r>
        <w:t xml:space="preserve">Absorb part of its effects.</w:t>
      </w:r>
    </w:p>
    <w:p>
      <w:pPr>
        <w:pStyle w:val="Compact"/>
        <w:numPr>
          <w:ilvl w:val="0"/>
          <w:numId w:val="1005"/>
        </w:numPr>
      </w:pPr>
      <w:r>
        <w:t xml:space="preserve">Resist the attack while maintaining essential services.</w:t>
      </w:r>
    </w:p>
    <w:p>
      <w:pPr>
        <w:pStyle w:val="Compact"/>
        <w:numPr>
          <w:ilvl w:val="0"/>
          <w:numId w:val="1005"/>
        </w:numPr>
      </w:pPr>
      <w:r>
        <w:t xml:space="preserve">Recover its expected operational state.</w:t>
      </w:r>
    </w:p>
    <w:p>
      <w:pPr>
        <w:pStyle w:val="Compact"/>
        <w:numPr>
          <w:ilvl w:val="0"/>
          <w:numId w:val="1005"/>
        </w:numPr>
      </w:pPr>
      <w:r>
        <w:t xml:space="preserve">Adapt after the incident.</w:t>
      </w:r>
    </w:p>
    <w:p>
      <w:r>
        <w:pict>
          <v:rect style="width:0;height:1.5pt" o:hralign="center" o:hrstd="t" o:hr="t"/>
        </w:pict>
      </w:r>
    </w:p>
    <w:bookmarkEnd w:id="30"/>
    <w:bookmarkStart w:id="32" w:name="main-purpose"/>
    <w:p>
      <w:pPr>
        <w:pStyle w:val="Heading1"/>
      </w:pPr>
      <w:r>
        <w:t xml:space="preserve">6. Main Purpose</w:t>
      </w:r>
    </w:p>
    <w:p>
      <w:pPr>
        <w:pStyle w:val="FirstParagraph"/>
      </w:pPr>
      <w:r>
        <w:t xml:space="preserve">Provide a formal, structured, interoperable, and computable representation of the knowledge required to measure the resilient security of a Social Internet of Things network by integrating contextual variables, threats, impacts, operational states, response mechanisms, evidence, and dynamic trust and reputation values.</w:t>
      </w:r>
    </w:p>
    <w:bookmarkStart w:id="31" w:name="spanish-informative-translation"/>
    <w:p>
      <w:pPr>
        <w:pStyle w:val="Heading2"/>
      </w:pPr>
      <w:r>
        <w:t xml:space="preserve">Spanish Informative Translation</w:t>
      </w:r>
    </w:p>
    <w:p>
      <w:pPr>
        <w:pStyle w:val="FirstParagraph"/>
      </w:pPr>
      <w:r>
        <w:t xml:space="preserve">Proporcionar una representación formal, estructurada, interoperable y computable del conocimiento necesario para medir la seguridad resiliente de una red de la Internet Social de las Cosas, mediante la integración de variables contextuales, amenazas, impactos, estados operacionales, mecanismos de respuesta, evidencias y valores dinámicos de confianza y reputación.</w:t>
      </w:r>
    </w:p>
    <w:p>
      <w:r>
        <w:pict>
          <v:rect style="width:0;height:1.5pt" o:hralign="center" o:hrstd="t" o:hr="t"/>
        </w:pict>
      </w:r>
    </w:p>
    <w:bookmarkEnd w:id="31"/>
    <w:bookmarkEnd w:id="32"/>
    <w:bookmarkStart w:id="42" w:name="specific-purposes"/>
    <w:p>
      <w:pPr>
        <w:pStyle w:val="Heading1"/>
      </w:pPr>
      <w:r>
        <w:t xml:space="preserve">7. Specific Purposes</w:t>
      </w:r>
    </w:p>
    <w:bookmarkStart w:id="33" w:name="sp01-siot-structure"/>
    <w:p>
      <w:pPr>
        <w:pStyle w:val="Heading2"/>
      </w:pPr>
      <w:r>
        <w:t xml:space="preserve">SP01 — SIoT Structure</w:t>
      </w:r>
    </w:p>
    <w:p>
      <w:pPr>
        <w:pStyle w:val="FirstParagraph"/>
      </w:pPr>
      <w:r>
        <w:t xml:space="preserve">Represent the structure, participants, services, interactions, and social relationships of a SIoT network.</w:t>
      </w:r>
    </w:p>
    <w:bookmarkEnd w:id="33"/>
    <w:bookmarkStart w:id="34" w:name="sp02-context-representation"/>
    <w:p>
      <w:pPr>
        <w:pStyle w:val="Heading2"/>
      </w:pPr>
      <w:r>
        <w:t xml:space="preserve">SP02 — Context Representation</w:t>
      </w:r>
    </w:p>
    <w:p>
      <w:pPr>
        <w:pStyle w:val="FirstParagraph"/>
      </w:pPr>
      <w:r>
        <w:t xml:space="preserve">Represent the technical, social, temporal, spatial, service-related, physical, and security conditions under which SIoT interactions, trust and reputation assessments, cyberattacks, and resilience measurements occur.</w:t>
      </w:r>
    </w:p>
    <w:p>
      <w:pPr>
        <w:pStyle w:val="BodyText"/>
      </w:pPr>
      <w:r>
        <w:t xml:space="preserve">Context representation answers questions such as:</w:t>
      </w:r>
    </w:p>
    <w:p>
      <w:pPr>
        <w:pStyle w:val="Compact"/>
        <w:numPr>
          <w:ilvl w:val="0"/>
          <w:numId w:val="1006"/>
        </w:numPr>
      </w:pPr>
      <w:r>
        <w:t xml:space="preserve">Which entities participated?</w:t>
      </w:r>
    </w:p>
    <w:p>
      <w:pPr>
        <w:pStyle w:val="Compact"/>
        <w:numPr>
          <w:ilvl w:val="0"/>
          <w:numId w:val="1006"/>
        </w:numPr>
      </w:pPr>
      <w:r>
        <w:t xml:space="preserve">Which service was requested?</w:t>
      </w:r>
    </w:p>
    <w:p>
      <w:pPr>
        <w:pStyle w:val="Compact"/>
        <w:numPr>
          <w:ilvl w:val="0"/>
          <w:numId w:val="1006"/>
        </w:numPr>
      </w:pPr>
      <w:r>
        <w:t xml:space="preserve">When did the interaction occur?</w:t>
      </w:r>
    </w:p>
    <w:p>
      <w:pPr>
        <w:pStyle w:val="Compact"/>
        <w:numPr>
          <w:ilvl w:val="0"/>
          <w:numId w:val="1006"/>
        </w:numPr>
      </w:pPr>
      <w:r>
        <w:t xml:space="preserve">Where were the objects located?</w:t>
      </w:r>
    </w:p>
    <w:p>
      <w:pPr>
        <w:pStyle w:val="Compact"/>
        <w:numPr>
          <w:ilvl w:val="0"/>
          <w:numId w:val="1006"/>
        </w:numPr>
      </w:pPr>
      <w:r>
        <w:t xml:space="preserve">Which social relationship existed?</w:t>
      </w:r>
    </w:p>
    <w:p>
      <w:pPr>
        <w:pStyle w:val="Compact"/>
        <w:numPr>
          <w:ilvl w:val="0"/>
          <w:numId w:val="1006"/>
        </w:numPr>
      </w:pPr>
      <w:r>
        <w:t xml:space="preserve">What was the technical condition of each object?</w:t>
      </w:r>
    </w:p>
    <w:p>
      <w:pPr>
        <w:pStyle w:val="Compact"/>
        <w:numPr>
          <w:ilvl w:val="0"/>
          <w:numId w:val="1006"/>
        </w:numPr>
      </w:pPr>
      <w:r>
        <w:t xml:space="preserve">Was a threat or attack active?</w:t>
      </w:r>
    </w:p>
    <w:p>
      <w:pPr>
        <w:pStyle w:val="Compact"/>
        <w:numPr>
          <w:ilvl w:val="0"/>
          <w:numId w:val="1006"/>
        </w:numPr>
      </w:pPr>
      <w:r>
        <w:t xml:space="preserve">Which service-quality requirements applied?</w:t>
      </w:r>
    </w:p>
    <w:p>
      <w:pPr>
        <w:pStyle w:val="Compact"/>
        <w:numPr>
          <w:ilvl w:val="0"/>
          <w:numId w:val="1006"/>
        </w:numPr>
      </w:pPr>
      <w:r>
        <w:t xml:space="preserve">Under which conditions was trust, reputation, or resilience evaluated?</w:t>
      </w:r>
    </w:p>
    <w:bookmarkEnd w:id="34"/>
    <w:bookmarkStart w:id="35" w:name="sp03-trust-and-reputation"/>
    <w:p>
      <w:pPr>
        <w:pStyle w:val="Heading2"/>
      </w:pPr>
      <w:r>
        <w:t xml:space="preserve">SP03 — Trust and Reputation</w:t>
      </w:r>
    </w:p>
    <w:p>
      <w:pPr>
        <w:pStyle w:val="FirstParagraph"/>
      </w:pPr>
      <w:r>
        <w:t xml:space="preserve">Differentiate and relate:</w:t>
      </w:r>
    </w:p>
    <w:p>
      <w:pPr>
        <w:pStyle w:val="Compact"/>
        <w:numPr>
          <w:ilvl w:val="0"/>
          <w:numId w:val="1007"/>
        </w:numPr>
      </w:pPr>
      <w:r>
        <w:t xml:space="preserve">Direct trust.</w:t>
      </w:r>
    </w:p>
    <w:p>
      <w:pPr>
        <w:pStyle w:val="Compact"/>
        <w:numPr>
          <w:ilvl w:val="0"/>
          <w:numId w:val="1007"/>
        </w:numPr>
      </w:pPr>
      <w:r>
        <w:t xml:space="preserve">Indirect trust.</w:t>
      </w:r>
    </w:p>
    <w:p>
      <w:pPr>
        <w:pStyle w:val="Compact"/>
        <w:numPr>
          <w:ilvl w:val="0"/>
          <w:numId w:val="1007"/>
        </w:numPr>
      </w:pPr>
      <w:r>
        <w:t xml:space="preserve">Local reputation.</w:t>
      </w:r>
    </w:p>
    <w:p>
      <w:pPr>
        <w:pStyle w:val="Compact"/>
        <w:numPr>
          <w:ilvl w:val="0"/>
          <w:numId w:val="1007"/>
        </w:numPr>
      </w:pPr>
      <w:r>
        <w:t xml:space="preserve">Global reputation.</w:t>
      </w:r>
    </w:p>
    <w:p>
      <w:pPr>
        <w:pStyle w:val="Compact"/>
        <w:numPr>
          <w:ilvl w:val="0"/>
          <w:numId w:val="1007"/>
        </w:numPr>
      </w:pPr>
      <w:r>
        <w:t xml:space="preserve">Contextual trust.</w:t>
      </w:r>
    </w:p>
    <w:p>
      <w:pPr>
        <w:pStyle w:val="Compact"/>
        <w:numPr>
          <w:ilvl w:val="0"/>
          <w:numId w:val="1007"/>
        </w:numPr>
      </w:pPr>
      <w:r>
        <w:t xml:space="preserve">Contextual reputation.</w:t>
      </w:r>
    </w:p>
    <w:bookmarkEnd w:id="35"/>
    <w:bookmarkStart w:id="36" w:name="sp04-evidence-and-provenance"/>
    <w:p>
      <w:pPr>
        <w:pStyle w:val="Heading2"/>
      </w:pPr>
      <w:r>
        <w:t xml:space="preserve">SP04 — Evidence and Provenance</w:t>
      </w:r>
    </w:p>
    <w:p>
      <w:pPr>
        <w:pStyle w:val="FirstParagraph"/>
      </w:pPr>
      <w:r>
        <w:t xml:space="preserve">Represent the evidence, observations, provenance, recency, quality, credibility, and contextual relevance used in assessments.</w:t>
      </w:r>
    </w:p>
    <w:bookmarkEnd w:id="36"/>
    <w:bookmarkStart w:id="37" w:name="sp05-cybersecurity-knowledge"/>
    <w:p>
      <w:pPr>
        <w:pStyle w:val="Heading2"/>
      </w:pPr>
      <w:r>
        <w:t xml:space="preserve">SP05 — Cybersecurity Knowledge</w:t>
      </w:r>
    </w:p>
    <w:p>
      <w:pPr>
        <w:pStyle w:val="FirstParagraph"/>
      </w:pPr>
      <w:r>
        <w:t xml:space="preserve">Represent threats, cyberattacks, vulnerabilities, affected assets, security incidents, impacts, and response mechanisms.</w:t>
      </w:r>
    </w:p>
    <w:bookmarkEnd w:id="37"/>
    <w:bookmarkStart w:id="38" w:name="sp06-resilience-capabilities"/>
    <w:p>
      <w:pPr>
        <w:pStyle w:val="Heading2"/>
      </w:pPr>
      <w:r>
        <w:t xml:space="preserve">SP06 — Resilience Capabilities</w:t>
      </w:r>
    </w:p>
    <w:p>
      <w:pPr>
        <w:pStyle w:val="FirstParagraph"/>
      </w:pPr>
      <w:r>
        <w:t xml:space="preserve">Represent the resilience capabilities of:</w:t>
      </w:r>
    </w:p>
    <w:p>
      <w:pPr>
        <w:pStyle w:val="Compact"/>
        <w:numPr>
          <w:ilvl w:val="0"/>
          <w:numId w:val="1008"/>
        </w:numPr>
      </w:pPr>
      <w:r>
        <w:t xml:space="preserve">Identification.</w:t>
      </w:r>
    </w:p>
    <w:p>
      <w:pPr>
        <w:pStyle w:val="Compact"/>
        <w:numPr>
          <w:ilvl w:val="0"/>
          <w:numId w:val="1008"/>
        </w:numPr>
      </w:pPr>
      <w:r>
        <w:t xml:space="preserve">Absorption.</w:t>
      </w:r>
    </w:p>
    <w:p>
      <w:pPr>
        <w:pStyle w:val="Compact"/>
        <w:numPr>
          <w:ilvl w:val="0"/>
          <w:numId w:val="1008"/>
        </w:numPr>
      </w:pPr>
      <w:r>
        <w:t xml:space="preserve">Resistance.</w:t>
      </w:r>
    </w:p>
    <w:p>
      <w:pPr>
        <w:pStyle w:val="Compact"/>
        <w:numPr>
          <w:ilvl w:val="0"/>
          <w:numId w:val="1008"/>
        </w:numPr>
      </w:pPr>
      <w:r>
        <w:t xml:space="preserve">Recovery.</w:t>
      </w:r>
    </w:p>
    <w:p>
      <w:pPr>
        <w:pStyle w:val="Compact"/>
        <w:numPr>
          <w:ilvl w:val="0"/>
          <w:numId w:val="1008"/>
        </w:numPr>
      </w:pPr>
      <w:r>
        <w:t xml:space="preserve">Adaptation.</w:t>
      </w:r>
    </w:p>
    <w:bookmarkEnd w:id="38"/>
    <w:bookmarkStart w:id="39" w:name="sp07-resilience-indicator"/>
    <w:p>
      <w:pPr>
        <w:pStyle w:val="Heading2"/>
      </w:pPr>
      <w:r>
        <w:t xml:space="preserve">SP07 — Resilience Indicator</w:t>
      </w:r>
    </w:p>
    <w:p>
      <w:pPr>
        <w:pStyle w:val="FirstParagraph"/>
      </w:pPr>
      <w:r>
        <w:t xml:space="preserve">Formalize the variables, metrics, subindicators, weights, thresholds, methods, values, and levels associated with the resilience indicator.</w:t>
      </w:r>
    </w:p>
    <w:bookmarkEnd w:id="39"/>
    <w:bookmarkStart w:id="40" w:name="sp08-semantic-processing"/>
    <w:p>
      <w:pPr>
        <w:pStyle w:val="Heading2"/>
      </w:pPr>
      <w:r>
        <w:t xml:space="preserve">SP08 — Semantic Processing</w:t>
      </w:r>
    </w:p>
    <w:p>
      <w:pPr>
        <w:pStyle w:val="FirstParagraph"/>
      </w:pPr>
      <w:r>
        <w:t xml:space="preserve">Support inference, querying, comparison, explanation, and traceability of resilience evaluations.</w:t>
      </w:r>
    </w:p>
    <w:bookmarkEnd w:id="40"/>
    <w:bookmarkStart w:id="41" w:name="sp09-technical-evaluation"/>
    <w:p>
      <w:pPr>
        <w:pStyle w:val="Heading2"/>
      </w:pPr>
      <w:r>
        <w:t xml:space="preserve">SP09 — Technical Evaluation</w:t>
      </w:r>
    </w:p>
    <w:p>
      <w:pPr>
        <w:pStyle w:val="FirstParagraph"/>
      </w:pPr>
      <w:r>
        <w:t xml:space="preserve">Support technical evaluation through OWL reasoning and SPARQL competency-question testing.</w:t>
      </w:r>
    </w:p>
    <w:p>
      <w:r>
        <w:pict>
          <v:rect style="width:0;height:1.5pt" o:hralign="center" o:hrstd="t" o:hr="t"/>
        </w:pict>
      </w:r>
    </w:p>
    <w:bookmarkEnd w:id="41"/>
    <w:bookmarkEnd w:id="42"/>
    <w:bookmarkStart w:id="43" w:name="intended-uses"/>
    <w:p>
      <w:pPr>
        <w:pStyle w:val="Heading1"/>
      </w:pPr>
      <w:r>
        <w:t xml:space="preserve">8. Intended Uses</w:t>
      </w:r>
    </w:p>
    <w:p>
      <w:pPr>
        <w:pStyle w:val="FirstParagraph"/>
      </w:pPr>
      <w:r>
        <w:t xml:space="preserve">SIoTSecurity is intended to support the following uses:</w:t>
      </w:r>
    </w:p>
    <w:p>
      <w:pPr>
        <w:pStyle w:val="Compact"/>
        <w:numPr>
          <w:ilvl w:val="0"/>
          <w:numId w:val="1009"/>
        </w:numPr>
      </w:pPr>
      <w:r>
        <w:t xml:space="preserve">Characterize a SIoT network and its evaluation context.</w:t>
      </w:r>
    </w:p>
    <w:p>
      <w:pPr>
        <w:pStyle w:val="Compact"/>
        <w:numPr>
          <w:ilvl w:val="0"/>
          <w:numId w:val="1009"/>
        </w:numPr>
      </w:pPr>
      <w:r>
        <w:t xml:space="preserve">Represent smart objects, users, services, and social relationships.</w:t>
      </w:r>
    </w:p>
    <w:p>
      <w:pPr>
        <w:pStyle w:val="Compact"/>
        <w:numPr>
          <w:ilvl w:val="0"/>
          <w:numId w:val="1009"/>
        </w:numPr>
      </w:pPr>
      <w:r>
        <w:t xml:space="preserve">Register successful and failed interactions.</w:t>
      </w:r>
    </w:p>
    <w:p>
      <w:pPr>
        <w:pStyle w:val="Compact"/>
        <w:numPr>
          <w:ilvl w:val="0"/>
          <w:numId w:val="1009"/>
        </w:numPr>
      </w:pPr>
      <w:r>
        <w:t xml:space="preserve">Register direct and indirect evidence.</w:t>
      </w:r>
    </w:p>
    <w:p>
      <w:pPr>
        <w:pStyle w:val="Compact"/>
        <w:numPr>
          <w:ilvl w:val="0"/>
          <w:numId w:val="1009"/>
        </w:numPr>
      </w:pPr>
      <w:r>
        <w:t xml:space="preserve">Assess contextual trust for a service.</w:t>
      </w:r>
    </w:p>
    <w:p>
      <w:pPr>
        <w:pStyle w:val="Compact"/>
        <w:numPr>
          <w:ilvl w:val="0"/>
          <w:numId w:val="1009"/>
        </w:numPr>
      </w:pPr>
      <w:r>
        <w:t xml:space="preserve">Assess local and global reputation.</w:t>
      </w:r>
    </w:p>
    <w:p>
      <w:pPr>
        <w:pStyle w:val="Compact"/>
        <w:numPr>
          <w:ilvl w:val="0"/>
          <w:numId w:val="1009"/>
        </w:numPr>
      </w:pPr>
      <w:r>
        <w:t xml:space="preserve">Identify cyberattacks and exploited vulnerabilities.</w:t>
      </w:r>
    </w:p>
    <w:p>
      <w:pPr>
        <w:pStyle w:val="Compact"/>
        <w:numPr>
          <w:ilvl w:val="0"/>
          <w:numId w:val="1009"/>
        </w:numPr>
      </w:pPr>
      <w:r>
        <w:t xml:space="preserve">Identify affected assets, objects, services, relationships, interactions, or data.</w:t>
      </w:r>
    </w:p>
    <w:p>
      <w:pPr>
        <w:pStyle w:val="Compact"/>
        <w:numPr>
          <w:ilvl w:val="0"/>
          <w:numId w:val="1009"/>
        </w:numPr>
      </w:pPr>
      <w:r>
        <w:t xml:space="preserve">Represent security impacts.</w:t>
      </w:r>
    </w:p>
    <w:p>
      <w:pPr>
        <w:pStyle w:val="Compact"/>
        <w:numPr>
          <w:ilvl w:val="0"/>
          <w:numId w:val="1009"/>
        </w:numPr>
      </w:pPr>
      <w:r>
        <w:t xml:space="preserve">Represent impacts on quality of service.</w:t>
      </w:r>
    </w:p>
    <w:p>
      <w:pPr>
        <w:pStyle w:val="Compact"/>
        <w:numPr>
          <w:ilvl w:val="0"/>
          <w:numId w:val="1009"/>
        </w:numPr>
      </w:pPr>
      <w:r>
        <w:t xml:space="preserve">Represent the operational state before an attack.</w:t>
      </w:r>
    </w:p>
    <w:p>
      <w:pPr>
        <w:pStyle w:val="Compact"/>
        <w:numPr>
          <w:ilvl w:val="0"/>
          <w:numId w:val="1009"/>
        </w:numPr>
      </w:pPr>
      <w:r>
        <w:t xml:space="preserve">Represent the operational state during an attack.</w:t>
      </w:r>
    </w:p>
    <w:p>
      <w:pPr>
        <w:pStyle w:val="Compact"/>
        <w:numPr>
          <w:ilvl w:val="0"/>
          <w:numId w:val="1009"/>
        </w:numPr>
      </w:pPr>
      <w:r>
        <w:t xml:space="preserve">Represent the operational state after an attack.</w:t>
      </w:r>
    </w:p>
    <w:p>
      <w:pPr>
        <w:pStyle w:val="Compact"/>
        <w:numPr>
          <w:ilvl w:val="0"/>
          <w:numId w:val="1009"/>
        </w:numPr>
      </w:pPr>
      <w:r>
        <w:t xml:space="preserve">Register resilience metrics.</w:t>
      </w:r>
    </w:p>
    <w:p>
      <w:pPr>
        <w:pStyle w:val="Compact"/>
        <w:numPr>
          <w:ilvl w:val="0"/>
          <w:numId w:val="1009"/>
        </w:numPr>
      </w:pPr>
      <w:r>
        <w:t xml:space="preserve">Register subindicator values.</w:t>
      </w:r>
    </w:p>
    <w:p>
      <w:pPr>
        <w:pStyle w:val="Compact"/>
        <w:numPr>
          <w:ilvl w:val="0"/>
          <w:numId w:val="1009"/>
        </w:numPr>
      </w:pPr>
      <w:r>
        <w:t xml:space="preserve">Store or reference the overall resilience indicator result.</w:t>
      </w:r>
    </w:p>
    <w:p>
      <w:pPr>
        <w:pStyle w:val="Compact"/>
        <w:numPr>
          <w:ilvl w:val="0"/>
          <w:numId w:val="1009"/>
        </w:numPr>
      </w:pPr>
      <w:r>
        <w:t xml:space="preserve">Classify resilience using documented thresholds.</w:t>
      </w:r>
    </w:p>
    <w:p>
      <w:pPr>
        <w:pStyle w:val="Compact"/>
        <w:numPr>
          <w:ilvl w:val="0"/>
          <w:numId w:val="1009"/>
        </w:numPr>
      </w:pPr>
      <w:r>
        <w:t xml:space="preserve">Explain which evidence produced an evaluation result.</w:t>
      </w:r>
    </w:p>
    <w:p>
      <w:pPr>
        <w:pStyle w:val="Compact"/>
        <w:numPr>
          <w:ilvl w:val="0"/>
          <w:numId w:val="1009"/>
        </w:numPr>
      </w:pPr>
      <w:r>
        <w:t xml:space="preserve">Reproduce an evaluation from its observations, rules, values, and provenance.</w:t>
      </w:r>
    </w:p>
    <w:p>
      <w:pPr>
        <w:pStyle w:val="Compact"/>
        <w:numPr>
          <w:ilvl w:val="0"/>
          <w:numId w:val="1009"/>
        </w:numPr>
      </w:pPr>
      <w:r>
        <w:t xml:space="preserve">Compare networks, scenarios, services, objects, and time periods.</w:t>
      </w:r>
    </w:p>
    <w:p>
      <w:pPr>
        <w:pStyle w:val="Compact"/>
        <w:numPr>
          <w:ilvl w:val="0"/>
          <w:numId w:val="1009"/>
        </w:numPr>
      </w:pPr>
      <w:r>
        <w:t xml:space="preserve">Support the isolation of malicious nodes.</w:t>
      </w:r>
    </w:p>
    <w:p>
      <w:pPr>
        <w:pStyle w:val="Compact"/>
        <w:numPr>
          <w:ilvl w:val="0"/>
          <w:numId w:val="1009"/>
        </w:numPr>
      </w:pPr>
      <w:r>
        <w:t xml:space="preserve">Support the replacement of unreliable service providers.</w:t>
      </w:r>
    </w:p>
    <w:p>
      <w:pPr>
        <w:pStyle w:val="Compact"/>
        <w:numPr>
          <w:ilvl w:val="0"/>
          <w:numId w:val="1009"/>
        </w:numPr>
      </w:pPr>
      <w:r>
        <w:t xml:space="preserve">Support the revocation of harmful social relationships.</w:t>
      </w:r>
    </w:p>
    <w:p>
      <w:pPr>
        <w:pStyle w:val="Compact"/>
        <w:numPr>
          <w:ilvl w:val="0"/>
          <w:numId w:val="1009"/>
        </w:numPr>
      </w:pPr>
      <w:r>
        <w:t xml:space="preserve">Support the activation of security mechanisms.</w:t>
      </w:r>
    </w:p>
    <w:p>
      <w:pPr>
        <w:pStyle w:val="Compact"/>
        <w:numPr>
          <w:ilvl w:val="0"/>
          <w:numId w:val="1009"/>
        </w:numPr>
      </w:pPr>
      <w:r>
        <w:t xml:space="preserve">Support the comparison of alternative response strategies.</w:t>
      </w:r>
    </w:p>
    <w:p>
      <w:r>
        <w:pict>
          <v:rect style="width:0;height:1.5pt" o:hralign="center" o:hrstd="t" o:hr="t"/>
        </w:pict>
      </w:r>
    </w:p>
    <w:bookmarkEnd w:id="43"/>
    <w:bookmarkStart w:id="46" w:name="intended-users"/>
    <w:p>
      <w:pPr>
        <w:pStyle w:val="Heading1"/>
      </w:pPr>
      <w:r>
        <w:t xml:space="preserve">9. Intended Users</w:t>
      </w:r>
    </w:p>
    <w:bookmarkStart w:id="44" w:name="human-users"/>
    <w:p>
      <w:pPr>
        <w:pStyle w:val="Heading2"/>
      </w:pPr>
      <w:r>
        <w:t xml:space="preserve">9.1 Human Users</w:t>
      </w:r>
    </w:p>
    <w:p>
      <w:pPr>
        <w:pStyle w:val="Compact"/>
        <w:numPr>
          <w:ilvl w:val="0"/>
          <w:numId w:val="1010"/>
        </w:numPr>
      </w:pPr>
      <w:r>
        <w:t xml:space="preserve">SIoT researchers.</w:t>
      </w:r>
    </w:p>
    <w:p>
      <w:pPr>
        <w:pStyle w:val="Compact"/>
        <w:numPr>
          <w:ilvl w:val="0"/>
          <w:numId w:val="1010"/>
        </w:numPr>
      </w:pPr>
      <w:r>
        <w:t xml:space="preserve">IoT researchers.</w:t>
      </w:r>
    </w:p>
    <w:p>
      <w:pPr>
        <w:pStyle w:val="Compact"/>
        <w:numPr>
          <w:ilvl w:val="0"/>
          <w:numId w:val="1010"/>
        </w:numPr>
      </w:pPr>
      <w:r>
        <w:t xml:space="preserve">Cybersecurity researchers.</w:t>
      </w:r>
    </w:p>
    <w:p>
      <w:pPr>
        <w:pStyle w:val="Compact"/>
        <w:numPr>
          <w:ilvl w:val="0"/>
          <w:numId w:val="1010"/>
        </w:numPr>
      </w:pPr>
      <w:r>
        <w:t xml:space="preserve">Resilience researchers.</w:t>
      </w:r>
    </w:p>
    <w:p>
      <w:pPr>
        <w:pStyle w:val="Compact"/>
        <w:numPr>
          <w:ilvl w:val="0"/>
          <w:numId w:val="1010"/>
        </w:numPr>
      </w:pPr>
      <w:r>
        <w:t xml:space="preserve">Trust and reputation researchers.</w:t>
      </w:r>
    </w:p>
    <w:p>
      <w:pPr>
        <w:pStyle w:val="Compact"/>
        <w:numPr>
          <w:ilvl w:val="0"/>
          <w:numId w:val="1010"/>
        </w:numPr>
      </w:pPr>
      <w:r>
        <w:t xml:space="preserve">Ontology engineers.</w:t>
      </w:r>
    </w:p>
    <w:p>
      <w:pPr>
        <w:pStyle w:val="Compact"/>
        <w:numPr>
          <w:ilvl w:val="0"/>
          <w:numId w:val="1010"/>
        </w:numPr>
      </w:pPr>
      <w:r>
        <w:t xml:space="preserve">Knowledge engineers.</w:t>
      </w:r>
    </w:p>
    <w:p>
      <w:pPr>
        <w:pStyle w:val="Compact"/>
        <w:numPr>
          <w:ilvl w:val="0"/>
          <w:numId w:val="1010"/>
        </w:numPr>
      </w:pPr>
      <w:r>
        <w:t xml:space="preserve">System architects.</w:t>
      </w:r>
    </w:p>
    <w:p>
      <w:pPr>
        <w:pStyle w:val="Compact"/>
        <w:numPr>
          <w:ilvl w:val="0"/>
          <w:numId w:val="1010"/>
        </w:numPr>
      </w:pPr>
      <w:r>
        <w:t xml:space="preserve">SIoT platform developers.</w:t>
      </w:r>
    </w:p>
    <w:p>
      <w:pPr>
        <w:pStyle w:val="Compact"/>
        <w:numPr>
          <w:ilvl w:val="0"/>
          <w:numId w:val="1010"/>
        </w:numPr>
      </w:pPr>
      <w:r>
        <w:t xml:space="preserve">Security analysts.</w:t>
      </w:r>
    </w:p>
    <w:p>
      <w:pPr>
        <w:pStyle w:val="Compact"/>
        <w:numPr>
          <w:ilvl w:val="0"/>
          <w:numId w:val="1010"/>
        </w:numPr>
      </w:pPr>
      <w:r>
        <w:t xml:space="preserve">Security evaluators.</w:t>
      </w:r>
    </w:p>
    <w:p>
      <w:pPr>
        <w:pStyle w:val="Compact"/>
        <w:numPr>
          <w:ilvl w:val="0"/>
          <w:numId w:val="1010"/>
        </w:numPr>
      </w:pPr>
      <w:r>
        <w:t xml:space="preserve">Doctoral-research evaluators.</w:t>
      </w:r>
    </w:p>
    <w:p>
      <w:pPr>
        <w:pStyle w:val="Compact"/>
        <w:numPr>
          <w:ilvl w:val="0"/>
          <w:numId w:val="1010"/>
        </w:numPr>
      </w:pPr>
      <w:r>
        <w:t xml:space="preserve">Domain experts participating in ontology validation.</w:t>
      </w:r>
    </w:p>
    <w:bookmarkEnd w:id="44"/>
    <w:bookmarkStart w:id="45" w:name="computational-users"/>
    <w:p>
      <w:pPr>
        <w:pStyle w:val="Heading2"/>
      </w:pPr>
      <w:r>
        <w:t xml:space="preserve">9.2 Computational Users</w:t>
      </w:r>
    </w:p>
    <w:p>
      <w:pPr>
        <w:pStyle w:val="Compact"/>
        <w:numPr>
          <w:ilvl w:val="0"/>
          <w:numId w:val="1011"/>
        </w:numPr>
      </w:pPr>
      <w:r>
        <w:t xml:space="preserve">Smart objects.</w:t>
      </w:r>
    </w:p>
    <w:p>
      <w:pPr>
        <w:pStyle w:val="Compact"/>
        <w:numPr>
          <w:ilvl w:val="0"/>
          <w:numId w:val="1011"/>
        </w:numPr>
      </w:pPr>
      <w:r>
        <w:t xml:space="preserve">Software agents.</w:t>
      </w:r>
    </w:p>
    <w:p>
      <w:pPr>
        <w:pStyle w:val="Compact"/>
        <w:numPr>
          <w:ilvl w:val="0"/>
          <w:numId w:val="1011"/>
        </w:numPr>
      </w:pPr>
      <w:r>
        <w:t xml:space="preserve">SIoT platforms.</w:t>
      </w:r>
    </w:p>
    <w:p>
      <w:pPr>
        <w:pStyle w:val="Compact"/>
        <w:numPr>
          <w:ilvl w:val="0"/>
          <w:numId w:val="1011"/>
        </w:numPr>
      </w:pPr>
      <w:r>
        <w:t xml:space="preserve">Monitoring systems.</w:t>
      </w:r>
    </w:p>
    <w:p>
      <w:pPr>
        <w:pStyle w:val="Compact"/>
        <w:numPr>
          <w:ilvl w:val="0"/>
          <w:numId w:val="1011"/>
        </w:numPr>
      </w:pPr>
      <w:r>
        <w:t xml:space="preserve">Simulation environments.</w:t>
      </w:r>
    </w:p>
    <w:p>
      <w:pPr>
        <w:pStyle w:val="Compact"/>
        <w:numPr>
          <w:ilvl w:val="0"/>
          <w:numId w:val="1011"/>
        </w:numPr>
      </w:pPr>
      <w:r>
        <w:t xml:space="preserve">Semantic services.</w:t>
      </w:r>
    </w:p>
    <w:p>
      <w:pPr>
        <w:pStyle w:val="Compact"/>
        <w:numPr>
          <w:ilvl w:val="0"/>
          <w:numId w:val="1011"/>
        </w:numPr>
      </w:pPr>
      <w:r>
        <w:t xml:space="preserve">Knowledge graphs.</w:t>
      </w:r>
    </w:p>
    <w:p>
      <w:pPr>
        <w:pStyle w:val="Compact"/>
        <w:numPr>
          <w:ilvl w:val="0"/>
          <w:numId w:val="1011"/>
        </w:numPr>
      </w:pPr>
      <w:r>
        <w:t xml:space="preserve">Reasoning engines.</w:t>
      </w:r>
    </w:p>
    <w:p>
      <w:pPr>
        <w:pStyle w:val="Compact"/>
        <w:numPr>
          <w:ilvl w:val="0"/>
          <w:numId w:val="1011"/>
        </w:numPr>
      </w:pPr>
      <w:r>
        <w:t xml:space="preserve">SPARQL applications.</w:t>
      </w:r>
    </w:p>
    <w:p>
      <w:pPr>
        <w:pStyle w:val="Compact"/>
        <w:numPr>
          <w:ilvl w:val="0"/>
          <w:numId w:val="1011"/>
        </w:numPr>
      </w:pPr>
      <w:r>
        <w:t xml:space="preserve">Decision-support systems.</w:t>
      </w:r>
    </w:p>
    <w:p>
      <w:pPr>
        <w:pStyle w:val="Compact"/>
        <w:numPr>
          <w:ilvl w:val="0"/>
          <w:numId w:val="1011"/>
        </w:numPr>
      </w:pPr>
      <w:r>
        <w:t xml:space="preserve">Security orchestration services.</w:t>
      </w:r>
    </w:p>
    <w:p>
      <w:r>
        <w:pict>
          <v:rect style="width:0;height:1.5pt" o:hralign="center" o:hrstd="t" o:hr="t"/>
        </w:pict>
      </w:r>
    </w:p>
    <w:bookmarkEnd w:id="45"/>
    <w:bookmarkEnd w:id="46"/>
    <w:bookmarkStart w:id="47" w:name="ontology-type"/>
    <w:p>
      <w:pPr>
        <w:pStyle w:val="Heading1"/>
      </w:pPr>
      <w:r>
        <w:t xml:space="preserve">10. Ontology Type</w:t>
      </w:r>
    </w:p>
    <w:p>
      <w:pPr>
        <w:pStyle w:val="FirstParagraph"/>
      </w:pPr>
      <w:r>
        <w:t xml:space="preserve">SIoTSecurity is classified as:</w:t>
      </w:r>
    </w:p>
    <w:p>
      <w:pPr>
        <w:pStyle w:val="BlockText"/>
      </w:pPr>
      <w:r>
        <w:t xml:space="preserve">A modular domain ontology with task-oriented components.</w:t>
      </w:r>
    </w:p>
    <w:p>
      <w:pPr>
        <w:pStyle w:val="FirstParagraph"/>
      </w:pPr>
      <w:r>
        <w:t xml:space="preserve">It is a domain ontology because it represents knowledge related to resilient security in SIoT environments.</w:t>
      </w:r>
    </w:p>
    <w:p>
      <w:pPr>
        <w:pStyle w:val="BodyText"/>
      </w:pPr>
      <w:r>
        <w:t xml:space="preserve">It has task-oriented components because it supports activities such as:</w:t>
      </w:r>
    </w:p>
    <w:p>
      <w:pPr>
        <w:pStyle w:val="Compact"/>
        <w:numPr>
          <w:ilvl w:val="0"/>
          <w:numId w:val="1012"/>
        </w:numPr>
      </w:pPr>
      <w:r>
        <w:t xml:space="preserve">Trust assessment.</w:t>
      </w:r>
    </w:p>
    <w:p>
      <w:pPr>
        <w:pStyle w:val="Compact"/>
        <w:numPr>
          <w:ilvl w:val="0"/>
          <w:numId w:val="1012"/>
        </w:numPr>
      </w:pPr>
      <w:r>
        <w:t xml:space="preserve">Reputation assessment.</w:t>
      </w:r>
    </w:p>
    <w:p>
      <w:pPr>
        <w:pStyle w:val="Compact"/>
        <w:numPr>
          <w:ilvl w:val="0"/>
          <w:numId w:val="1012"/>
        </w:numPr>
      </w:pPr>
      <w:r>
        <w:t xml:space="preserve">Evidence evaluation.</w:t>
      </w:r>
    </w:p>
    <w:p>
      <w:pPr>
        <w:pStyle w:val="Compact"/>
        <w:numPr>
          <w:ilvl w:val="0"/>
          <w:numId w:val="1012"/>
        </w:numPr>
      </w:pPr>
      <w:r>
        <w:t xml:space="preserve">Attack characterization.</w:t>
      </w:r>
    </w:p>
    <w:p>
      <w:pPr>
        <w:pStyle w:val="Compact"/>
        <w:numPr>
          <w:ilvl w:val="0"/>
          <w:numId w:val="1012"/>
        </w:numPr>
      </w:pPr>
      <w:r>
        <w:t xml:space="preserve">Incident analysis.</w:t>
      </w:r>
    </w:p>
    <w:p>
      <w:pPr>
        <w:pStyle w:val="Compact"/>
        <w:numPr>
          <w:ilvl w:val="0"/>
          <w:numId w:val="1012"/>
        </w:numPr>
      </w:pPr>
      <w:r>
        <w:t xml:space="preserve">Resilience measurement.</w:t>
      </w:r>
    </w:p>
    <w:p>
      <w:pPr>
        <w:pStyle w:val="Compact"/>
        <w:numPr>
          <w:ilvl w:val="0"/>
          <w:numId w:val="1012"/>
        </w:numPr>
      </w:pPr>
      <w:r>
        <w:t xml:space="preserve">Resilience-level classification.</w:t>
      </w:r>
    </w:p>
    <w:p>
      <w:pPr>
        <w:pStyle w:val="Compact"/>
        <w:numPr>
          <w:ilvl w:val="0"/>
          <w:numId w:val="1012"/>
        </w:numPr>
      </w:pPr>
      <w:r>
        <w:t xml:space="preserve">Security-response selection.</w:t>
      </w:r>
    </w:p>
    <w:p>
      <w:pPr>
        <w:pStyle w:val="Compact"/>
        <w:numPr>
          <w:ilvl w:val="0"/>
          <w:numId w:val="1012"/>
        </w:numPr>
      </w:pPr>
      <w:r>
        <w:t xml:space="preserve">Explanation of evaluation results.</w:t>
      </w:r>
    </w:p>
    <w:p>
      <w:r>
        <w:pict>
          <v:rect style="width:0;height:1.5pt" o:hralign="center" o:hrstd="t" o:hr="t"/>
        </w:pict>
      </w:r>
    </w:p>
    <w:bookmarkEnd w:id="47"/>
    <w:bookmarkStart w:id="55" w:name="initial-modular-structure"/>
    <w:p>
      <w:pPr>
        <w:pStyle w:val="Heading1"/>
      </w:pPr>
      <w:r>
        <w:t xml:space="preserve">11. Initial Modular Structure</w:t>
      </w:r>
    </w:p>
    <w:bookmarkStart w:id="48" w:name="siot-core-module"/>
    <w:p>
      <w:pPr>
        <w:pStyle w:val="Heading2"/>
      </w:pPr>
      <w:r>
        <w:t xml:space="preserve">11.1 SIoT Core Module</w:t>
      </w:r>
    </w:p>
    <w:p>
      <w:pPr>
        <w:pStyle w:val="FirstParagraph"/>
      </w:pPr>
      <w:r>
        <w:t xml:space="preserve">Represents:</w:t>
      </w:r>
    </w:p>
    <w:p>
      <w:pPr>
        <w:pStyle w:val="Compact"/>
        <w:numPr>
          <w:ilvl w:val="0"/>
          <w:numId w:val="1013"/>
        </w:numPr>
      </w:pPr>
      <w:r>
        <w:t xml:space="preserve">Smart objects.</w:t>
      </w:r>
    </w:p>
    <w:p>
      <w:pPr>
        <w:pStyle w:val="Compact"/>
        <w:numPr>
          <w:ilvl w:val="0"/>
          <w:numId w:val="1013"/>
        </w:numPr>
      </w:pPr>
      <w:r>
        <w:t xml:space="preserve">Users.</w:t>
      </w:r>
    </w:p>
    <w:p>
      <w:pPr>
        <w:pStyle w:val="Compact"/>
        <w:numPr>
          <w:ilvl w:val="0"/>
          <w:numId w:val="1013"/>
        </w:numPr>
      </w:pPr>
      <w:r>
        <w:t xml:space="preserve">Owners.</w:t>
      </w:r>
    </w:p>
    <w:p>
      <w:pPr>
        <w:pStyle w:val="Compact"/>
        <w:numPr>
          <w:ilvl w:val="0"/>
          <w:numId w:val="1013"/>
        </w:numPr>
      </w:pPr>
      <w:r>
        <w:t xml:space="preserve">Profiles.</w:t>
      </w:r>
    </w:p>
    <w:p>
      <w:pPr>
        <w:pStyle w:val="Compact"/>
        <w:numPr>
          <w:ilvl w:val="0"/>
          <w:numId w:val="1013"/>
        </w:numPr>
      </w:pPr>
      <w:r>
        <w:t xml:space="preserve">Capabilities.</w:t>
      </w:r>
    </w:p>
    <w:p>
      <w:pPr>
        <w:pStyle w:val="Compact"/>
        <w:numPr>
          <w:ilvl w:val="0"/>
          <w:numId w:val="1013"/>
        </w:numPr>
      </w:pPr>
      <w:r>
        <w:t xml:space="preserve">Services.</w:t>
      </w:r>
    </w:p>
    <w:p>
      <w:pPr>
        <w:pStyle w:val="Compact"/>
        <w:numPr>
          <w:ilvl w:val="0"/>
          <w:numId w:val="1013"/>
        </w:numPr>
      </w:pPr>
      <w:r>
        <w:t xml:space="preserve">Interactions.</w:t>
      </w:r>
    </w:p>
    <w:p>
      <w:pPr>
        <w:pStyle w:val="Compact"/>
        <w:numPr>
          <w:ilvl w:val="0"/>
          <w:numId w:val="1013"/>
        </w:numPr>
      </w:pPr>
      <w:r>
        <w:t xml:space="preserve">Social relationships.</w:t>
      </w:r>
    </w:p>
    <w:p>
      <w:pPr>
        <w:pStyle w:val="Compact"/>
        <w:numPr>
          <w:ilvl w:val="0"/>
          <w:numId w:val="1013"/>
        </w:numPr>
      </w:pPr>
      <w:r>
        <w:t xml:space="preserve">Communities.</w:t>
      </w:r>
    </w:p>
    <w:p>
      <w:pPr>
        <w:pStyle w:val="Compact"/>
        <w:numPr>
          <w:ilvl w:val="0"/>
          <w:numId w:val="1013"/>
        </w:numPr>
      </w:pPr>
      <w:r>
        <w:t xml:space="preserve">SIoT networks.</w:t>
      </w:r>
    </w:p>
    <w:bookmarkEnd w:id="48"/>
    <w:bookmarkStart w:id="49" w:name="context-module"/>
    <w:p>
      <w:pPr>
        <w:pStyle w:val="Heading2"/>
      </w:pPr>
      <w:r>
        <w:t xml:space="preserve">11.2 Context Module</w:t>
      </w:r>
    </w:p>
    <w:p>
      <w:pPr>
        <w:pStyle w:val="FirstParagraph"/>
      </w:pPr>
      <w:r>
        <w:t xml:space="preserve">Represents:</w:t>
      </w:r>
    </w:p>
    <w:p>
      <w:pPr>
        <w:pStyle w:val="Compact"/>
        <w:numPr>
          <w:ilvl w:val="0"/>
          <w:numId w:val="1014"/>
        </w:numPr>
      </w:pPr>
      <w:r>
        <w:t xml:space="preserve">Technical context.</w:t>
      </w:r>
    </w:p>
    <w:p>
      <w:pPr>
        <w:pStyle w:val="Compact"/>
        <w:numPr>
          <w:ilvl w:val="0"/>
          <w:numId w:val="1014"/>
        </w:numPr>
      </w:pPr>
      <w:r>
        <w:t xml:space="preserve">Social context.</w:t>
      </w:r>
    </w:p>
    <w:p>
      <w:pPr>
        <w:pStyle w:val="Compact"/>
        <w:numPr>
          <w:ilvl w:val="0"/>
          <w:numId w:val="1014"/>
        </w:numPr>
      </w:pPr>
      <w:r>
        <w:t xml:space="preserve">Temporal context.</w:t>
      </w:r>
    </w:p>
    <w:p>
      <w:pPr>
        <w:pStyle w:val="Compact"/>
        <w:numPr>
          <w:ilvl w:val="0"/>
          <w:numId w:val="1014"/>
        </w:numPr>
      </w:pPr>
      <w:r>
        <w:t xml:space="preserve">Spatial context.</w:t>
      </w:r>
    </w:p>
    <w:p>
      <w:pPr>
        <w:pStyle w:val="Compact"/>
        <w:numPr>
          <w:ilvl w:val="0"/>
          <w:numId w:val="1014"/>
        </w:numPr>
      </w:pPr>
      <w:r>
        <w:t xml:space="preserve">Service context.</w:t>
      </w:r>
    </w:p>
    <w:p>
      <w:pPr>
        <w:pStyle w:val="Compact"/>
        <w:numPr>
          <w:ilvl w:val="0"/>
          <w:numId w:val="1014"/>
        </w:numPr>
      </w:pPr>
      <w:r>
        <w:t xml:space="preserve">Energy context.</w:t>
      </w:r>
    </w:p>
    <w:p>
      <w:pPr>
        <w:pStyle w:val="Compact"/>
        <w:numPr>
          <w:ilvl w:val="0"/>
          <w:numId w:val="1014"/>
        </w:numPr>
      </w:pPr>
      <w:r>
        <w:t xml:space="preserve">Physical context.</w:t>
      </w:r>
    </w:p>
    <w:p>
      <w:pPr>
        <w:pStyle w:val="Compact"/>
        <w:numPr>
          <w:ilvl w:val="0"/>
          <w:numId w:val="1014"/>
        </w:numPr>
      </w:pPr>
      <w:r>
        <w:t xml:space="preserve">Security context.</w:t>
      </w:r>
    </w:p>
    <w:bookmarkEnd w:id="49"/>
    <w:bookmarkStart w:id="50" w:name="trust-and-reputation-module"/>
    <w:p>
      <w:pPr>
        <w:pStyle w:val="Heading2"/>
      </w:pPr>
      <w:r>
        <w:t xml:space="preserve">11.3 Trust and Reputation Module</w:t>
      </w:r>
    </w:p>
    <w:p>
      <w:pPr>
        <w:pStyle w:val="FirstParagraph"/>
      </w:pPr>
      <w:r>
        <w:t xml:space="preserve">Represents:</w:t>
      </w:r>
    </w:p>
    <w:p>
      <w:pPr>
        <w:pStyle w:val="Compact"/>
        <w:numPr>
          <w:ilvl w:val="0"/>
          <w:numId w:val="1015"/>
        </w:numPr>
      </w:pPr>
      <w:r>
        <w:t xml:space="preserve">Direct experience.</w:t>
      </w:r>
    </w:p>
    <w:p>
      <w:pPr>
        <w:pStyle w:val="Compact"/>
        <w:numPr>
          <w:ilvl w:val="0"/>
          <w:numId w:val="1015"/>
        </w:numPr>
      </w:pPr>
      <w:r>
        <w:t xml:space="preserve">Recommendation.</w:t>
      </w:r>
    </w:p>
    <w:p>
      <w:pPr>
        <w:pStyle w:val="Compact"/>
        <w:numPr>
          <w:ilvl w:val="0"/>
          <w:numId w:val="1015"/>
        </w:numPr>
      </w:pPr>
      <w:r>
        <w:t xml:space="preserve">Evidence.</w:t>
      </w:r>
    </w:p>
    <w:p>
      <w:pPr>
        <w:pStyle w:val="Compact"/>
        <w:numPr>
          <w:ilvl w:val="0"/>
          <w:numId w:val="1015"/>
        </w:numPr>
      </w:pPr>
      <w:r>
        <w:t xml:space="preserve">Trust assessment.</w:t>
      </w:r>
    </w:p>
    <w:p>
      <w:pPr>
        <w:pStyle w:val="Compact"/>
        <w:numPr>
          <w:ilvl w:val="0"/>
          <w:numId w:val="1015"/>
        </w:numPr>
      </w:pPr>
      <w:r>
        <w:t xml:space="preserve">Reputation assessment.</w:t>
      </w:r>
    </w:p>
    <w:p>
      <w:pPr>
        <w:pStyle w:val="Compact"/>
        <w:numPr>
          <w:ilvl w:val="0"/>
          <w:numId w:val="1015"/>
        </w:numPr>
      </w:pPr>
      <w:r>
        <w:t xml:space="preserve">Recommender credibility.</w:t>
      </w:r>
    </w:p>
    <w:p>
      <w:pPr>
        <w:pStyle w:val="Compact"/>
        <w:numPr>
          <w:ilvl w:val="0"/>
          <w:numId w:val="1015"/>
        </w:numPr>
      </w:pPr>
      <w:r>
        <w:t xml:space="preserve">Recency.</w:t>
      </w:r>
    </w:p>
    <w:p>
      <w:pPr>
        <w:pStyle w:val="Compact"/>
        <w:numPr>
          <w:ilvl w:val="0"/>
          <w:numId w:val="1015"/>
        </w:numPr>
      </w:pPr>
      <w:r>
        <w:t xml:space="preserve">Contextual relevance.</w:t>
      </w:r>
    </w:p>
    <w:p>
      <w:pPr>
        <w:pStyle w:val="Compact"/>
        <w:numPr>
          <w:ilvl w:val="0"/>
          <w:numId w:val="1015"/>
        </w:numPr>
      </w:pPr>
      <w:r>
        <w:t xml:space="preserve">Local reputation.</w:t>
      </w:r>
    </w:p>
    <w:p>
      <w:pPr>
        <w:pStyle w:val="Compact"/>
        <w:numPr>
          <w:ilvl w:val="0"/>
          <w:numId w:val="1015"/>
        </w:numPr>
      </w:pPr>
      <w:r>
        <w:t xml:space="preserve">Global reputation.</w:t>
      </w:r>
    </w:p>
    <w:p>
      <w:pPr>
        <w:pStyle w:val="Compact"/>
        <w:numPr>
          <w:ilvl w:val="0"/>
          <w:numId w:val="1015"/>
        </w:numPr>
      </w:pPr>
      <w:r>
        <w:t xml:space="preserve">Inconsistent behavior.</w:t>
      </w:r>
    </w:p>
    <w:p>
      <w:pPr>
        <w:pStyle w:val="Compact"/>
        <w:numPr>
          <w:ilvl w:val="0"/>
          <w:numId w:val="1015"/>
        </w:numPr>
      </w:pPr>
      <w:r>
        <w:t xml:space="preserve">Opportunistic behavior.</w:t>
      </w:r>
    </w:p>
    <w:p>
      <w:pPr>
        <w:pStyle w:val="Compact"/>
        <w:numPr>
          <w:ilvl w:val="0"/>
          <w:numId w:val="1015"/>
        </w:numPr>
      </w:pPr>
      <w:r>
        <w:t xml:space="preserve">Discriminatory behavior.</w:t>
      </w:r>
    </w:p>
    <w:p>
      <w:pPr>
        <w:pStyle w:val="Compact"/>
        <w:numPr>
          <w:ilvl w:val="0"/>
          <w:numId w:val="1015"/>
        </w:numPr>
      </w:pPr>
      <w:r>
        <w:t xml:space="preserve">Collusive behavior.</w:t>
      </w:r>
    </w:p>
    <w:p>
      <w:pPr>
        <w:pStyle w:val="Compact"/>
        <w:numPr>
          <w:ilvl w:val="0"/>
          <w:numId w:val="1015"/>
        </w:numPr>
      </w:pPr>
      <w:r>
        <w:t xml:space="preserve">Malicious behavior.</w:t>
      </w:r>
    </w:p>
    <w:bookmarkEnd w:id="50"/>
    <w:bookmarkStart w:id="51" w:name="threat-and-security-module"/>
    <w:p>
      <w:pPr>
        <w:pStyle w:val="Heading2"/>
      </w:pPr>
      <w:r>
        <w:t xml:space="preserve">11.4 Threat and Security Module</w:t>
      </w:r>
    </w:p>
    <w:p>
      <w:pPr>
        <w:pStyle w:val="FirstParagraph"/>
      </w:pPr>
      <w:r>
        <w:t xml:space="preserve">Represents:</w:t>
      </w:r>
    </w:p>
    <w:p>
      <w:pPr>
        <w:pStyle w:val="Compact"/>
        <w:numPr>
          <w:ilvl w:val="0"/>
          <w:numId w:val="1016"/>
        </w:numPr>
      </w:pPr>
      <w:r>
        <w:t xml:space="preserve">Threats.</w:t>
      </w:r>
    </w:p>
    <w:p>
      <w:pPr>
        <w:pStyle w:val="Compact"/>
        <w:numPr>
          <w:ilvl w:val="0"/>
          <w:numId w:val="1016"/>
        </w:numPr>
      </w:pPr>
      <w:r>
        <w:t xml:space="preserve">Cyberattacks.</w:t>
      </w:r>
    </w:p>
    <w:p>
      <w:pPr>
        <w:pStyle w:val="Compact"/>
        <w:numPr>
          <w:ilvl w:val="0"/>
          <w:numId w:val="1016"/>
        </w:numPr>
      </w:pPr>
      <w:r>
        <w:t xml:space="preserve">Vulnerabilities.</w:t>
      </w:r>
    </w:p>
    <w:p>
      <w:pPr>
        <w:pStyle w:val="Compact"/>
        <w:numPr>
          <w:ilvl w:val="0"/>
          <w:numId w:val="1016"/>
        </w:numPr>
      </w:pPr>
      <w:r>
        <w:t xml:space="preserve">Security incidents.</w:t>
      </w:r>
    </w:p>
    <w:p>
      <w:pPr>
        <w:pStyle w:val="Compact"/>
        <w:numPr>
          <w:ilvl w:val="0"/>
          <w:numId w:val="1016"/>
        </w:numPr>
      </w:pPr>
      <w:r>
        <w:t xml:space="preserve">Affected assets.</w:t>
      </w:r>
    </w:p>
    <w:p>
      <w:pPr>
        <w:pStyle w:val="Compact"/>
        <w:numPr>
          <w:ilvl w:val="0"/>
          <w:numId w:val="1016"/>
        </w:numPr>
      </w:pPr>
      <w:r>
        <w:t xml:space="preserve">Security impacts.</w:t>
      </w:r>
    </w:p>
    <w:p>
      <w:pPr>
        <w:pStyle w:val="Compact"/>
        <w:numPr>
          <w:ilvl w:val="0"/>
          <w:numId w:val="1016"/>
        </w:numPr>
      </w:pPr>
      <w:r>
        <w:t xml:space="preserve">Prevention mechanisms.</w:t>
      </w:r>
    </w:p>
    <w:p>
      <w:pPr>
        <w:pStyle w:val="Compact"/>
        <w:numPr>
          <w:ilvl w:val="0"/>
          <w:numId w:val="1016"/>
        </w:numPr>
      </w:pPr>
      <w:r>
        <w:t xml:space="preserve">Detection mechanisms.</w:t>
      </w:r>
    </w:p>
    <w:p>
      <w:pPr>
        <w:pStyle w:val="Compact"/>
        <w:numPr>
          <w:ilvl w:val="0"/>
          <w:numId w:val="1016"/>
        </w:numPr>
      </w:pPr>
      <w:r>
        <w:t xml:space="preserve">Mitigation mechanisms.</w:t>
      </w:r>
    </w:p>
    <w:p>
      <w:pPr>
        <w:pStyle w:val="Compact"/>
        <w:numPr>
          <w:ilvl w:val="0"/>
          <w:numId w:val="1016"/>
        </w:numPr>
      </w:pPr>
      <w:r>
        <w:t xml:space="preserve">Recovery mechanisms.</w:t>
      </w:r>
    </w:p>
    <w:p>
      <w:pPr>
        <w:pStyle w:val="Compact"/>
        <w:numPr>
          <w:ilvl w:val="0"/>
          <w:numId w:val="1016"/>
        </w:numPr>
      </w:pPr>
      <w:r>
        <w:t xml:space="preserve">Adaptation mechanisms.</w:t>
      </w:r>
    </w:p>
    <w:bookmarkEnd w:id="51"/>
    <w:bookmarkStart w:id="52" w:name="resilience-module"/>
    <w:p>
      <w:pPr>
        <w:pStyle w:val="Heading2"/>
      </w:pPr>
      <w:r>
        <w:t xml:space="preserve">11.5 Resilience Module</w:t>
      </w:r>
    </w:p>
    <w:p>
      <w:pPr>
        <w:pStyle w:val="FirstParagraph"/>
      </w:pPr>
      <w:r>
        <w:t xml:space="preserve">Represents:</w:t>
      </w:r>
    </w:p>
    <w:p>
      <w:pPr>
        <w:pStyle w:val="Compact"/>
        <w:numPr>
          <w:ilvl w:val="0"/>
          <w:numId w:val="1017"/>
        </w:numPr>
      </w:pPr>
      <w:r>
        <w:t xml:space="preserve">Identification capability.</w:t>
      </w:r>
    </w:p>
    <w:p>
      <w:pPr>
        <w:pStyle w:val="Compact"/>
        <w:numPr>
          <w:ilvl w:val="0"/>
          <w:numId w:val="1017"/>
        </w:numPr>
      </w:pPr>
      <w:r>
        <w:t xml:space="preserve">Absorption capability.</w:t>
      </w:r>
    </w:p>
    <w:p>
      <w:pPr>
        <w:pStyle w:val="Compact"/>
        <w:numPr>
          <w:ilvl w:val="0"/>
          <w:numId w:val="1017"/>
        </w:numPr>
      </w:pPr>
      <w:r>
        <w:t xml:space="preserve">Resistance capability.</w:t>
      </w:r>
    </w:p>
    <w:p>
      <w:pPr>
        <w:pStyle w:val="Compact"/>
        <w:numPr>
          <w:ilvl w:val="0"/>
          <w:numId w:val="1017"/>
        </w:numPr>
      </w:pPr>
      <w:r>
        <w:t xml:space="preserve">Recovery capability.</w:t>
      </w:r>
    </w:p>
    <w:p>
      <w:pPr>
        <w:pStyle w:val="Compact"/>
        <w:numPr>
          <w:ilvl w:val="0"/>
          <w:numId w:val="1017"/>
        </w:numPr>
      </w:pPr>
      <w:r>
        <w:t xml:space="preserve">Adaptation capability.</w:t>
      </w:r>
    </w:p>
    <w:p>
      <w:pPr>
        <w:pStyle w:val="Compact"/>
        <w:numPr>
          <w:ilvl w:val="0"/>
          <w:numId w:val="1017"/>
        </w:numPr>
      </w:pPr>
      <w:r>
        <w:t xml:space="preserve">Operational state.</w:t>
      </w:r>
    </w:p>
    <w:p>
      <w:pPr>
        <w:pStyle w:val="Compact"/>
        <w:numPr>
          <w:ilvl w:val="0"/>
          <w:numId w:val="1017"/>
        </w:numPr>
      </w:pPr>
      <w:r>
        <w:t xml:space="preserve">Service continuity.</w:t>
      </w:r>
    </w:p>
    <w:p>
      <w:pPr>
        <w:pStyle w:val="Compact"/>
        <w:numPr>
          <w:ilvl w:val="0"/>
          <w:numId w:val="1017"/>
        </w:numPr>
      </w:pPr>
      <w:r>
        <w:t xml:space="preserve">Service degradation.</w:t>
      </w:r>
    </w:p>
    <w:p>
      <w:pPr>
        <w:pStyle w:val="Compact"/>
        <w:numPr>
          <w:ilvl w:val="0"/>
          <w:numId w:val="1017"/>
        </w:numPr>
      </w:pPr>
      <w:r>
        <w:t xml:space="preserve">Recovery time.</w:t>
      </w:r>
    </w:p>
    <w:p>
      <w:pPr>
        <w:pStyle w:val="Compact"/>
        <w:numPr>
          <w:ilvl w:val="0"/>
          <w:numId w:val="1017"/>
        </w:numPr>
      </w:pPr>
      <w:r>
        <w:t xml:space="preserve">Resilience outcome.</w:t>
      </w:r>
    </w:p>
    <w:bookmarkEnd w:id="52"/>
    <w:bookmarkStart w:id="53" w:name="indicator-module"/>
    <w:p>
      <w:pPr>
        <w:pStyle w:val="Heading2"/>
      </w:pPr>
      <w:r>
        <w:t xml:space="preserve">11.6 Indicator Module</w:t>
      </w:r>
    </w:p>
    <w:p>
      <w:pPr>
        <w:pStyle w:val="FirstParagraph"/>
      </w:pPr>
      <w:r>
        <w:t xml:space="preserve">Represents:</w:t>
      </w:r>
    </w:p>
    <w:p>
      <w:pPr>
        <w:pStyle w:val="Compact"/>
        <w:numPr>
          <w:ilvl w:val="0"/>
          <w:numId w:val="1018"/>
        </w:numPr>
      </w:pPr>
      <w:r>
        <w:t xml:space="preserve">Resilience indicator.</w:t>
      </w:r>
    </w:p>
    <w:p>
      <w:pPr>
        <w:pStyle w:val="Compact"/>
        <w:numPr>
          <w:ilvl w:val="0"/>
          <w:numId w:val="1018"/>
        </w:numPr>
      </w:pPr>
      <w:r>
        <w:t xml:space="preserve">Subindicator.</w:t>
      </w:r>
    </w:p>
    <w:p>
      <w:pPr>
        <w:pStyle w:val="Compact"/>
        <w:numPr>
          <w:ilvl w:val="0"/>
          <w:numId w:val="1018"/>
        </w:numPr>
      </w:pPr>
      <w:r>
        <w:t xml:space="preserve">Variable.</w:t>
      </w:r>
    </w:p>
    <w:p>
      <w:pPr>
        <w:pStyle w:val="Compact"/>
        <w:numPr>
          <w:ilvl w:val="0"/>
          <w:numId w:val="1018"/>
        </w:numPr>
      </w:pPr>
      <w:r>
        <w:t xml:space="preserve">Metric.</w:t>
      </w:r>
    </w:p>
    <w:p>
      <w:pPr>
        <w:pStyle w:val="Compact"/>
        <w:numPr>
          <w:ilvl w:val="0"/>
          <w:numId w:val="1018"/>
        </w:numPr>
      </w:pPr>
      <w:r>
        <w:t xml:space="preserve">Observation.</w:t>
      </w:r>
    </w:p>
    <w:p>
      <w:pPr>
        <w:pStyle w:val="Compact"/>
        <w:numPr>
          <w:ilvl w:val="0"/>
          <w:numId w:val="1018"/>
        </w:numPr>
      </w:pPr>
      <w:r>
        <w:t xml:space="preserve">Measured value.</w:t>
      </w:r>
    </w:p>
    <w:p>
      <w:pPr>
        <w:pStyle w:val="Compact"/>
        <w:numPr>
          <w:ilvl w:val="0"/>
          <w:numId w:val="1018"/>
        </w:numPr>
      </w:pPr>
      <w:r>
        <w:t xml:space="preserve">Normalized value.</w:t>
      </w:r>
    </w:p>
    <w:p>
      <w:pPr>
        <w:pStyle w:val="Compact"/>
        <w:numPr>
          <w:ilvl w:val="0"/>
          <w:numId w:val="1018"/>
        </w:numPr>
      </w:pPr>
      <w:r>
        <w:t xml:space="preserve">Weight.</w:t>
      </w:r>
    </w:p>
    <w:p>
      <w:pPr>
        <w:pStyle w:val="Compact"/>
        <w:numPr>
          <w:ilvl w:val="0"/>
          <w:numId w:val="1018"/>
        </w:numPr>
      </w:pPr>
      <w:r>
        <w:t xml:space="preserve">Threshold.</w:t>
      </w:r>
    </w:p>
    <w:p>
      <w:pPr>
        <w:pStyle w:val="Compact"/>
        <w:numPr>
          <w:ilvl w:val="0"/>
          <w:numId w:val="1018"/>
        </w:numPr>
      </w:pPr>
      <w:r>
        <w:t xml:space="preserve">Classification level.</w:t>
      </w:r>
    </w:p>
    <w:p>
      <w:pPr>
        <w:pStyle w:val="Compact"/>
        <w:numPr>
          <w:ilvl w:val="0"/>
          <w:numId w:val="1018"/>
        </w:numPr>
      </w:pPr>
      <w:r>
        <w:t xml:space="preserve">Calculation method.</w:t>
      </w:r>
    </w:p>
    <w:p>
      <w:pPr>
        <w:pStyle w:val="Compact"/>
        <w:numPr>
          <w:ilvl w:val="0"/>
          <w:numId w:val="1018"/>
        </w:numPr>
      </w:pPr>
      <w:r>
        <w:t xml:space="preserve">Indicator result.</w:t>
      </w:r>
    </w:p>
    <w:bookmarkEnd w:id="53"/>
    <w:bookmarkStart w:id="54" w:name="evaluation-module"/>
    <w:p>
      <w:pPr>
        <w:pStyle w:val="Heading2"/>
      </w:pPr>
      <w:r>
        <w:t xml:space="preserve">11.7 Evaluation Module</w:t>
      </w:r>
    </w:p>
    <w:p>
      <w:pPr>
        <w:pStyle w:val="FirstParagraph"/>
      </w:pPr>
      <w:r>
        <w:t xml:space="preserve">Represents:</w:t>
      </w:r>
    </w:p>
    <w:p>
      <w:pPr>
        <w:pStyle w:val="Compact"/>
        <w:numPr>
          <w:ilvl w:val="0"/>
          <w:numId w:val="1019"/>
        </w:numPr>
      </w:pPr>
      <w:r>
        <w:t xml:space="preserve">Evaluation scenarios.</w:t>
      </w:r>
    </w:p>
    <w:p>
      <w:pPr>
        <w:pStyle w:val="Compact"/>
        <w:numPr>
          <w:ilvl w:val="0"/>
          <w:numId w:val="1019"/>
        </w:numPr>
      </w:pPr>
      <w:r>
        <w:t xml:space="preserve">Observation periods.</w:t>
      </w:r>
    </w:p>
    <w:p>
      <w:pPr>
        <w:pStyle w:val="Compact"/>
        <w:numPr>
          <w:ilvl w:val="0"/>
          <w:numId w:val="1019"/>
        </w:numPr>
      </w:pPr>
      <w:r>
        <w:t xml:space="preserve">Before-attack states.</w:t>
      </w:r>
    </w:p>
    <w:p>
      <w:pPr>
        <w:pStyle w:val="Compact"/>
        <w:numPr>
          <w:ilvl w:val="0"/>
          <w:numId w:val="1019"/>
        </w:numPr>
      </w:pPr>
      <w:r>
        <w:t xml:space="preserve">During-attack states.</w:t>
      </w:r>
    </w:p>
    <w:p>
      <w:pPr>
        <w:pStyle w:val="Compact"/>
        <w:numPr>
          <w:ilvl w:val="0"/>
          <w:numId w:val="1019"/>
        </w:numPr>
      </w:pPr>
      <w:r>
        <w:t xml:space="preserve">After-attack states.</w:t>
      </w:r>
    </w:p>
    <w:p>
      <w:pPr>
        <w:pStyle w:val="Compact"/>
        <w:numPr>
          <w:ilvl w:val="0"/>
          <w:numId w:val="1019"/>
        </w:numPr>
      </w:pPr>
      <w:r>
        <w:t xml:space="preserve">Provenance.</w:t>
      </w:r>
    </w:p>
    <w:p>
      <w:pPr>
        <w:pStyle w:val="Compact"/>
        <w:numPr>
          <w:ilvl w:val="0"/>
          <w:numId w:val="1019"/>
        </w:numPr>
      </w:pPr>
      <w:r>
        <w:t xml:space="preserve">Expected results.</w:t>
      </w:r>
    </w:p>
    <w:p>
      <w:pPr>
        <w:pStyle w:val="Compact"/>
        <w:numPr>
          <w:ilvl w:val="0"/>
          <w:numId w:val="1019"/>
        </w:numPr>
      </w:pPr>
      <w:r>
        <w:t xml:space="preserve">Obtained results.</w:t>
      </w:r>
    </w:p>
    <w:p>
      <w:pPr>
        <w:pStyle w:val="Compact"/>
        <w:numPr>
          <w:ilvl w:val="0"/>
          <w:numId w:val="1019"/>
        </w:numPr>
      </w:pPr>
      <w:r>
        <w:t xml:space="preserve">Competency-question tests.</w:t>
      </w:r>
    </w:p>
    <w:p>
      <w:r>
        <w:pict>
          <v:rect style="width:0;height:1.5pt" o:hralign="center" o:hrstd="t" o:hr="t"/>
        </w:pict>
      </w:r>
    </w:p>
    <w:bookmarkEnd w:id="54"/>
    <w:bookmarkEnd w:id="55"/>
    <w:bookmarkStart w:id="63" w:name="context-representation"/>
    <w:p>
      <w:pPr>
        <w:pStyle w:val="Heading1"/>
      </w:pPr>
      <w:r>
        <w:t xml:space="preserve">12. Context Representation</w:t>
      </w:r>
    </w:p>
    <w:p>
      <w:pPr>
        <w:pStyle w:val="FirstParagraph"/>
      </w:pPr>
      <w:r>
        <w:t xml:space="preserve">Context is defined as:</w:t>
      </w:r>
    </w:p>
    <w:p>
      <w:pPr>
        <w:pStyle w:val="BlockText"/>
      </w:pPr>
      <w:r>
        <w:t xml:space="preserve">The set of technical, social, temporal, spatial, service-related, physical, and security conditions that characterize a SIoT entity, interaction, observation, incident, or assessment at a given time.</w:t>
      </w:r>
    </w:p>
    <w:p>
      <w:pPr>
        <w:pStyle w:val="FirstParagraph"/>
      </w:pPr>
      <w:r>
        <w:t xml:space="preserve">Spanish translation:</w:t>
      </w:r>
    </w:p>
    <w:p>
      <w:pPr>
        <w:pStyle w:val="BlockText"/>
      </w:pPr>
      <w:r>
        <w:t xml:space="preserve">Conjunto de condiciones técnicas, sociales, temporales, espaciales, físicas, de servicio y de seguridad que caracterizan una entidad, interacción, observación, incidente o evaluación SIoT en un momento determinado.</w:t>
      </w:r>
    </w:p>
    <w:bookmarkStart w:id="56" w:name="technical-context"/>
    <w:p>
      <w:pPr>
        <w:pStyle w:val="Heading2"/>
      </w:pPr>
      <w:r>
        <w:t xml:space="preserve">12.1 Technical Context</w:t>
      </w:r>
    </w:p>
    <w:p>
      <w:pPr>
        <w:pStyle w:val="FirstParagraph"/>
      </w:pPr>
      <w:r>
        <w:t xml:space="preserve">May include:</w:t>
      </w:r>
    </w:p>
    <w:p>
      <w:pPr>
        <w:pStyle w:val="Compact"/>
        <w:numPr>
          <w:ilvl w:val="0"/>
          <w:numId w:val="1020"/>
        </w:numPr>
      </w:pPr>
      <w:r>
        <w:t xml:space="preserve">Battery level.</w:t>
      </w:r>
    </w:p>
    <w:p>
      <w:pPr>
        <w:pStyle w:val="Compact"/>
        <w:numPr>
          <w:ilvl w:val="0"/>
          <w:numId w:val="1020"/>
        </w:numPr>
      </w:pPr>
      <w:r>
        <w:t xml:space="preserve">Processing capacity.</w:t>
      </w:r>
    </w:p>
    <w:p>
      <w:pPr>
        <w:pStyle w:val="Compact"/>
        <w:numPr>
          <w:ilvl w:val="0"/>
          <w:numId w:val="1020"/>
        </w:numPr>
      </w:pPr>
      <w:r>
        <w:t xml:space="preserve">Available memory.</w:t>
      </w:r>
    </w:p>
    <w:p>
      <w:pPr>
        <w:pStyle w:val="Compact"/>
        <w:numPr>
          <w:ilvl w:val="0"/>
          <w:numId w:val="1020"/>
        </w:numPr>
      </w:pPr>
      <w:r>
        <w:t xml:space="preserve">Communication technology.</w:t>
      </w:r>
    </w:p>
    <w:p>
      <w:pPr>
        <w:pStyle w:val="Compact"/>
        <w:numPr>
          <w:ilvl w:val="0"/>
          <w:numId w:val="1020"/>
        </w:numPr>
      </w:pPr>
      <w:r>
        <w:t xml:space="preserve">Bandwidth.</w:t>
      </w:r>
    </w:p>
    <w:p>
      <w:pPr>
        <w:pStyle w:val="Compact"/>
        <w:numPr>
          <w:ilvl w:val="0"/>
          <w:numId w:val="1020"/>
        </w:numPr>
      </w:pPr>
      <w:r>
        <w:t xml:space="preserve">Latency.</w:t>
      </w:r>
    </w:p>
    <w:p>
      <w:pPr>
        <w:pStyle w:val="Compact"/>
        <w:numPr>
          <w:ilvl w:val="0"/>
          <w:numId w:val="1020"/>
        </w:numPr>
      </w:pPr>
      <w:r>
        <w:t xml:space="preserve">Packet loss.</w:t>
      </w:r>
    </w:p>
    <w:p>
      <w:pPr>
        <w:pStyle w:val="Compact"/>
        <w:numPr>
          <w:ilvl w:val="0"/>
          <w:numId w:val="1020"/>
        </w:numPr>
      </w:pPr>
      <w:r>
        <w:t xml:space="preserve">Firmware version.</w:t>
      </w:r>
    </w:p>
    <w:p>
      <w:pPr>
        <w:pStyle w:val="Compact"/>
        <w:numPr>
          <w:ilvl w:val="0"/>
          <w:numId w:val="1020"/>
        </w:numPr>
      </w:pPr>
      <w:r>
        <w:t xml:space="preserve">Device availability.</w:t>
      </w:r>
    </w:p>
    <w:p>
      <w:pPr>
        <w:pStyle w:val="Compact"/>
        <w:numPr>
          <w:ilvl w:val="0"/>
          <w:numId w:val="1020"/>
        </w:numPr>
      </w:pPr>
      <w:r>
        <w:t xml:space="preserve">Connectivity state.</w:t>
      </w:r>
    </w:p>
    <w:p>
      <w:pPr>
        <w:pStyle w:val="Compact"/>
        <w:numPr>
          <w:ilvl w:val="0"/>
          <w:numId w:val="1020"/>
        </w:numPr>
      </w:pPr>
      <w:r>
        <w:t xml:space="preserve">Processing load.</w:t>
      </w:r>
    </w:p>
    <w:p>
      <w:pPr>
        <w:pStyle w:val="Compact"/>
        <w:numPr>
          <w:ilvl w:val="0"/>
          <w:numId w:val="1020"/>
        </w:numPr>
      </w:pPr>
      <w:r>
        <w:t xml:space="preserve">Energy consumption.</w:t>
      </w:r>
    </w:p>
    <w:p>
      <w:pPr>
        <w:pStyle w:val="FirstParagraph"/>
      </w:pPr>
      <w:r>
        <w:t xml:space="preserve">Example:</w:t>
      </w:r>
    </w:p>
    <w:p>
      <w:pPr>
        <w:pStyle w:val="BodyText"/>
      </w:pPr>
      <w:r>
        <w:t xml:space="preserve">A sensor may have a high historical reputation but may not be suitable for a critical service when it has 8% battery, intermittent connectivity, high latency, and significant packet loss.</w:t>
      </w:r>
    </w:p>
    <w:bookmarkEnd w:id="56"/>
    <w:bookmarkStart w:id="57" w:name="social-context"/>
    <w:p>
      <w:pPr>
        <w:pStyle w:val="Heading2"/>
      </w:pPr>
      <w:r>
        <w:t xml:space="preserve">12.2 Social Context</w:t>
      </w:r>
    </w:p>
    <w:p>
      <w:pPr>
        <w:pStyle w:val="FirstParagraph"/>
      </w:pPr>
      <w:r>
        <w:t xml:space="preserve">May include:</w:t>
      </w:r>
    </w:p>
    <w:p>
      <w:pPr>
        <w:pStyle w:val="Compact"/>
        <w:numPr>
          <w:ilvl w:val="0"/>
          <w:numId w:val="1021"/>
        </w:numPr>
      </w:pPr>
      <w:r>
        <w:t xml:space="preserve">Same-owner relationship.</w:t>
      </w:r>
    </w:p>
    <w:p>
      <w:pPr>
        <w:pStyle w:val="Compact"/>
        <w:numPr>
          <w:ilvl w:val="0"/>
          <w:numId w:val="1021"/>
        </w:numPr>
      </w:pPr>
      <w:r>
        <w:t xml:space="preserve">Co-location relationship.</w:t>
      </w:r>
    </w:p>
    <w:p>
      <w:pPr>
        <w:pStyle w:val="Compact"/>
        <w:numPr>
          <w:ilvl w:val="0"/>
          <w:numId w:val="1021"/>
        </w:numPr>
      </w:pPr>
      <w:r>
        <w:t xml:space="preserve">Friendship relationship.</w:t>
      </w:r>
    </w:p>
    <w:p>
      <w:pPr>
        <w:pStyle w:val="Compact"/>
        <w:numPr>
          <w:ilvl w:val="0"/>
          <w:numId w:val="1021"/>
        </w:numPr>
      </w:pPr>
      <w:r>
        <w:t xml:space="preserve">Collaboration relationship.</w:t>
      </w:r>
    </w:p>
    <w:p>
      <w:pPr>
        <w:pStyle w:val="Compact"/>
        <w:numPr>
          <w:ilvl w:val="0"/>
          <w:numId w:val="1021"/>
        </w:numPr>
      </w:pPr>
      <w:r>
        <w:t xml:space="preserve">Community membership.</w:t>
      </w:r>
    </w:p>
    <w:p>
      <w:pPr>
        <w:pStyle w:val="Compact"/>
        <w:numPr>
          <w:ilvl w:val="0"/>
          <w:numId w:val="1021"/>
        </w:numPr>
      </w:pPr>
      <w:r>
        <w:t xml:space="preserve">Common-interest relationship.</w:t>
      </w:r>
    </w:p>
    <w:p>
      <w:pPr>
        <w:pStyle w:val="Compact"/>
        <w:numPr>
          <w:ilvl w:val="0"/>
          <w:numId w:val="1021"/>
        </w:numPr>
      </w:pPr>
      <w:r>
        <w:t xml:space="preserve">Trust circle.</w:t>
      </w:r>
    </w:p>
    <w:p>
      <w:pPr>
        <w:pStyle w:val="Compact"/>
        <w:numPr>
          <w:ilvl w:val="0"/>
          <w:numId w:val="1021"/>
        </w:numPr>
      </w:pPr>
      <w:r>
        <w:t xml:space="preserve">Social distance.</w:t>
      </w:r>
    </w:p>
    <w:p>
      <w:pPr>
        <w:pStyle w:val="Compact"/>
        <w:numPr>
          <w:ilvl w:val="0"/>
          <w:numId w:val="1021"/>
        </w:numPr>
      </w:pPr>
      <w:r>
        <w:t xml:space="preserve">Recommender credibility.</w:t>
      </w:r>
    </w:p>
    <w:p>
      <w:pPr>
        <w:pStyle w:val="FirstParagraph"/>
      </w:pPr>
      <w:r>
        <w:t xml:space="preserve">Example:</w:t>
      </w:r>
    </w:p>
    <w:p>
      <w:pPr>
        <w:pStyle w:val="BodyText"/>
      </w:pPr>
      <w:r>
        <w:t xml:space="preserve">A recommendation issued by an object belonging to the same owner and having a trust value of 0.95 may receive more weight than a recommendation from an unknown object with a trust value of 0.40.</w:t>
      </w:r>
    </w:p>
    <w:bookmarkEnd w:id="57"/>
    <w:bookmarkStart w:id="58" w:name="service-context"/>
    <w:p>
      <w:pPr>
        <w:pStyle w:val="Heading2"/>
      </w:pPr>
      <w:r>
        <w:t xml:space="preserve">12.3 Service Context</w:t>
      </w:r>
    </w:p>
    <w:p>
      <w:pPr>
        <w:pStyle w:val="FirstParagraph"/>
      </w:pPr>
      <w:r>
        <w:t xml:space="preserve">May include:</w:t>
      </w:r>
    </w:p>
    <w:p>
      <w:pPr>
        <w:pStyle w:val="Compact"/>
        <w:numPr>
          <w:ilvl w:val="0"/>
          <w:numId w:val="1022"/>
        </w:numPr>
      </w:pPr>
      <w:r>
        <w:t xml:space="preserve">Service type.</w:t>
      </w:r>
    </w:p>
    <w:p>
      <w:pPr>
        <w:pStyle w:val="Compact"/>
        <w:numPr>
          <w:ilvl w:val="0"/>
          <w:numId w:val="1022"/>
        </w:numPr>
      </w:pPr>
      <w:r>
        <w:t xml:space="preserve">Service provider.</w:t>
      </w:r>
    </w:p>
    <w:p>
      <w:pPr>
        <w:pStyle w:val="Compact"/>
        <w:numPr>
          <w:ilvl w:val="0"/>
          <w:numId w:val="1022"/>
        </w:numPr>
      </w:pPr>
      <w:r>
        <w:t xml:space="preserve">Service consumer.</w:t>
      </w:r>
    </w:p>
    <w:p>
      <w:pPr>
        <w:pStyle w:val="Compact"/>
        <w:numPr>
          <w:ilvl w:val="0"/>
          <w:numId w:val="1022"/>
        </w:numPr>
      </w:pPr>
      <w:r>
        <w:t xml:space="preserve">Service criticality.</w:t>
      </w:r>
    </w:p>
    <w:p>
      <w:pPr>
        <w:pStyle w:val="Compact"/>
        <w:numPr>
          <w:ilvl w:val="0"/>
          <w:numId w:val="1022"/>
        </w:numPr>
      </w:pPr>
      <w:r>
        <w:t xml:space="preserve">Required accuracy.</w:t>
      </w:r>
    </w:p>
    <w:p>
      <w:pPr>
        <w:pStyle w:val="Compact"/>
        <w:numPr>
          <w:ilvl w:val="0"/>
          <w:numId w:val="1022"/>
        </w:numPr>
      </w:pPr>
      <w:r>
        <w:t xml:space="preserve">Maximum latency.</w:t>
      </w:r>
    </w:p>
    <w:p>
      <w:pPr>
        <w:pStyle w:val="Compact"/>
        <w:numPr>
          <w:ilvl w:val="0"/>
          <w:numId w:val="1022"/>
        </w:numPr>
      </w:pPr>
      <w:r>
        <w:t xml:space="preserve">Expected availability.</w:t>
      </w:r>
    </w:p>
    <w:p>
      <w:pPr>
        <w:pStyle w:val="Compact"/>
        <w:numPr>
          <w:ilvl w:val="0"/>
          <w:numId w:val="1022"/>
        </w:numPr>
      </w:pPr>
      <w:r>
        <w:t xml:space="preserve">Priority.</w:t>
      </w:r>
    </w:p>
    <w:p>
      <w:pPr>
        <w:pStyle w:val="Compact"/>
        <w:numPr>
          <w:ilvl w:val="0"/>
          <w:numId w:val="1022"/>
        </w:numPr>
      </w:pPr>
      <w:r>
        <w:t xml:space="preserve">Service restrictions.</w:t>
      </w:r>
    </w:p>
    <w:p>
      <w:pPr>
        <w:pStyle w:val="FirstParagraph"/>
      </w:pPr>
      <w:r>
        <w:t xml:space="preserve">Example:</w:t>
      </w:r>
    </w:p>
    <w:p>
      <w:pPr>
        <w:pStyle w:val="BodyText"/>
      </w:pPr>
      <w:r>
        <w:t xml:space="preserve">A temperature sensor may be acceptable for environmental monitoring requiring an accuracy of ±2 °C and a response time of ten seconds, but unsuitable for fire detection requiring ±0.2 °C and a response time below 500 milliseconds.</w:t>
      </w:r>
    </w:p>
    <w:bookmarkEnd w:id="58"/>
    <w:bookmarkStart w:id="59" w:name="temporal-context"/>
    <w:p>
      <w:pPr>
        <w:pStyle w:val="Heading2"/>
      </w:pPr>
      <w:r>
        <w:t xml:space="preserve">12.4 Temporal Context</w:t>
      </w:r>
    </w:p>
    <w:p>
      <w:pPr>
        <w:pStyle w:val="FirstParagraph"/>
      </w:pPr>
      <w:r>
        <w:t xml:space="preserve">May include:</w:t>
      </w:r>
    </w:p>
    <w:p>
      <w:pPr>
        <w:pStyle w:val="Compact"/>
        <w:numPr>
          <w:ilvl w:val="0"/>
          <w:numId w:val="1023"/>
        </w:numPr>
      </w:pPr>
      <w:r>
        <w:t xml:space="preserve">Date and time.</w:t>
      </w:r>
    </w:p>
    <w:p>
      <w:pPr>
        <w:pStyle w:val="Compact"/>
        <w:numPr>
          <w:ilvl w:val="0"/>
          <w:numId w:val="1023"/>
        </w:numPr>
      </w:pPr>
      <w:r>
        <w:t xml:space="preserve">Observation interval.</w:t>
      </w:r>
    </w:p>
    <w:p>
      <w:pPr>
        <w:pStyle w:val="Compact"/>
        <w:numPr>
          <w:ilvl w:val="0"/>
          <w:numId w:val="1023"/>
        </w:numPr>
      </w:pPr>
      <w:r>
        <w:t xml:space="preserve">Evidence age.</w:t>
      </w:r>
    </w:p>
    <w:p>
      <w:pPr>
        <w:pStyle w:val="Compact"/>
        <w:numPr>
          <w:ilvl w:val="0"/>
          <w:numId w:val="1023"/>
        </w:numPr>
      </w:pPr>
      <w:r>
        <w:t xml:space="preserve">Interaction duration.</w:t>
      </w:r>
    </w:p>
    <w:p>
      <w:pPr>
        <w:pStyle w:val="Compact"/>
        <w:numPr>
          <w:ilvl w:val="0"/>
          <w:numId w:val="1023"/>
        </w:numPr>
      </w:pPr>
      <w:r>
        <w:t xml:space="preserve">Before-attack period.</w:t>
      </w:r>
    </w:p>
    <w:p>
      <w:pPr>
        <w:pStyle w:val="Compact"/>
        <w:numPr>
          <w:ilvl w:val="0"/>
          <w:numId w:val="1023"/>
        </w:numPr>
      </w:pPr>
      <w:r>
        <w:t xml:space="preserve">During-attack period.</w:t>
      </w:r>
    </w:p>
    <w:p>
      <w:pPr>
        <w:pStyle w:val="Compact"/>
        <w:numPr>
          <w:ilvl w:val="0"/>
          <w:numId w:val="1023"/>
        </w:numPr>
      </w:pPr>
      <w:r>
        <w:t xml:space="preserve">Recovery period.</w:t>
      </w:r>
    </w:p>
    <w:p>
      <w:pPr>
        <w:pStyle w:val="Compact"/>
        <w:numPr>
          <w:ilvl w:val="0"/>
          <w:numId w:val="1023"/>
        </w:numPr>
      </w:pPr>
      <w:r>
        <w:t xml:space="preserve">Time since the last assessment.</w:t>
      </w:r>
    </w:p>
    <w:p>
      <w:pPr>
        <w:pStyle w:val="FirstParagraph"/>
      </w:pPr>
      <w:r>
        <w:t xml:space="preserve">Temporal context allows the ontology to distinguish between recent and outdated evidence.</w:t>
      </w:r>
    </w:p>
    <w:bookmarkEnd w:id="59"/>
    <w:bookmarkStart w:id="60" w:name="spatial-and-physical-context"/>
    <w:p>
      <w:pPr>
        <w:pStyle w:val="Heading2"/>
      </w:pPr>
      <w:r>
        <w:t xml:space="preserve">12.5 Spatial and Physical Context</w:t>
      </w:r>
    </w:p>
    <w:p>
      <w:pPr>
        <w:pStyle w:val="FirstParagraph"/>
      </w:pPr>
      <w:r>
        <w:t xml:space="preserve">May include:</w:t>
      </w:r>
    </w:p>
    <w:p>
      <w:pPr>
        <w:pStyle w:val="Compact"/>
        <w:numPr>
          <w:ilvl w:val="0"/>
          <w:numId w:val="1024"/>
        </w:numPr>
      </w:pPr>
      <w:r>
        <w:t xml:space="preserve">Location.</w:t>
      </w:r>
    </w:p>
    <w:p>
      <w:pPr>
        <w:pStyle w:val="Compact"/>
        <w:numPr>
          <w:ilvl w:val="0"/>
          <w:numId w:val="1024"/>
        </w:numPr>
      </w:pPr>
      <w:r>
        <w:t xml:space="preserve">Proximity.</w:t>
      </w:r>
    </w:p>
    <w:p>
      <w:pPr>
        <w:pStyle w:val="Compact"/>
        <w:numPr>
          <w:ilvl w:val="0"/>
          <w:numId w:val="1024"/>
        </w:numPr>
      </w:pPr>
      <w:r>
        <w:t xml:space="preserve">Building or operational zone.</w:t>
      </w:r>
    </w:p>
    <w:p>
      <w:pPr>
        <w:pStyle w:val="Compact"/>
        <w:numPr>
          <w:ilvl w:val="0"/>
          <w:numId w:val="1024"/>
        </w:numPr>
      </w:pPr>
      <w:r>
        <w:t xml:space="preserve">Indoor or outdoor environment.</w:t>
      </w:r>
    </w:p>
    <w:p>
      <w:pPr>
        <w:pStyle w:val="Compact"/>
        <w:numPr>
          <w:ilvl w:val="0"/>
          <w:numId w:val="1024"/>
        </w:numPr>
      </w:pPr>
      <w:r>
        <w:t xml:space="preserve">Temperature.</w:t>
      </w:r>
    </w:p>
    <w:p>
      <w:pPr>
        <w:pStyle w:val="Compact"/>
        <w:numPr>
          <w:ilvl w:val="0"/>
          <w:numId w:val="1024"/>
        </w:numPr>
      </w:pPr>
      <w:r>
        <w:t xml:space="preserve">Humidity.</w:t>
      </w:r>
    </w:p>
    <w:p>
      <w:pPr>
        <w:pStyle w:val="Compact"/>
        <w:numPr>
          <w:ilvl w:val="0"/>
          <w:numId w:val="1024"/>
        </w:numPr>
      </w:pPr>
      <w:r>
        <w:t xml:space="preserve">Movement.</w:t>
      </w:r>
    </w:p>
    <w:p>
      <w:pPr>
        <w:pStyle w:val="Compact"/>
        <w:numPr>
          <w:ilvl w:val="0"/>
          <w:numId w:val="1024"/>
        </w:numPr>
      </w:pPr>
      <w:r>
        <w:t xml:space="preserve">Physical exposure.</w:t>
      </w:r>
    </w:p>
    <w:p>
      <w:pPr>
        <w:pStyle w:val="Compact"/>
        <w:numPr>
          <w:ilvl w:val="0"/>
          <w:numId w:val="1024"/>
        </w:numPr>
      </w:pPr>
      <w:r>
        <w:t xml:space="preserve">Restricted area.</w:t>
      </w:r>
    </w:p>
    <w:p>
      <w:pPr>
        <w:pStyle w:val="FirstParagraph"/>
      </w:pPr>
      <w:r>
        <w:t xml:space="preserve">Physical conditions may affect device behavior without necessarily indicating malicious activity.</w:t>
      </w:r>
    </w:p>
    <w:bookmarkEnd w:id="60"/>
    <w:bookmarkStart w:id="61" w:name="security-context"/>
    <w:p>
      <w:pPr>
        <w:pStyle w:val="Heading2"/>
      </w:pPr>
      <w:r>
        <w:t xml:space="preserve">12.6 Security Context</w:t>
      </w:r>
    </w:p>
    <w:p>
      <w:pPr>
        <w:pStyle w:val="FirstParagraph"/>
      </w:pPr>
      <w:r>
        <w:t xml:space="preserve">May include:</w:t>
      </w:r>
    </w:p>
    <w:p>
      <w:pPr>
        <w:pStyle w:val="Compact"/>
        <w:numPr>
          <w:ilvl w:val="0"/>
          <w:numId w:val="1025"/>
        </w:numPr>
      </w:pPr>
      <w:r>
        <w:t xml:space="preserve">Active threat.</w:t>
      </w:r>
    </w:p>
    <w:p>
      <w:pPr>
        <w:pStyle w:val="Compact"/>
        <w:numPr>
          <w:ilvl w:val="0"/>
          <w:numId w:val="1025"/>
        </w:numPr>
      </w:pPr>
      <w:r>
        <w:t xml:space="preserve">Attack type.</w:t>
      </w:r>
    </w:p>
    <w:p>
      <w:pPr>
        <w:pStyle w:val="Compact"/>
        <w:numPr>
          <w:ilvl w:val="0"/>
          <w:numId w:val="1025"/>
        </w:numPr>
      </w:pPr>
      <w:r>
        <w:t xml:space="preserve">Exploited vulnerability.</w:t>
      </w:r>
    </w:p>
    <w:p>
      <w:pPr>
        <w:pStyle w:val="Compact"/>
        <w:numPr>
          <w:ilvl w:val="0"/>
          <w:numId w:val="1025"/>
        </w:numPr>
      </w:pPr>
      <w:r>
        <w:t xml:space="preserve">Risk level.</w:t>
      </w:r>
    </w:p>
    <w:p>
      <w:pPr>
        <w:pStyle w:val="Compact"/>
        <w:numPr>
          <w:ilvl w:val="0"/>
          <w:numId w:val="1025"/>
        </w:numPr>
      </w:pPr>
      <w:r>
        <w:t xml:space="preserve">Device security state.</w:t>
      </w:r>
    </w:p>
    <w:p>
      <w:pPr>
        <w:pStyle w:val="Compact"/>
        <w:numPr>
          <w:ilvl w:val="0"/>
          <w:numId w:val="1025"/>
        </w:numPr>
      </w:pPr>
      <w:r>
        <w:t xml:space="preserve">Active protection mechanisms.</w:t>
      </w:r>
    </w:p>
    <w:p>
      <w:pPr>
        <w:pStyle w:val="Compact"/>
        <w:numPr>
          <w:ilvl w:val="0"/>
          <w:numId w:val="1025"/>
        </w:numPr>
      </w:pPr>
      <w:r>
        <w:t xml:space="preserve">Failed authentication attempts.</w:t>
      </w:r>
    </w:p>
    <w:p>
      <w:pPr>
        <w:pStyle w:val="Compact"/>
        <w:numPr>
          <w:ilvl w:val="0"/>
          <w:numId w:val="1025"/>
        </w:numPr>
      </w:pPr>
      <w:r>
        <w:t xml:space="preserve">Data-integrity state.</w:t>
      </w:r>
    </w:p>
    <w:p>
      <w:pPr>
        <w:pStyle w:val="Compact"/>
        <w:numPr>
          <w:ilvl w:val="0"/>
          <w:numId w:val="1025"/>
        </w:numPr>
      </w:pPr>
      <w:r>
        <w:t xml:space="preserve">Network degradation.</w:t>
      </w:r>
    </w:p>
    <w:p>
      <w:pPr>
        <w:pStyle w:val="Compact"/>
        <w:numPr>
          <w:ilvl w:val="0"/>
          <w:numId w:val="1025"/>
        </w:numPr>
      </w:pPr>
      <w:r>
        <w:t xml:space="preserve">Service availability.</w:t>
      </w:r>
    </w:p>
    <w:p>
      <w:pPr>
        <w:pStyle w:val="FirstParagraph"/>
      </w:pPr>
      <w:r>
        <w:t xml:space="preserve">Example:</w:t>
      </w:r>
    </w:p>
    <w:p>
      <w:pPr>
        <w:pStyle w:val="BodyText"/>
      </w:pPr>
      <w:r>
        <w:t xml:space="preserve">Maintaining 65% service availability during a denial-of-service attack may provide evidence of absorption or resistance, even though the same availability level would be unacceptable under normal conditions.</w:t>
      </w:r>
    </w:p>
    <w:bookmarkEnd w:id="61"/>
    <w:bookmarkStart w:id="62" w:name="trust-and-reputation-context"/>
    <w:p>
      <w:pPr>
        <w:pStyle w:val="Heading2"/>
      </w:pPr>
      <w:r>
        <w:t xml:space="preserve">12.7 Trust and Reputation Context</w:t>
      </w:r>
    </w:p>
    <w:p>
      <w:pPr>
        <w:pStyle w:val="FirstParagraph"/>
      </w:pPr>
      <w:r>
        <w:t xml:space="preserve">May include:</w:t>
      </w:r>
    </w:p>
    <w:p>
      <w:pPr>
        <w:pStyle w:val="Compact"/>
        <w:numPr>
          <w:ilvl w:val="0"/>
          <w:numId w:val="1026"/>
        </w:numPr>
      </w:pPr>
      <w:r>
        <w:t xml:space="preserve">Evaluator.</w:t>
      </w:r>
    </w:p>
    <w:p>
      <w:pPr>
        <w:pStyle w:val="Compact"/>
        <w:numPr>
          <w:ilvl w:val="0"/>
          <w:numId w:val="1026"/>
        </w:numPr>
      </w:pPr>
      <w:r>
        <w:t xml:space="preserve">Evaluated entity.</w:t>
      </w:r>
    </w:p>
    <w:p>
      <w:pPr>
        <w:pStyle w:val="Compact"/>
        <w:numPr>
          <w:ilvl w:val="0"/>
          <w:numId w:val="1026"/>
        </w:numPr>
      </w:pPr>
      <w:r>
        <w:t xml:space="preserve">Evaluated service.</w:t>
      </w:r>
    </w:p>
    <w:p>
      <w:pPr>
        <w:pStyle w:val="Compact"/>
        <w:numPr>
          <w:ilvl w:val="0"/>
          <w:numId w:val="1026"/>
        </w:numPr>
      </w:pPr>
      <w:r>
        <w:t xml:space="preserve">Direct experiences.</w:t>
      </w:r>
    </w:p>
    <w:p>
      <w:pPr>
        <w:pStyle w:val="Compact"/>
        <w:numPr>
          <w:ilvl w:val="0"/>
          <w:numId w:val="1026"/>
        </w:numPr>
      </w:pPr>
      <w:r>
        <w:t xml:space="preserve">Recommendations.</w:t>
      </w:r>
    </w:p>
    <w:p>
      <w:pPr>
        <w:pStyle w:val="Compact"/>
        <w:numPr>
          <w:ilvl w:val="0"/>
          <w:numId w:val="1026"/>
        </w:numPr>
      </w:pPr>
      <w:r>
        <w:t xml:space="preserve">Number of interactions.</w:t>
      </w:r>
    </w:p>
    <w:p>
      <w:pPr>
        <w:pStyle w:val="Compact"/>
        <w:numPr>
          <w:ilvl w:val="0"/>
          <w:numId w:val="1026"/>
        </w:numPr>
      </w:pPr>
      <w:r>
        <w:t xml:space="preserve">Successful interactions.</w:t>
      </w:r>
    </w:p>
    <w:p>
      <w:pPr>
        <w:pStyle w:val="Compact"/>
        <w:numPr>
          <w:ilvl w:val="0"/>
          <w:numId w:val="1026"/>
        </w:numPr>
      </w:pPr>
      <w:r>
        <w:t xml:space="preserve">Failed interactions.</w:t>
      </w:r>
    </w:p>
    <w:p>
      <w:pPr>
        <w:pStyle w:val="Compact"/>
        <w:numPr>
          <w:ilvl w:val="0"/>
          <w:numId w:val="1026"/>
        </w:numPr>
      </w:pPr>
      <w:r>
        <w:t xml:space="preserve">Recency.</w:t>
      </w:r>
    </w:p>
    <w:p>
      <w:pPr>
        <w:pStyle w:val="Compact"/>
        <w:numPr>
          <w:ilvl w:val="0"/>
          <w:numId w:val="1026"/>
        </w:numPr>
      </w:pPr>
      <w:r>
        <w:t xml:space="preserve">Social relationship.</w:t>
      </w:r>
    </w:p>
    <w:p>
      <w:pPr>
        <w:pStyle w:val="Compact"/>
        <w:numPr>
          <w:ilvl w:val="0"/>
          <w:numId w:val="1026"/>
        </w:numPr>
      </w:pPr>
      <w:r>
        <w:t xml:space="preserve">Source credibility.</w:t>
      </w:r>
    </w:p>
    <w:p>
      <w:pPr>
        <w:pStyle w:val="Compact"/>
        <w:numPr>
          <w:ilvl w:val="0"/>
          <w:numId w:val="1026"/>
        </w:numPr>
      </w:pPr>
      <w:r>
        <w:t xml:space="preserve">Trust value.</w:t>
      </w:r>
    </w:p>
    <w:p>
      <w:pPr>
        <w:pStyle w:val="Compact"/>
        <w:numPr>
          <w:ilvl w:val="0"/>
          <w:numId w:val="1026"/>
        </w:numPr>
      </w:pPr>
      <w:r>
        <w:t xml:space="preserve">Reputation value.</w:t>
      </w:r>
    </w:p>
    <w:p>
      <w:pPr>
        <w:pStyle w:val="FirstParagraph"/>
      </w:pPr>
      <w:r>
        <w:t xml:space="preserve">A trust value must not be interpreted as a permanent property. It represents an assessment concerning a specific service, evaluator, context, and time.</w:t>
      </w:r>
    </w:p>
    <w:p>
      <w:r>
        <w:pict>
          <v:rect style="width:0;height:1.5pt" o:hralign="center" o:hrstd="t" o:hr="t"/>
        </w:pict>
      </w:r>
    </w:p>
    <w:bookmarkEnd w:id="62"/>
    <w:bookmarkEnd w:id="63"/>
    <w:bookmarkStart w:id="72" w:name="scope-of-version-1.0"/>
    <w:p>
      <w:pPr>
        <w:pStyle w:val="Heading1"/>
      </w:pPr>
      <w:r>
        <w:t xml:space="preserve">13. Scope of Version 1.0</w:t>
      </w:r>
    </w:p>
    <w:bookmarkStart w:id="70" w:name="included-in-scope"/>
    <w:p>
      <w:pPr>
        <w:pStyle w:val="Heading2"/>
      </w:pPr>
      <w:r>
        <w:t xml:space="preserve">13.1 Included in Scope</w:t>
      </w:r>
    </w:p>
    <w:bookmarkStart w:id="64" w:name="siot-entities"/>
    <w:p>
      <w:pPr>
        <w:pStyle w:val="Heading3"/>
      </w:pPr>
      <w:r>
        <w:t xml:space="preserve">SIoT Entities</w:t>
      </w:r>
    </w:p>
    <w:p>
      <w:pPr>
        <w:pStyle w:val="Compact"/>
        <w:numPr>
          <w:ilvl w:val="0"/>
          <w:numId w:val="1027"/>
        </w:numPr>
      </w:pPr>
      <w:r>
        <w:t xml:space="preserve">Smart objects.</w:t>
      </w:r>
    </w:p>
    <w:p>
      <w:pPr>
        <w:pStyle w:val="Compact"/>
        <w:numPr>
          <w:ilvl w:val="0"/>
          <w:numId w:val="1027"/>
        </w:numPr>
      </w:pPr>
      <w:r>
        <w:t xml:space="preserve">Users.</w:t>
      </w:r>
    </w:p>
    <w:p>
      <w:pPr>
        <w:pStyle w:val="Compact"/>
        <w:numPr>
          <w:ilvl w:val="0"/>
          <w:numId w:val="1027"/>
        </w:numPr>
      </w:pPr>
      <w:r>
        <w:t xml:space="preserve">Owners.</w:t>
      </w:r>
    </w:p>
    <w:p>
      <w:pPr>
        <w:pStyle w:val="Compact"/>
        <w:numPr>
          <w:ilvl w:val="0"/>
          <w:numId w:val="1027"/>
        </w:numPr>
      </w:pPr>
      <w:r>
        <w:t xml:space="preserve">Object profiles.</w:t>
      </w:r>
    </w:p>
    <w:p>
      <w:pPr>
        <w:pStyle w:val="Compact"/>
        <w:numPr>
          <w:ilvl w:val="0"/>
          <w:numId w:val="1027"/>
        </w:numPr>
      </w:pPr>
      <w:r>
        <w:t xml:space="preserve">Technical capabilities.</w:t>
      </w:r>
    </w:p>
    <w:p>
      <w:pPr>
        <w:pStyle w:val="Compact"/>
        <w:numPr>
          <w:ilvl w:val="0"/>
          <w:numId w:val="1027"/>
        </w:numPr>
      </w:pPr>
      <w:r>
        <w:t xml:space="preserve">Services.</w:t>
      </w:r>
    </w:p>
    <w:p>
      <w:pPr>
        <w:pStyle w:val="Compact"/>
        <w:numPr>
          <w:ilvl w:val="0"/>
          <w:numId w:val="1027"/>
        </w:numPr>
      </w:pPr>
      <w:r>
        <w:t xml:space="preserve">Interactions.</w:t>
      </w:r>
    </w:p>
    <w:p>
      <w:pPr>
        <w:pStyle w:val="Compact"/>
        <w:numPr>
          <w:ilvl w:val="0"/>
          <w:numId w:val="1027"/>
        </w:numPr>
      </w:pPr>
      <w:r>
        <w:t xml:space="preserve">Social relationships.</w:t>
      </w:r>
    </w:p>
    <w:p>
      <w:pPr>
        <w:pStyle w:val="Compact"/>
        <w:numPr>
          <w:ilvl w:val="0"/>
          <w:numId w:val="1027"/>
        </w:numPr>
      </w:pPr>
      <w:r>
        <w:t xml:space="preserve">Communities.</w:t>
      </w:r>
    </w:p>
    <w:p>
      <w:pPr>
        <w:pStyle w:val="Compact"/>
        <w:numPr>
          <w:ilvl w:val="0"/>
          <w:numId w:val="1027"/>
        </w:numPr>
      </w:pPr>
      <w:r>
        <w:t xml:space="preserve">SIoT networks.</w:t>
      </w:r>
    </w:p>
    <w:bookmarkEnd w:id="64"/>
    <w:bookmarkStart w:id="65" w:name="context"/>
    <w:p>
      <w:pPr>
        <w:pStyle w:val="Heading3"/>
      </w:pPr>
      <w:r>
        <w:t xml:space="preserve">Context</w:t>
      </w:r>
    </w:p>
    <w:p>
      <w:pPr>
        <w:pStyle w:val="Compact"/>
        <w:numPr>
          <w:ilvl w:val="0"/>
          <w:numId w:val="1028"/>
        </w:numPr>
      </w:pPr>
      <w:r>
        <w:t xml:space="preserve">Technical context.</w:t>
      </w:r>
    </w:p>
    <w:p>
      <w:pPr>
        <w:pStyle w:val="Compact"/>
        <w:numPr>
          <w:ilvl w:val="0"/>
          <w:numId w:val="1028"/>
        </w:numPr>
      </w:pPr>
      <w:r>
        <w:t xml:space="preserve">Social context.</w:t>
      </w:r>
    </w:p>
    <w:p>
      <w:pPr>
        <w:pStyle w:val="Compact"/>
        <w:numPr>
          <w:ilvl w:val="0"/>
          <w:numId w:val="1028"/>
        </w:numPr>
      </w:pPr>
      <w:r>
        <w:t xml:space="preserve">Temporal context.</w:t>
      </w:r>
    </w:p>
    <w:p>
      <w:pPr>
        <w:pStyle w:val="Compact"/>
        <w:numPr>
          <w:ilvl w:val="0"/>
          <w:numId w:val="1028"/>
        </w:numPr>
      </w:pPr>
      <w:r>
        <w:t xml:space="preserve">Spatial context.</w:t>
      </w:r>
    </w:p>
    <w:p>
      <w:pPr>
        <w:pStyle w:val="Compact"/>
        <w:numPr>
          <w:ilvl w:val="0"/>
          <w:numId w:val="1028"/>
        </w:numPr>
      </w:pPr>
      <w:r>
        <w:t xml:space="preserve">Service context.</w:t>
      </w:r>
    </w:p>
    <w:p>
      <w:pPr>
        <w:pStyle w:val="Compact"/>
        <w:numPr>
          <w:ilvl w:val="0"/>
          <w:numId w:val="1028"/>
        </w:numPr>
      </w:pPr>
      <w:r>
        <w:t xml:space="preserve">Energy context.</w:t>
      </w:r>
    </w:p>
    <w:p>
      <w:pPr>
        <w:pStyle w:val="Compact"/>
        <w:numPr>
          <w:ilvl w:val="0"/>
          <w:numId w:val="1028"/>
        </w:numPr>
      </w:pPr>
      <w:r>
        <w:t xml:space="preserve">Physical context.</w:t>
      </w:r>
    </w:p>
    <w:p>
      <w:pPr>
        <w:pStyle w:val="Compact"/>
        <w:numPr>
          <w:ilvl w:val="0"/>
          <w:numId w:val="1028"/>
        </w:numPr>
      </w:pPr>
      <w:r>
        <w:t xml:space="preserve">Security context.</w:t>
      </w:r>
    </w:p>
    <w:bookmarkEnd w:id="65"/>
    <w:bookmarkStart w:id="66" w:name="trust-and-reputation"/>
    <w:p>
      <w:pPr>
        <w:pStyle w:val="Heading3"/>
      </w:pPr>
      <w:r>
        <w:t xml:space="preserve">Trust and Reputation</w:t>
      </w:r>
    </w:p>
    <w:p>
      <w:pPr>
        <w:pStyle w:val="Compact"/>
        <w:numPr>
          <w:ilvl w:val="0"/>
          <w:numId w:val="1029"/>
        </w:numPr>
      </w:pPr>
      <w:r>
        <w:t xml:space="preserve">Direct experiences.</w:t>
      </w:r>
    </w:p>
    <w:p>
      <w:pPr>
        <w:pStyle w:val="Compact"/>
        <w:numPr>
          <w:ilvl w:val="0"/>
          <w:numId w:val="1029"/>
        </w:numPr>
      </w:pPr>
      <w:r>
        <w:t xml:space="preserve">Recommendations.</w:t>
      </w:r>
    </w:p>
    <w:p>
      <w:pPr>
        <w:pStyle w:val="Compact"/>
        <w:numPr>
          <w:ilvl w:val="0"/>
          <w:numId w:val="1029"/>
        </w:numPr>
      </w:pPr>
      <w:r>
        <w:t xml:space="preserve">Evidence.</w:t>
      </w:r>
    </w:p>
    <w:p>
      <w:pPr>
        <w:pStyle w:val="Compact"/>
        <w:numPr>
          <w:ilvl w:val="0"/>
          <w:numId w:val="1029"/>
        </w:numPr>
      </w:pPr>
      <w:r>
        <w:t xml:space="preserve">Observations.</w:t>
      </w:r>
    </w:p>
    <w:p>
      <w:pPr>
        <w:pStyle w:val="Compact"/>
        <w:numPr>
          <w:ilvl w:val="0"/>
          <w:numId w:val="1029"/>
        </w:numPr>
      </w:pPr>
      <w:r>
        <w:t xml:space="preserve">Direct trust.</w:t>
      </w:r>
    </w:p>
    <w:p>
      <w:pPr>
        <w:pStyle w:val="Compact"/>
        <w:numPr>
          <w:ilvl w:val="0"/>
          <w:numId w:val="1029"/>
        </w:numPr>
      </w:pPr>
      <w:r>
        <w:t xml:space="preserve">Indirect trust.</w:t>
      </w:r>
    </w:p>
    <w:p>
      <w:pPr>
        <w:pStyle w:val="Compact"/>
        <w:numPr>
          <w:ilvl w:val="0"/>
          <w:numId w:val="1029"/>
        </w:numPr>
      </w:pPr>
      <w:r>
        <w:t xml:space="preserve">Local reputation.</w:t>
      </w:r>
    </w:p>
    <w:p>
      <w:pPr>
        <w:pStyle w:val="Compact"/>
        <w:numPr>
          <w:ilvl w:val="0"/>
          <w:numId w:val="1029"/>
        </w:numPr>
      </w:pPr>
      <w:r>
        <w:t xml:space="preserve">Global reputation.</w:t>
      </w:r>
    </w:p>
    <w:p>
      <w:pPr>
        <w:pStyle w:val="Compact"/>
        <w:numPr>
          <w:ilvl w:val="0"/>
          <w:numId w:val="1029"/>
        </w:numPr>
      </w:pPr>
      <w:r>
        <w:t xml:space="preserve">Recommender credibility.</w:t>
      </w:r>
    </w:p>
    <w:p>
      <w:pPr>
        <w:pStyle w:val="Compact"/>
        <w:numPr>
          <w:ilvl w:val="0"/>
          <w:numId w:val="1029"/>
        </w:numPr>
      </w:pPr>
      <w:r>
        <w:t xml:space="preserve">Recency.</w:t>
      </w:r>
    </w:p>
    <w:p>
      <w:pPr>
        <w:pStyle w:val="Compact"/>
        <w:numPr>
          <w:ilvl w:val="0"/>
          <w:numId w:val="1029"/>
        </w:numPr>
      </w:pPr>
      <w:r>
        <w:t xml:space="preserve">Contextual relevance.</w:t>
      </w:r>
    </w:p>
    <w:p>
      <w:pPr>
        <w:pStyle w:val="Compact"/>
        <w:numPr>
          <w:ilvl w:val="0"/>
          <w:numId w:val="1029"/>
        </w:numPr>
      </w:pPr>
      <w:r>
        <w:t xml:space="preserve">Evidence quality.</w:t>
      </w:r>
    </w:p>
    <w:p>
      <w:pPr>
        <w:pStyle w:val="Compact"/>
        <w:numPr>
          <w:ilvl w:val="0"/>
          <w:numId w:val="1029"/>
        </w:numPr>
      </w:pPr>
      <w:r>
        <w:t xml:space="preserve">Evidence provenance.</w:t>
      </w:r>
    </w:p>
    <w:bookmarkEnd w:id="66"/>
    <w:bookmarkStart w:id="67" w:name="security"/>
    <w:p>
      <w:pPr>
        <w:pStyle w:val="Heading3"/>
      </w:pPr>
      <w:r>
        <w:t xml:space="preserve">Security</w:t>
      </w:r>
    </w:p>
    <w:p>
      <w:pPr>
        <w:pStyle w:val="Compact"/>
        <w:numPr>
          <w:ilvl w:val="0"/>
          <w:numId w:val="1030"/>
        </w:numPr>
      </w:pPr>
      <w:r>
        <w:t xml:space="preserve">Threats.</w:t>
      </w:r>
    </w:p>
    <w:p>
      <w:pPr>
        <w:pStyle w:val="Compact"/>
        <w:numPr>
          <w:ilvl w:val="0"/>
          <w:numId w:val="1030"/>
        </w:numPr>
      </w:pPr>
      <w:r>
        <w:t xml:space="preserve">Cyberattacks.</w:t>
      </w:r>
    </w:p>
    <w:p>
      <w:pPr>
        <w:pStyle w:val="Compact"/>
        <w:numPr>
          <w:ilvl w:val="0"/>
          <w:numId w:val="1030"/>
        </w:numPr>
      </w:pPr>
      <w:r>
        <w:t xml:space="preserve">Vulnerabilities.</w:t>
      </w:r>
    </w:p>
    <w:p>
      <w:pPr>
        <w:pStyle w:val="Compact"/>
        <w:numPr>
          <w:ilvl w:val="0"/>
          <w:numId w:val="1030"/>
        </w:numPr>
      </w:pPr>
      <w:r>
        <w:t xml:space="preserve">Incidents.</w:t>
      </w:r>
    </w:p>
    <w:p>
      <w:pPr>
        <w:pStyle w:val="Compact"/>
        <w:numPr>
          <w:ilvl w:val="0"/>
          <w:numId w:val="1030"/>
        </w:numPr>
      </w:pPr>
      <w:r>
        <w:t xml:space="preserve">Affected assets.</w:t>
      </w:r>
    </w:p>
    <w:p>
      <w:pPr>
        <w:pStyle w:val="Compact"/>
        <w:numPr>
          <w:ilvl w:val="0"/>
          <w:numId w:val="1030"/>
        </w:numPr>
      </w:pPr>
      <w:r>
        <w:t xml:space="preserve">Security impacts.</w:t>
      </w:r>
    </w:p>
    <w:p>
      <w:pPr>
        <w:pStyle w:val="Compact"/>
        <w:numPr>
          <w:ilvl w:val="0"/>
          <w:numId w:val="1030"/>
        </w:numPr>
      </w:pPr>
      <w:r>
        <w:t xml:space="preserve">Service impacts.</w:t>
      </w:r>
    </w:p>
    <w:p>
      <w:pPr>
        <w:pStyle w:val="Compact"/>
        <w:numPr>
          <w:ilvl w:val="0"/>
          <w:numId w:val="1030"/>
        </w:numPr>
      </w:pPr>
      <w:r>
        <w:t xml:space="preserve">Prevention.</w:t>
      </w:r>
    </w:p>
    <w:p>
      <w:pPr>
        <w:pStyle w:val="Compact"/>
        <w:numPr>
          <w:ilvl w:val="0"/>
          <w:numId w:val="1030"/>
        </w:numPr>
      </w:pPr>
      <w:r>
        <w:t xml:space="preserve">Detection.</w:t>
      </w:r>
    </w:p>
    <w:p>
      <w:pPr>
        <w:pStyle w:val="Compact"/>
        <w:numPr>
          <w:ilvl w:val="0"/>
          <w:numId w:val="1030"/>
        </w:numPr>
      </w:pPr>
      <w:r>
        <w:t xml:space="preserve">Mitigation.</w:t>
      </w:r>
    </w:p>
    <w:p>
      <w:pPr>
        <w:pStyle w:val="Compact"/>
        <w:numPr>
          <w:ilvl w:val="0"/>
          <w:numId w:val="1030"/>
        </w:numPr>
      </w:pPr>
      <w:r>
        <w:t xml:space="preserve">Recovery.</w:t>
      </w:r>
    </w:p>
    <w:p>
      <w:pPr>
        <w:pStyle w:val="Compact"/>
        <w:numPr>
          <w:ilvl w:val="0"/>
          <w:numId w:val="1030"/>
        </w:numPr>
      </w:pPr>
      <w:r>
        <w:t xml:space="preserve">Adaptation.</w:t>
      </w:r>
    </w:p>
    <w:bookmarkEnd w:id="67"/>
    <w:bookmarkStart w:id="68" w:name="resilience"/>
    <w:p>
      <w:pPr>
        <w:pStyle w:val="Heading3"/>
      </w:pPr>
      <w:r>
        <w:t xml:space="preserve">Resilience</w:t>
      </w:r>
    </w:p>
    <w:p>
      <w:pPr>
        <w:pStyle w:val="Compact"/>
        <w:numPr>
          <w:ilvl w:val="0"/>
          <w:numId w:val="1031"/>
        </w:numPr>
      </w:pPr>
      <w:r>
        <w:t xml:space="preserve">Identification.</w:t>
      </w:r>
    </w:p>
    <w:p>
      <w:pPr>
        <w:pStyle w:val="Compact"/>
        <w:numPr>
          <w:ilvl w:val="0"/>
          <w:numId w:val="1031"/>
        </w:numPr>
      </w:pPr>
      <w:r>
        <w:t xml:space="preserve">Absorption.</w:t>
      </w:r>
    </w:p>
    <w:p>
      <w:pPr>
        <w:pStyle w:val="Compact"/>
        <w:numPr>
          <w:ilvl w:val="0"/>
          <w:numId w:val="1031"/>
        </w:numPr>
      </w:pPr>
      <w:r>
        <w:t xml:space="preserve">Resistance.</w:t>
      </w:r>
    </w:p>
    <w:p>
      <w:pPr>
        <w:pStyle w:val="Compact"/>
        <w:numPr>
          <w:ilvl w:val="0"/>
          <w:numId w:val="1031"/>
        </w:numPr>
      </w:pPr>
      <w:r>
        <w:t xml:space="preserve">Recovery.</w:t>
      </w:r>
    </w:p>
    <w:p>
      <w:pPr>
        <w:pStyle w:val="Compact"/>
        <w:numPr>
          <w:ilvl w:val="0"/>
          <w:numId w:val="1031"/>
        </w:numPr>
      </w:pPr>
      <w:r>
        <w:t xml:space="preserve">Adaptation.</w:t>
      </w:r>
    </w:p>
    <w:p>
      <w:pPr>
        <w:pStyle w:val="Compact"/>
        <w:numPr>
          <w:ilvl w:val="0"/>
          <w:numId w:val="1031"/>
        </w:numPr>
      </w:pPr>
      <w:r>
        <w:t xml:space="preserve">Operational states.</w:t>
      </w:r>
    </w:p>
    <w:p>
      <w:pPr>
        <w:pStyle w:val="Compact"/>
        <w:numPr>
          <w:ilvl w:val="0"/>
          <w:numId w:val="1031"/>
        </w:numPr>
      </w:pPr>
      <w:r>
        <w:t xml:space="preserve">Service degradation.</w:t>
      </w:r>
    </w:p>
    <w:p>
      <w:pPr>
        <w:pStyle w:val="Compact"/>
        <w:numPr>
          <w:ilvl w:val="0"/>
          <w:numId w:val="1031"/>
        </w:numPr>
      </w:pPr>
      <w:r>
        <w:t xml:space="preserve">Service continuity.</w:t>
      </w:r>
    </w:p>
    <w:p>
      <w:pPr>
        <w:pStyle w:val="Compact"/>
        <w:numPr>
          <w:ilvl w:val="0"/>
          <w:numId w:val="1031"/>
        </w:numPr>
      </w:pPr>
      <w:r>
        <w:t xml:space="preserve">Recovery time.</w:t>
      </w:r>
    </w:p>
    <w:bookmarkEnd w:id="68"/>
    <w:bookmarkStart w:id="69" w:name="resilience-indicator"/>
    <w:p>
      <w:pPr>
        <w:pStyle w:val="Heading3"/>
      </w:pPr>
      <w:r>
        <w:t xml:space="preserve">Resilience Indicator</w:t>
      </w:r>
    </w:p>
    <w:p>
      <w:pPr>
        <w:pStyle w:val="Compact"/>
        <w:numPr>
          <w:ilvl w:val="0"/>
          <w:numId w:val="1032"/>
        </w:numPr>
      </w:pPr>
      <w:r>
        <w:t xml:space="preserve">Indicator.</w:t>
      </w:r>
    </w:p>
    <w:p>
      <w:pPr>
        <w:pStyle w:val="Compact"/>
        <w:numPr>
          <w:ilvl w:val="0"/>
          <w:numId w:val="1032"/>
        </w:numPr>
      </w:pPr>
      <w:r>
        <w:t xml:space="preserve">Subindicator.</w:t>
      </w:r>
    </w:p>
    <w:p>
      <w:pPr>
        <w:pStyle w:val="Compact"/>
        <w:numPr>
          <w:ilvl w:val="0"/>
          <w:numId w:val="1032"/>
        </w:numPr>
      </w:pPr>
      <w:r>
        <w:t xml:space="preserve">Variable.</w:t>
      </w:r>
    </w:p>
    <w:p>
      <w:pPr>
        <w:pStyle w:val="Compact"/>
        <w:numPr>
          <w:ilvl w:val="0"/>
          <w:numId w:val="1032"/>
        </w:numPr>
      </w:pPr>
      <w:r>
        <w:t xml:space="preserve">Metric.</w:t>
      </w:r>
    </w:p>
    <w:p>
      <w:pPr>
        <w:pStyle w:val="Compact"/>
        <w:numPr>
          <w:ilvl w:val="0"/>
          <w:numId w:val="1032"/>
        </w:numPr>
      </w:pPr>
      <w:r>
        <w:t xml:space="preserve">Observation.</w:t>
      </w:r>
    </w:p>
    <w:p>
      <w:pPr>
        <w:pStyle w:val="Compact"/>
        <w:numPr>
          <w:ilvl w:val="0"/>
          <w:numId w:val="1032"/>
        </w:numPr>
      </w:pPr>
      <w:r>
        <w:t xml:space="preserve">Measured value.</w:t>
      </w:r>
    </w:p>
    <w:p>
      <w:pPr>
        <w:pStyle w:val="Compact"/>
        <w:numPr>
          <w:ilvl w:val="0"/>
          <w:numId w:val="1032"/>
        </w:numPr>
      </w:pPr>
      <w:r>
        <w:t xml:space="preserve">Normalized value.</w:t>
      </w:r>
    </w:p>
    <w:p>
      <w:pPr>
        <w:pStyle w:val="Compact"/>
        <w:numPr>
          <w:ilvl w:val="0"/>
          <w:numId w:val="1032"/>
        </w:numPr>
      </w:pPr>
      <w:r>
        <w:t xml:space="preserve">Weight.</w:t>
      </w:r>
    </w:p>
    <w:p>
      <w:pPr>
        <w:pStyle w:val="Compact"/>
        <w:numPr>
          <w:ilvl w:val="0"/>
          <w:numId w:val="1032"/>
        </w:numPr>
      </w:pPr>
      <w:r>
        <w:t xml:space="preserve">Threshold.</w:t>
      </w:r>
    </w:p>
    <w:p>
      <w:pPr>
        <w:pStyle w:val="Compact"/>
        <w:numPr>
          <w:ilvl w:val="0"/>
          <w:numId w:val="1032"/>
        </w:numPr>
      </w:pPr>
      <w:r>
        <w:t xml:space="preserve">Classification level.</w:t>
      </w:r>
    </w:p>
    <w:p>
      <w:pPr>
        <w:pStyle w:val="Compact"/>
        <w:numPr>
          <w:ilvl w:val="0"/>
          <w:numId w:val="1032"/>
        </w:numPr>
      </w:pPr>
      <w:r>
        <w:t xml:space="preserve">Calculation method.</w:t>
      </w:r>
    </w:p>
    <w:p>
      <w:pPr>
        <w:pStyle w:val="Compact"/>
        <w:numPr>
          <w:ilvl w:val="0"/>
          <w:numId w:val="1032"/>
        </w:numPr>
      </w:pPr>
      <w:r>
        <w:t xml:space="preserve">Provenance.</w:t>
      </w:r>
    </w:p>
    <w:p>
      <w:pPr>
        <w:pStyle w:val="Compact"/>
        <w:numPr>
          <w:ilvl w:val="0"/>
          <w:numId w:val="1032"/>
        </w:numPr>
      </w:pPr>
      <w:r>
        <w:t xml:space="preserve">Indicator result.</w:t>
      </w:r>
    </w:p>
    <w:bookmarkEnd w:id="69"/>
    <w:bookmarkEnd w:id="70"/>
    <w:bookmarkStart w:id="71" w:name="initially-excluded-from-scope"/>
    <w:p>
      <w:pPr>
        <w:pStyle w:val="Heading2"/>
      </w:pPr>
      <w:r>
        <w:t xml:space="preserve">13.2 Initially Excluded from Scope</w:t>
      </w:r>
    </w:p>
    <w:p>
      <w:pPr>
        <w:pStyle w:val="Compact"/>
        <w:numPr>
          <w:ilvl w:val="0"/>
          <w:numId w:val="1033"/>
        </w:numPr>
      </w:pPr>
      <w:r>
        <w:t xml:space="preserve">Internal implementation of cryptographic algorithms.</w:t>
      </w:r>
    </w:p>
    <w:p>
      <w:pPr>
        <w:pStyle w:val="Compact"/>
        <w:numPr>
          <w:ilvl w:val="0"/>
          <w:numId w:val="1033"/>
        </w:numPr>
      </w:pPr>
      <w:r>
        <w:t xml:space="preserve">Internal implementation of AES.</w:t>
      </w:r>
    </w:p>
    <w:p>
      <w:pPr>
        <w:pStyle w:val="Compact"/>
        <w:numPr>
          <w:ilvl w:val="0"/>
          <w:numId w:val="1033"/>
        </w:numPr>
      </w:pPr>
      <w:r>
        <w:t xml:space="preserve">Internal implementation of DAG structures.</w:t>
      </w:r>
    </w:p>
    <w:p>
      <w:pPr>
        <w:pStyle w:val="Compact"/>
        <w:numPr>
          <w:ilvl w:val="0"/>
          <w:numId w:val="1033"/>
        </w:numPr>
      </w:pPr>
      <w:r>
        <w:t xml:space="preserve">Internal implementation of blockchain mechanisms.</w:t>
      </w:r>
    </w:p>
    <w:p>
      <w:pPr>
        <w:pStyle w:val="Compact"/>
        <w:numPr>
          <w:ilvl w:val="0"/>
          <w:numId w:val="1033"/>
        </w:numPr>
      </w:pPr>
      <w:r>
        <w:t xml:space="preserve">Internal implementation of machine-learning algorithms.</w:t>
      </w:r>
    </w:p>
    <w:p>
      <w:pPr>
        <w:pStyle w:val="Compact"/>
        <w:numPr>
          <w:ilvl w:val="0"/>
          <w:numId w:val="1033"/>
        </w:numPr>
      </w:pPr>
      <w:r>
        <w:t xml:space="preserve">Complete execution of network simulations.</w:t>
      </w:r>
    </w:p>
    <w:p>
      <w:pPr>
        <w:pStyle w:val="Compact"/>
        <w:numPr>
          <w:ilvl w:val="0"/>
          <w:numId w:val="1033"/>
        </w:numPr>
      </w:pPr>
      <w:r>
        <w:t xml:space="preserve">Physical execution of security mechanisms.</w:t>
      </w:r>
    </w:p>
    <w:p>
      <w:pPr>
        <w:pStyle w:val="Compact"/>
        <w:numPr>
          <w:ilvl w:val="0"/>
          <w:numId w:val="1033"/>
        </w:numPr>
      </w:pPr>
      <w:r>
        <w:t xml:space="preserve">An exhaustive taxonomy of all cybersecurity domains.</w:t>
      </w:r>
    </w:p>
    <w:p>
      <w:pPr>
        <w:pStyle w:val="Compact"/>
        <w:numPr>
          <w:ilvl w:val="0"/>
          <w:numId w:val="1033"/>
        </w:numPr>
      </w:pPr>
      <w:r>
        <w:t xml:space="preserve">An exhaustive ontology of every IoT application domain.</w:t>
      </w:r>
    </w:p>
    <w:p>
      <w:pPr>
        <w:pStyle w:val="Compact"/>
        <w:numPr>
          <w:ilvl w:val="0"/>
          <w:numId w:val="1033"/>
        </w:numPr>
      </w:pPr>
      <w:r>
        <w:t xml:space="preserve">Universal formulas without empirical or theoretical support.</w:t>
      </w:r>
    </w:p>
    <w:p>
      <w:pPr>
        <w:pStyle w:val="Compact"/>
        <w:numPr>
          <w:ilvl w:val="0"/>
          <w:numId w:val="1033"/>
        </w:numPr>
      </w:pPr>
      <w:r>
        <w:t xml:space="preserve">Universal weights without validation.</w:t>
      </w:r>
    </w:p>
    <w:p>
      <w:pPr>
        <w:pStyle w:val="Compact"/>
        <w:numPr>
          <w:ilvl w:val="0"/>
          <w:numId w:val="1033"/>
        </w:numPr>
      </w:pPr>
      <w:r>
        <w:t xml:space="preserve">Universal scores without validation.</w:t>
      </w:r>
    </w:p>
    <w:p>
      <w:pPr>
        <w:pStyle w:val="Compact"/>
        <w:numPr>
          <w:ilvl w:val="0"/>
          <w:numId w:val="1033"/>
        </w:numPr>
      </w:pPr>
      <w:r>
        <w:t xml:space="preserve">Universal thresholds without validation.</w:t>
      </w:r>
    </w:p>
    <w:p>
      <w:pPr>
        <w:pStyle w:val="Compact"/>
        <w:numPr>
          <w:ilvl w:val="0"/>
          <w:numId w:val="1033"/>
        </w:numPr>
      </w:pPr>
      <w:r>
        <w:t xml:space="preserve">Unsupervised execution of critical security decisions.</w:t>
      </w:r>
    </w:p>
    <w:p>
      <w:pPr>
        <w:pStyle w:val="FirstParagraph"/>
      </w:pPr>
      <w:r>
        <w:t xml:space="preserve">The ontology may describe algorithms, mechanisms, formulas, methods, and results without necessarily executing their internal operations.</w:t>
      </w:r>
    </w:p>
    <w:p>
      <w:r>
        <w:pict>
          <v:rect style="width:0;height:1.5pt" o:hralign="center" o:hrstd="t" o:hr="t"/>
        </w:pict>
      </w:r>
    </w:p>
    <w:bookmarkEnd w:id="71"/>
    <w:bookmarkEnd w:id="72"/>
    <w:bookmarkStart w:id="77" w:name="X8a69354b68918e1f9240e555c97e605342125bf"/>
    <w:p>
      <w:pPr>
        <w:pStyle w:val="Heading1"/>
      </w:pPr>
      <w:r>
        <w:t xml:space="preserve">14. Relationship Between Trust, Reputation, and Resilience</w:t>
      </w:r>
    </w:p>
    <w:bookmarkStart w:id="73" w:name="trust"/>
    <w:p>
      <w:pPr>
        <w:pStyle w:val="Heading2"/>
      </w:pPr>
      <w:r>
        <w:t xml:space="preserve">14.1 Trust</w:t>
      </w:r>
    </w:p>
    <w:p>
      <w:pPr>
        <w:pStyle w:val="FirstParagraph"/>
      </w:pPr>
      <w:r>
        <w:t xml:space="preserve">Trust represents an assessment derived mainly from direct experience or available evidence concerning the expected behavior of an entity in a specific service, context, and time.</w:t>
      </w:r>
    </w:p>
    <w:bookmarkEnd w:id="73"/>
    <w:bookmarkStart w:id="74" w:name="reputation"/>
    <w:p>
      <w:pPr>
        <w:pStyle w:val="Heading2"/>
      </w:pPr>
      <w:r>
        <w:t xml:space="preserve">14.2 Reputation</w:t>
      </w:r>
    </w:p>
    <w:p>
      <w:pPr>
        <w:pStyle w:val="FirstParagraph"/>
      </w:pPr>
      <w:r>
        <w:t xml:space="preserve">Reputation represents an assessment derived from the opinions, recommendations, or experiences of other entities.</w:t>
      </w:r>
    </w:p>
    <w:p>
      <w:pPr>
        <w:pStyle w:val="BodyText"/>
      </w:pPr>
      <w:r>
        <w:t xml:space="preserve">Reputation may be:</w:t>
      </w:r>
    </w:p>
    <w:p>
      <w:pPr>
        <w:pStyle w:val="Compact"/>
        <w:numPr>
          <w:ilvl w:val="0"/>
          <w:numId w:val="1034"/>
        </w:numPr>
      </w:pPr>
      <w:r>
        <w:t xml:space="preserve">Local.</w:t>
      </w:r>
    </w:p>
    <w:p>
      <w:pPr>
        <w:pStyle w:val="Compact"/>
        <w:numPr>
          <w:ilvl w:val="0"/>
          <w:numId w:val="1034"/>
        </w:numPr>
      </w:pPr>
      <w:r>
        <w:t xml:space="preserve">Community-based.</w:t>
      </w:r>
    </w:p>
    <w:p>
      <w:pPr>
        <w:pStyle w:val="Compact"/>
        <w:numPr>
          <w:ilvl w:val="0"/>
          <w:numId w:val="1034"/>
        </w:numPr>
      </w:pPr>
      <w:r>
        <w:t xml:space="preserve">Contextual.</w:t>
      </w:r>
    </w:p>
    <w:p>
      <w:pPr>
        <w:pStyle w:val="Compact"/>
        <w:numPr>
          <w:ilvl w:val="0"/>
          <w:numId w:val="1034"/>
        </w:numPr>
      </w:pPr>
      <w:r>
        <w:t xml:space="preserve">Global.</w:t>
      </w:r>
    </w:p>
    <w:bookmarkEnd w:id="74"/>
    <w:bookmarkStart w:id="75" w:name="resilience-1"/>
    <w:p>
      <w:pPr>
        <w:pStyle w:val="Heading2"/>
      </w:pPr>
      <w:r>
        <w:t xml:space="preserve">14.3 Resilience</w:t>
      </w:r>
    </w:p>
    <w:p>
      <w:pPr>
        <w:pStyle w:val="FirstParagraph"/>
      </w:pPr>
      <w:r>
        <w:t xml:space="preserve">Resilience represents the capability of a SIoT network to identify, absorb, resist, recover from, and adapt to the harmful effects of a cyberattack.</w:t>
      </w:r>
    </w:p>
    <w:bookmarkEnd w:id="75"/>
    <w:bookmarkStart w:id="76" w:name="modeling-decision"/>
    <w:p>
      <w:pPr>
        <w:pStyle w:val="Heading2"/>
      </w:pPr>
      <w:r>
        <w:t xml:space="preserve">14.4 Modeling Decision</w:t>
      </w:r>
    </w:p>
    <w:p>
      <w:pPr>
        <w:pStyle w:val="FirstParagraph"/>
      </w:pPr>
      <w:r>
        <w:t xml:space="preserve">Trust and reputation will be represented as dynamic contextual factors that may influence:</w:t>
      </w:r>
    </w:p>
    <w:p>
      <w:pPr>
        <w:pStyle w:val="Compact"/>
        <w:numPr>
          <w:ilvl w:val="0"/>
          <w:numId w:val="1035"/>
        </w:numPr>
      </w:pPr>
      <w:r>
        <w:t xml:space="preserve">Evidence credibility.</w:t>
      </w:r>
    </w:p>
    <w:p>
      <w:pPr>
        <w:pStyle w:val="Compact"/>
        <w:numPr>
          <w:ilvl w:val="0"/>
          <w:numId w:val="1035"/>
        </w:numPr>
      </w:pPr>
      <w:r>
        <w:t xml:space="preserve">Provider selection.</w:t>
      </w:r>
    </w:p>
    <w:p>
      <w:pPr>
        <w:pStyle w:val="Compact"/>
        <w:numPr>
          <w:ilvl w:val="0"/>
          <w:numId w:val="1035"/>
        </w:numPr>
      </w:pPr>
      <w:r>
        <w:t xml:space="preserve">Interaction authorization.</w:t>
      </w:r>
    </w:p>
    <w:p>
      <w:pPr>
        <w:pStyle w:val="Compact"/>
        <w:numPr>
          <w:ilvl w:val="0"/>
          <w:numId w:val="1035"/>
        </w:numPr>
      </w:pPr>
      <w:r>
        <w:t xml:space="preserve">Detection of abnormal behavior.</w:t>
      </w:r>
    </w:p>
    <w:p>
      <w:pPr>
        <w:pStyle w:val="Compact"/>
        <w:numPr>
          <w:ilvl w:val="0"/>
          <w:numId w:val="1035"/>
        </w:numPr>
      </w:pPr>
      <w:r>
        <w:t xml:space="preserve">Isolation of malicious objects.</w:t>
      </w:r>
    </w:p>
    <w:p>
      <w:pPr>
        <w:pStyle w:val="Compact"/>
        <w:numPr>
          <w:ilvl w:val="0"/>
          <w:numId w:val="1035"/>
        </w:numPr>
      </w:pPr>
      <w:r>
        <w:t xml:space="preserve">Revocation of harmful relationships.</w:t>
      </w:r>
    </w:p>
    <w:p>
      <w:pPr>
        <w:pStyle w:val="Compact"/>
        <w:numPr>
          <w:ilvl w:val="0"/>
          <w:numId w:val="1035"/>
        </w:numPr>
      </w:pPr>
      <w:r>
        <w:t xml:space="preserve">Service substitution.</w:t>
      </w:r>
    </w:p>
    <w:p>
      <w:pPr>
        <w:pStyle w:val="Compact"/>
        <w:numPr>
          <w:ilvl w:val="0"/>
          <w:numId w:val="1035"/>
        </w:numPr>
      </w:pPr>
      <w:r>
        <w:t xml:space="preserve">Security-response activation.</w:t>
      </w:r>
    </w:p>
    <w:p>
      <w:pPr>
        <w:pStyle w:val="Compact"/>
        <w:numPr>
          <w:ilvl w:val="0"/>
          <w:numId w:val="1035"/>
        </w:numPr>
      </w:pPr>
      <w:r>
        <w:t xml:space="preserve">Recovery decisions.</w:t>
      </w:r>
    </w:p>
    <w:p>
      <w:pPr>
        <w:pStyle w:val="Compact"/>
        <w:numPr>
          <w:ilvl w:val="0"/>
          <w:numId w:val="1035"/>
        </w:numPr>
      </w:pPr>
      <w:r>
        <w:t xml:space="preserve">Adaptation decisions.</w:t>
      </w:r>
    </w:p>
    <w:p>
      <w:pPr>
        <w:pStyle w:val="Compact"/>
        <w:numPr>
          <w:ilvl w:val="0"/>
          <w:numId w:val="1035"/>
        </w:numPr>
      </w:pPr>
      <w:r>
        <w:t xml:space="preserve">Resilience outcomes.</w:t>
      </w:r>
    </w:p>
    <w:p>
      <w:pPr>
        <w:pStyle w:val="FirstParagraph"/>
      </w:pPr>
      <w:r>
        <w:t xml:space="preserve">Trust and reputation are not synonyms for resilience.</w:t>
      </w:r>
    </w:p>
    <w:p>
      <w:r>
        <w:pict>
          <v:rect style="width:0;height:1.5pt" o:hralign="center" o:hrstd="t" o:hr="t"/>
        </w:pict>
      </w:r>
    </w:p>
    <w:bookmarkEnd w:id="76"/>
    <w:bookmarkEnd w:id="77"/>
    <w:bookmarkStart w:id="80" w:name="X43468ffbd5dd797c54437f41f844c1a644c18af"/>
    <w:p>
      <w:pPr>
        <w:pStyle w:val="Heading1"/>
      </w:pPr>
      <w:r>
        <w:t xml:space="preserve">15. Relationship with the Previous Trust and Reputation Indicator</w:t>
      </w:r>
    </w:p>
    <w:p>
      <w:pPr>
        <w:pStyle w:val="FirstParagraph"/>
      </w:pPr>
      <w:r>
        <w:t xml:space="preserve">The previously proposed indicator evaluated IoT nodes using dimensions related to:</w:t>
      </w:r>
    </w:p>
    <w:p>
      <w:pPr>
        <w:pStyle w:val="Compact"/>
        <w:numPr>
          <w:ilvl w:val="0"/>
          <w:numId w:val="1036"/>
        </w:numPr>
      </w:pPr>
      <w:r>
        <w:t xml:space="preserve">Trust.</w:t>
      </w:r>
    </w:p>
    <w:p>
      <w:pPr>
        <w:pStyle w:val="Compact"/>
        <w:numPr>
          <w:ilvl w:val="0"/>
          <w:numId w:val="1036"/>
        </w:numPr>
      </w:pPr>
      <w:r>
        <w:t xml:space="preserve">Security.</w:t>
      </w:r>
    </w:p>
    <w:p>
      <w:pPr>
        <w:pStyle w:val="Compact"/>
        <w:numPr>
          <w:ilvl w:val="0"/>
          <w:numId w:val="1036"/>
        </w:numPr>
      </w:pPr>
      <w:r>
        <w:t xml:space="preserve">Quality of service.</w:t>
      </w:r>
    </w:p>
    <w:p>
      <w:pPr>
        <w:pStyle w:val="Compact"/>
        <w:numPr>
          <w:ilvl w:val="0"/>
          <w:numId w:val="1036"/>
        </w:numPr>
      </w:pPr>
      <w:r>
        <w:t xml:space="preserve">Historical interactions.</w:t>
      </w:r>
    </w:p>
    <w:p>
      <w:pPr>
        <w:pStyle w:val="Compact"/>
        <w:numPr>
          <w:ilvl w:val="0"/>
          <w:numId w:val="1036"/>
        </w:numPr>
      </w:pPr>
      <w:r>
        <w:t xml:space="preserve">Successful and failed transactions.</w:t>
      </w:r>
    </w:p>
    <w:p>
      <w:pPr>
        <w:pStyle w:val="Compact"/>
        <w:numPr>
          <w:ilvl w:val="0"/>
          <w:numId w:val="1036"/>
        </w:numPr>
      </w:pPr>
      <w:r>
        <w:t xml:space="preserve">Recommendations.</w:t>
      </w:r>
    </w:p>
    <w:p>
      <w:pPr>
        <w:pStyle w:val="Compact"/>
        <w:numPr>
          <w:ilvl w:val="0"/>
          <w:numId w:val="1036"/>
        </w:numPr>
      </w:pPr>
      <w:r>
        <w:t xml:space="preserve">Recommender weights.</w:t>
      </w:r>
    </w:p>
    <w:p>
      <w:pPr>
        <w:pStyle w:val="Compact"/>
        <w:numPr>
          <w:ilvl w:val="0"/>
          <w:numId w:val="1036"/>
        </w:numPr>
      </w:pPr>
      <w:r>
        <w:t xml:space="preserve">Classification thresholds.</w:t>
      </w:r>
    </w:p>
    <w:p>
      <w:pPr>
        <w:pStyle w:val="Compact"/>
        <w:numPr>
          <w:ilvl w:val="0"/>
          <w:numId w:val="1036"/>
        </w:numPr>
      </w:pPr>
      <w:r>
        <w:t xml:space="preserve">Dynamic updates.</w:t>
      </w:r>
    </w:p>
    <w:p>
      <w:pPr>
        <w:pStyle w:val="FirstParagraph"/>
      </w:pPr>
      <w:r>
        <w:t xml:space="preserve">For the resilience indicator, these elements will be adapted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Previous indicator element</w:t>
            </w:r>
          </w:p>
        </w:tc>
        <w:tc>
          <w:tcPr/>
          <w:p>
            <w:pPr>
              <w:pStyle w:val="Compact"/>
            </w:pPr>
            <w:r>
              <w:t xml:space="preserve">Resilience-indicator adaptation</w:t>
            </w:r>
          </w:p>
        </w:tc>
      </w:tr>
      <w:tr>
        <w:tc>
          <w:tcPr/>
          <w:p>
            <w:pPr>
              <w:pStyle w:val="Compact"/>
            </w:pPr>
            <w:r>
              <w:t xml:space="preserve">Evaluated node</w:t>
            </w:r>
          </w:p>
        </w:tc>
        <w:tc>
          <w:tcPr/>
          <w:p>
            <w:pPr>
              <w:pStyle w:val="Compact"/>
            </w:pPr>
            <w:r>
              <w:t xml:space="preserve">SIoT network, subnetwork, service, interaction, or smart object</w:t>
            </w:r>
          </w:p>
        </w:tc>
      </w:tr>
      <w:tr>
        <w:tc>
          <w:tcPr/>
          <w:p>
            <w:pPr>
              <w:pStyle w:val="Compact"/>
            </w:pPr>
            <w:r>
              <w:t xml:space="preserve">Previous interaction</w:t>
            </w:r>
          </w:p>
        </w:tc>
        <w:tc>
          <w:tcPr/>
          <w:p>
            <w:pPr>
              <w:pStyle w:val="Compact"/>
            </w:pPr>
            <w:r>
              <w:t xml:space="preserve">Observed interaction, event, or security incident</w:t>
            </w:r>
          </w:p>
        </w:tc>
      </w:tr>
      <w:tr>
        <w:tc>
          <w:tcPr/>
          <w:p>
            <w:pPr>
              <w:pStyle w:val="Compact"/>
            </w:pPr>
            <w:r>
              <w:t xml:space="preserve">Trust</w:t>
            </w:r>
          </w:p>
        </w:tc>
        <w:tc>
          <w:tcPr/>
          <w:p>
            <w:pPr>
              <w:pStyle w:val="Compact"/>
            </w:pPr>
            <w:r>
              <w:t xml:space="preserve">Dynamic contextual input and evidence</w:t>
            </w:r>
          </w:p>
        </w:tc>
      </w:tr>
      <w:tr>
        <w:tc>
          <w:tcPr/>
          <w:p>
            <w:pPr>
              <w:pStyle w:val="Compact"/>
            </w:pPr>
            <w:r>
              <w:t xml:space="preserve">Reputation</w:t>
            </w:r>
          </w:p>
        </w:tc>
        <w:tc>
          <w:tcPr/>
          <w:p>
            <w:pPr>
              <w:pStyle w:val="Compact"/>
            </w:pPr>
            <w:r>
              <w:t xml:space="preserve">Collective assessment of historical behavior</w:t>
            </w:r>
          </w:p>
        </w:tc>
      </w:tr>
      <w:tr>
        <w:tc>
          <w:tcPr/>
          <w:p>
            <w:pPr>
              <w:pStyle w:val="Compact"/>
            </w:pPr>
            <w:r>
              <w:t xml:space="preserve">Security</w:t>
            </w:r>
          </w:p>
        </w:tc>
        <w:tc>
          <w:tcPr/>
          <w:p>
            <w:pPr>
              <w:pStyle w:val="Compact"/>
            </w:pPr>
            <w:r>
              <w:t xml:space="preserve">Effectiveness of security and response mechanisms</w:t>
            </w:r>
          </w:p>
        </w:tc>
      </w:tr>
      <w:tr>
        <w:tc>
          <w:tcPr/>
          <w:p>
            <w:pPr>
              <w:pStyle w:val="Compact"/>
            </w:pPr>
            <w:r>
              <w:t xml:space="preserve">Quality of service</w:t>
            </w:r>
          </w:p>
        </w:tc>
        <w:tc>
          <w:tcPr/>
          <w:p>
            <w:pPr>
              <w:pStyle w:val="Compact"/>
            </w:pPr>
            <w:r>
              <w:t xml:space="preserve">Continuity, availability, and degradation</w:t>
            </w:r>
          </w:p>
        </w:tc>
      </w:tr>
      <w:tr>
        <w:tc>
          <w:tcPr/>
          <w:p>
            <w:pPr>
              <w:pStyle w:val="Compact"/>
            </w:pPr>
            <w:r>
              <w:t xml:space="preserve">Trustworthy or untrustworthy classification</w:t>
            </w:r>
          </w:p>
        </w:tc>
        <w:tc>
          <w:tcPr/>
          <w:p>
            <w:pPr>
              <w:pStyle w:val="Compact"/>
            </w:pPr>
            <w:r>
              <w:t xml:space="preserve">Gradual resilience value and resilience level</w:t>
            </w:r>
          </w:p>
        </w:tc>
      </w:tr>
      <w:tr>
        <w:tc>
          <w:tcPr/>
          <w:p>
            <w:pPr>
              <w:pStyle w:val="Compact"/>
            </w:pPr>
            <w:r>
              <w:t xml:space="preserve">Recommender weight</w:t>
            </w:r>
          </w:p>
        </w:tc>
        <w:tc>
          <w:tcPr/>
          <w:p>
            <w:pPr>
              <w:pStyle w:val="Compact"/>
            </w:pPr>
            <w:r>
              <w:t xml:space="preserve">Source credibility and contextual relevance</w:t>
            </w:r>
          </w:p>
        </w:tc>
      </w:tr>
      <w:tr>
        <w:tc>
          <w:tcPr/>
          <w:p>
            <w:pPr>
              <w:pStyle w:val="Compact"/>
            </w:pPr>
            <w:r>
              <w:t xml:space="preserve">Transaction-based update</w:t>
            </w:r>
          </w:p>
        </w:tc>
        <w:tc>
          <w:tcPr/>
          <w:p>
            <w:pPr>
              <w:pStyle w:val="Compact"/>
            </w:pPr>
            <w:r>
              <w:t xml:space="preserve">Update before, during, and after an attack</w:t>
            </w:r>
          </w:p>
        </w:tc>
      </w:tr>
    </w:tbl>
    <w:bookmarkStart w:id="78" w:name="reusable-principles"/>
    <w:p>
      <w:pPr>
        <w:pStyle w:val="Heading2"/>
      </w:pPr>
      <w:r>
        <w:t xml:space="preserve">15.1 Reusable Principles</w:t>
      </w:r>
    </w:p>
    <w:p>
      <w:pPr>
        <w:pStyle w:val="FirstParagraph"/>
      </w:pPr>
      <w:r>
        <w:t xml:space="preserve">The resilience indicator may reuse the following principles:</w:t>
      </w:r>
    </w:p>
    <w:p>
      <w:pPr>
        <w:pStyle w:val="Compact"/>
        <w:numPr>
          <w:ilvl w:val="0"/>
          <w:numId w:val="1037"/>
        </w:numPr>
      </w:pPr>
      <w:r>
        <w:t xml:space="preserve">Historical evidence.</w:t>
      </w:r>
    </w:p>
    <w:p>
      <w:pPr>
        <w:pStyle w:val="Compact"/>
        <w:numPr>
          <w:ilvl w:val="0"/>
          <w:numId w:val="1037"/>
        </w:numPr>
      </w:pPr>
      <w:r>
        <w:t xml:space="preserve">Multidimensional evaluation.</w:t>
      </w:r>
    </w:p>
    <w:p>
      <w:pPr>
        <w:pStyle w:val="Compact"/>
        <w:numPr>
          <w:ilvl w:val="0"/>
          <w:numId w:val="1037"/>
        </w:numPr>
      </w:pPr>
      <w:r>
        <w:t xml:space="preserve">Differentiation between direct trust and reputation.</w:t>
      </w:r>
    </w:p>
    <w:p>
      <w:pPr>
        <w:pStyle w:val="Compact"/>
        <w:numPr>
          <w:ilvl w:val="0"/>
          <w:numId w:val="1037"/>
        </w:numPr>
      </w:pPr>
      <w:r>
        <w:t xml:space="preserve">Weighting of information sources.</w:t>
      </w:r>
    </w:p>
    <w:p>
      <w:pPr>
        <w:pStyle w:val="Compact"/>
        <w:numPr>
          <w:ilvl w:val="0"/>
          <w:numId w:val="1037"/>
        </w:numPr>
      </w:pPr>
      <w:r>
        <w:t xml:space="preserve">Normalization.</w:t>
      </w:r>
    </w:p>
    <w:p>
      <w:pPr>
        <w:pStyle w:val="Compact"/>
        <w:numPr>
          <w:ilvl w:val="0"/>
          <w:numId w:val="1037"/>
        </w:numPr>
      </w:pPr>
      <w:r>
        <w:t xml:space="preserve">Threshold-based classification.</w:t>
      </w:r>
    </w:p>
    <w:p>
      <w:pPr>
        <w:pStyle w:val="Compact"/>
        <w:numPr>
          <w:ilvl w:val="0"/>
          <w:numId w:val="1037"/>
        </w:numPr>
      </w:pPr>
      <w:r>
        <w:t xml:space="preserve">Dynamic updating.</w:t>
      </w:r>
    </w:p>
    <w:p>
      <w:pPr>
        <w:pStyle w:val="Compact"/>
        <w:numPr>
          <w:ilvl w:val="0"/>
          <w:numId w:val="1037"/>
        </w:numPr>
      </w:pPr>
      <w:r>
        <w:t xml:space="preserve">Traceability of the calculation.</w:t>
      </w:r>
    </w:p>
    <w:bookmarkEnd w:id="78"/>
    <w:bookmarkStart w:id="79" w:name="X357023372671d4942a78ac8abff14ea0d68b009"/>
    <w:p>
      <w:pPr>
        <w:pStyle w:val="Heading2"/>
      </w:pPr>
      <w:r>
        <w:t xml:space="preserve">15.2 Elements That Must Not Be Reused Automatically</w:t>
      </w:r>
    </w:p>
    <w:p>
      <w:pPr>
        <w:pStyle w:val="FirstParagraph"/>
      </w:pPr>
      <w:r>
        <w:t xml:space="preserve">The following elements must not be transferred without additional validation:</w:t>
      </w:r>
    </w:p>
    <w:p>
      <w:pPr>
        <w:pStyle w:val="Compact"/>
        <w:numPr>
          <w:ilvl w:val="0"/>
          <w:numId w:val="1038"/>
        </w:numPr>
      </w:pPr>
      <w:r>
        <w:t xml:space="preserve">Fixed numerical scores.</w:t>
      </w:r>
    </w:p>
    <w:p>
      <w:pPr>
        <w:pStyle w:val="Compact"/>
        <w:numPr>
          <w:ilvl w:val="0"/>
          <w:numId w:val="1038"/>
        </w:numPr>
      </w:pPr>
      <w:r>
        <w:t xml:space="preserve">Binary trustworthy/untrustworthy classification.</w:t>
      </w:r>
    </w:p>
    <w:p>
      <w:pPr>
        <w:pStyle w:val="Compact"/>
        <w:numPr>
          <w:ilvl w:val="0"/>
          <w:numId w:val="1038"/>
        </w:numPr>
      </w:pPr>
      <w:r>
        <w:t xml:space="preserve">Independence assumptions between dimensions.</w:t>
      </w:r>
    </w:p>
    <w:p>
      <w:pPr>
        <w:pStyle w:val="Compact"/>
        <w:numPr>
          <w:ilvl w:val="0"/>
          <w:numId w:val="1038"/>
        </w:numPr>
      </w:pPr>
      <w:r>
        <w:t xml:space="preserve">Fixed weights.</w:t>
      </w:r>
    </w:p>
    <w:p>
      <w:pPr>
        <w:pStyle w:val="Compact"/>
        <w:numPr>
          <w:ilvl w:val="0"/>
          <w:numId w:val="1038"/>
        </w:numPr>
      </w:pPr>
      <w:r>
        <w:t xml:space="preserve">Fixed thresholds.</w:t>
      </w:r>
    </w:p>
    <w:p>
      <w:pPr>
        <w:pStyle w:val="Compact"/>
        <w:numPr>
          <w:ilvl w:val="0"/>
          <w:numId w:val="1038"/>
        </w:numPr>
      </w:pPr>
      <w:r>
        <w:t xml:space="preserve">Dependence on a single security technology.</w:t>
      </w:r>
    </w:p>
    <w:p>
      <w:pPr>
        <w:pStyle w:val="Compact"/>
        <w:numPr>
          <w:ilvl w:val="0"/>
          <w:numId w:val="1038"/>
        </w:numPr>
      </w:pPr>
      <w:r>
        <w:t xml:space="preserve">Dependence exclusively on DAG or AES.</w:t>
      </w:r>
    </w:p>
    <w:p>
      <w:r>
        <w:pict>
          <v:rect style="width:0;height:1.5pt" o:hralign="center" o:hrstd="t" o:hr="t"/>
        </w:pict>
      </w:r>
    </w:p>
    <w:bookmarkEnd w:id="79"/>
    <w:bookmarkEnd w:id="80"/>
    <w:bookmarkStart w:id="81" w:name="X2f20864512acce3be82c42264251743d5398fee"/>
    <w:p>
      <w:pPr>
        <w:pStyle w:val="Heading1"/>
      </w:pPr>
      <w:r>
        <w:t xml:space="preserve">16. Initial Conceptual Structure of the Resilience Indicator</w:t>
      </w:r>
    </w:p>
    <w:p>
      <w:pPr>
        <w:pStyle w:val="FirstParagraph"/>
      </w:pPr>
      <w:r>
        <w:t xml:space="preserve">The initial conceptual structure is:</w:t>
      </w:r>
    </w:p>
    <w:p>
      <w:pPr>
        <w:pStyle w:val="BodyText"/>
      </w:pPr>
      <w:r>
        <w:rPr>
          <w:rStyle w:val="VerbatimChar"/>
        </w:rPr>
        <w:t xml:space="preserve">IR_SIoT = F(Identification, Absorption, Resistance, Recovery, Adaptation | Context, Trust, Reputation)</w:t>
      </w:r>
    </w:p>
    <w:p>
      <w:pPr>
        <w:pStyle w:val="BodyText"/>
      </w:pPr>
      <w:r>
        <w:t xml:space="preserve">Where:</w:t>
      </w:r>
    </w:p>
    <w:p>
      <w:pPr>
        <w:pStyle w:val="Compact"/>
        <w:numPr>
          <w:ilvl w:val="0"/>
          <w:numId w:val="1039"/>
        </w:numPr>
      </w:pPr>
      <w:r>
        <w:rPr>
          <w:rStyle w:val="VerbatimChar"/>
        </w:rPr>
        <w:t xml:space="preserve">IR_SIoT</w:t>
      </w:r>
      <w:r>
        <w:t xml:space="preserve"> </w:t>
      </w:r>
      <w:r>
        <w:t xml:space="preserve">represents the resilience indicator for a SIoT network.</w:t>
      </w:r>
    </w:p>
    <w:p>
      <w:pPr>
        <w:pStyle w:val="Compact"/>
        <w:numPr>
          <w:ilvl w:val="0"/>
          <w:numId w:val="1039"/>
        </w:numPr>
      </w:pPr>
      <w:r>
        <w:rPr>
          <w:rStyle w:val="VerbatimChar"/>
        </w:rPr>
        <w:t xml:space="preserve">Identification</w:t>
      </w:r>
      <w:r>
        <w:t xml:space="preserve"> </w:t>
      </w:r>
      <w:r>
        <w:t xml:space="preserve">represents the capability to detect or recognize an attack.</w:t>
      </w:r>
    </w:p>
    <w:p>
      <w:pPr>
        <w:pStyle w:val="Compact"/>
        <w:numPr>
          <w:ilvl w:val="0"/>
          <w:numId w:val="1039"/>
        </w:numPr>
      </w:pPr>
      <w:r>
        <w:rPr>
          <w:rStyle w:val="VerbatimChar"/>
        </w:rPr>
        <w:t xml:space="preserve">Absorption</w:t>
      </w:r>
      <w:r>
        <w:t xml:space="preserve"> </w:t>
      </w:r>
      <w:r>
        <w:t xml:space="preserve">represents the capability to absorb part of the impact.</w:t>
      </w:r>
    </w:p>
    <w:p>
      <w:pPr>
        <w:pStyle w:val="Compact"/>
        <w:numPr>
          <w:ilvl w:val="0"/>
          <w:numId w:val="1039"/>
        </w:numPr>
      </w:pPr>
      <w:r>
        <w:rPr>
          <w:rStyle w:val="VerbatimChar"/>
        </w:rPr>
        <w:t xml:space="preserve">Resistance</w:t>
      </w:r>
      <w:r>
        <w:t xml:space="preserve"> </w:t>
      </w:r>
      <w:r>
        <w:t xml:space="preserve">represents the capability to maintain essential services during the attack.</w:t>
      </w:r>
    </w:p>
    <w:p>
      <w:pPr>
        <w:pStyle w:val="Compact"/>
        <w:numPr>
          <w:ilvl w:val="0"/>
          <w:numId w:val="1039"/>
        </w:numPr>
      </w:pPr>
      <w:r>
        <w:rPr>
          <w:rStyle w:val="VerbatimChar"/>
        </w:rPr>
        <w:t xml:space="preserve">Recovery</w:t>
      </w:r>
      <w:r>
        <w:t xml:space="preserve"> </w:t>
      </w:r>
      <w:r>
        <w:t xml:space="preserve">represents the capability to restore the expected operational state.</w:t>
      </w:r>
    </w:p>
    <w:p>
      <w:pPr>
        <w:pStyle w:val="Compact"/>
        <w:numPr>
          <w:ilvl w:val="0"/>
          <w:numId w:val="1039"/>
        </w:numPr>
      </w:pPr>
      <w:r>
        <w:rPr>
          <w:rStyle w:val="VerbatimChar"/>
        </w:rPr>
        <w:t xml:space="preserve">Adaptation</w:t>
      </w:r>
      <w:r>
        <w:t xml:space="preserve"> </w:t>
      </w:r>
      <w:r>
        <w:t xml:space="preserve">represents the capability to modify the system after the incident.</w:t>
      </w:r>
    </w:p>
    <w:p>
      <w:pPr>
        <w:pStyle w:val="Compact"/>
        <w:numPr>
          <w:ilvl w:val="0"/>
          <w:numId w:val="1039"/>
        </w:numPr>
      </w:pPr>
      <w:r>
        <w:rPr>
          <w:rStyle w:val="VerbatimChar"/>
        </w:rPr>
        <w:t xml:space="preserve">Context</w:t>
      </w:r>
      <w:r>
        <w:t xml:space="preserve"> </w:t>
      </w:r>
      <w:r>
        <w:t xml:space="preserve">represents the conditions under which the evaluation occurs.</w:t>
      </w:r>
    </w:p>
    <w:p>
      <w:pPr>
        <w:pStyle w:val="Compact"/>
        <w:numPr>
          <w:ilvl w:val="0"/>
          <w:numId w:val="1039"/>
        </w:numPr>
      </w:pPr>
      <w:r>
        <w:rPr>
          <w:rStyle w:val="VerbatimChar"/>
        </w:rPr>
        <w:t xml:space="preserve">Trust</w:t>
      </w:r>
      <w:r>
        <w:t xml:space="preserve"> </w:t>
      </w:r>
      <w:r>
        <w:t xml:space="preserve">represents contextual assessments based mainly on direct evidence.</w:t>
      </w:r>
    </w:p>
    <w:p>
      <w:pPr>
        <w:pStyle w:val="Compact"/>
        <w:numPr>
          <w:ilvl w:val="0"/>
          <w:numId w:val="1039"/>
        </w:numPr>
      </w:pPr>
      <w:r>
        <w:rPr>
          <w:rStyle w:val="VerbatimChar"/>
        </w:rPr>
        <w:t xml:space="preserve">Reputation</w:t>
      </w:r>
      <w:r>
        <w:t xml:space="preserve"> </w:t>
      </w:r>
      <w:r>
        <w:t xml:space="preserve">represents contextual assessments based mainly on information provided by other entities.</w:t>
      </w:r>
    </w:p>
    <w:p>
      <w:pPr>
        <w:pStyle w:val="FirstParagraph"/>
      </w:pPr>
      <w:r>
        <w:t xml:space="preserve">This expression is a conceptual requirement and not an approved mathematical formula.</w:t>
      </w:r>
    </w:p>
    <w:p>
      <w:pPr>
        <w:pStyle w:val="BodyText"/>
      </w:pPr>
      <w:r>
        <w:t xml:space="preserve">The definitive definition of the following elements must be grounded in the systematic literature review, the previous indicator, evaluation scenarios, empirical evidence, and expert validation:</w:t>
      </w:r>
    </w:p>
    <w:p>
      <w:pPr>
        <w:pStyle w:val="Compact"/>
        <w:numPr>
          <w:ilvl w:val="0"/>
          <w:numId w:val="1040"/>
        </w:numPr>
      </w:pPr>
      <w:r>
        <w:t xml:space="preserve">Variables.</w:t>
      </w:r>
    </w:p>
    <w:p>
      <w:pPr>
        <w:pStyle w:val="Compact"/>
        <w:numPr>
          <w:ilvl w:val="0"/>
          <w:numId w:val="1040"/>
        </w:numPr>
      </w:pPr>
      <w:r>
        <w:t xml:space="preserve">Metrics.</w:t>
      </w:r>
    </w:p>
    <w:p>
      <w:pPr>
        <w:pStyle w:val="Compact"/>
        <w:numPr>
          <w:ilvl w:val="0"/>
          <w:numId w:val="1040"/>
        </w:numPr>
      </w:pPr>
      <w:r>
        <w:t xml:space="preserve">Measurement scales.</w:t>
      </w:r>
    </w:p>
    <w:p>
      <w:pPr>
        <w:pStyle w:val="Compact"/>
        <w:numPr>
          <w:ilvl w:val="0"/>
          <w:numId w:val="1040"/>
        </w:numPr>
      </w:pPr>
      <w:r>
        <w:t xml:space="preserve">Normalization mechanisms.</w:t>
      </w:r>
    </w:p>
    <w:p>
      <w:pPr>
        <w:pStyle w:val="Compact"/>
        <w:numPr>
          <w:ilvl w:val="0"/>
          <w:numId w:val="1040"/>
        </w:numPr>
      </w:pPr>
      <w:r>
        <w:t xml:space="preserve">Weights.</w:t>
      </w:r>
    </w:p>
    <w:p>
      <w:pPr>
        <w:pStyle w:val="Compact"/>
        <w:numPr>
          <w:ilvl w:val="0"/>
          <w:numId w:val="1040"/>
        </w:numPr>
      </w:pPr>
      <w:r>
        <w:t xml:space="preserve">Aggregation functions.</w:t>
      </w:r>
    </w:p>
    <w:p>
      <w:pPr>
        <w:pStyle w:val="Compact"/>
        <w:numPr>
          <w:ilvl w:val="0"/>
          <w:numId w:val="1040"/>
        </w:numPr>
      </w:pPr>
      <w:r>
        <w:t xml:space="preserve">Scores.</w:t>
      </w:r>
    </w:p>
    <w:p>
      <w:pPr>
        <w:pStyle w:val="Compact"/>
        <w:numPr>
          <w:ilvl w:val="0"/>
          <w:numId w:val="1040"/>
        </w:numPr>
      </w:pPr>
      <w:r>
        <w:t xml:space="preserve">Thresholds.</w:t>
      </w:r>
    </w:p>
    <w:p>
      <w:pPr>
        <w:pStyle w:val="Compact"/>
        <w:numPr>
          <w:ilvl w:val="0"/>
          <w:numId w:val="1040"/>
        </w:numPr>
      </w:pPr>
      <w:r>
        <w:t xml:space="preserve">Classification levels.</w:t>
      </w:r>
    </w:p>
    <w:p>
      <w:pPr>
        <w:pStyle w:val="Compact"/>
        <w:numPr>
          <w:ilvl w:val="0"/>
          <w:numId w:val="1040"/>
        </w:numPr>
      </w:pPr>
      <w:r>
        <w:t xml:space="preserve">Missing-data treatment.</w:t>
      </w:r>
    </w:p>
    <w:p>
      <w:pPr>
        <w:pStyle w:val="Compact"/>
        <w:numPr>
          <w:ilvl w:val="0"/>
          <w:numId w:val="1040"/>
        </w:numPr>
      </w:pPr>
      <w:r>
        <w:t xml:space="preserve">Temporal update mechanisms.</w:t>
      </w:r>
    </w:p>
    <w:p>
      <w:pPr>
        <w:pStyle w:val="Compact"/>
        <w:numPr>
          <w:ilvl w:val="0"/>
          <w:numId w:val="1040"/>
        </w:numPr>
      </w:pPr>
      <w:r>
        <w:t xml:space="preserve">Evidence-quality treatment.</w:t>
      </w:r>
    </w:p>
    <w:p>
      <w:r>
        <w:pict>
          <v:rect style="width:0;height:1.5pt" o:hralign="center" o:hrstd="t" o:hr="t"/>
        </w:pict>
      </w:r>
    </w:p>
    <w:bookmarkEnd w:id="81"/>
    <w:bookmarkStart w:id="111" w:name="competency-questions"/>
    <w:p>
      <w:pPr>
        <w:pStyle w:val="Heading1"/>
      </w:pPr>
      <w:r>
        <w:t xml:space="preserve">17. Competency Questions</w:t>
      </w:r>
    </w:p>
    <w:p>
      <w:pPr>
        <w:pStyle w:val="FirstParagraph"/>
      </w:pPr>
      <w:r>
        <w:t xml:space="preserve">The English questions are normative. Spanish questions are informative semantic translations.</w:t>
      </w:r>
    </w:p>
    <w:bookmarkStart w:id="86" w:name="X384d02426e96a1c887e5d43ba83c9f8643f1ece"/>
    <w:p>
      <w:pPr>
        <w:pStyle w:val="Heading2"/>
      </w:pPr>
      <w:r>
        <w:t xml:space="preserve">Group A — SIoT Network, Objects, and Interactions</w:t>
      </w:r>
    </w:p>
    <w:bookmarkStart w:id="82" w:name="cq01"/>
    <w:p>
      <w:pPr>
        <w:pStyle w:val="Heading3"/>
      </w:pPr>
      <w:r>
        <w:t xml:space="preserve">CQ01</w:t>
      </w:r>
    </w:p>
    <w:p>
      <w:pPr>
        <w:pStyle w:val="FirstParagraph"/>
      </w:pPr>
      <w:r>
        <w:rPr>
          <w:b/>
          <w:bCs/>
        </w:rPr>
        <w:t xml:space="preserve">English:</w:t>
      </w:r>
      <w:r>
        <w:t xml:space="preserve"> </w:t>
      </w:r>
      <w:r>
        <w:t xml:space="preserve">Which smart objects are part of the evaluated SIoT network?</w:t>
      </w:r>
    </w:p>
    <w:p>
      <w:pPr>
        <w:pStyle w:val="BodyText"/>
      </w:pPr>
      <w:r>
        <w:rPr>
          <w:b/>
          <w:bCs/>
        </w:rPr>
        <w:t xml:space="preserve">Español:</w:t>
      </w:r>
      <w:r>
        <w:t xml:space="preserve"> </w:t>
      </w:r>
      <w:r>
        <w:t xml:space="preserve">¿Qué objetos inteligentes forman parte de la red SIoT evaluada?</w:t>
      </w:r>
    </w:p>
    <w:bookmarkEnd w:id="82"/>
    <w:bookmarkStart w:id="83" w:name="cq02"/>
    <w:p>
      <w:pPr>
        <w:pStyle w:val="Heading3"/>
      </w:pPr>
      <w:r>
        <w:t xml:space="preserve">CQ02</w:t>
      </w:r>
    </w:p>
    <w:p>
      <w:pPr>
        <w:pStyle w:val="FirstParagraph"/>
      </w:pPr>
      <w:r>
        <w:rPr>
          <w:b/>
          <w:bCs/>
        </w:rPr>
        <w:t xml:space="preserve">English:</w:t>
      </w:r>
      <w:r>
        <w:t xml:space="preserve"> </w:t>
      </w:r>
      <w:r>
        <w:t xml:space="preserve">Which services are provided or consumed by the smart objects?</w:t>
      </w:r>
    </w:p>
    <w:p>
      <w:pPr>
        <w:pStyle w:val="BodyText"/>
      </w:pPr>
      <w:r>
        <w:rPr>
          <w:b/>
          <w:bCs/>
        </w:rPr>
        <w:t xml:space="preserve">Español:</w:t>
      </w:r>
      <w:r>
        <w:t xml:space="preserve"> </w:t>
      </w:r>
      <w:r>
        <w:t xml:space="preserve">¿Qué servicios ofrecen o consumen los objetos inteligentes?</w:t>
      </w:r>
    </w:p>
    <w:bookmarkEnd w:id="83"/>
    <w:bookmarkStart w:id="84" w:name="cq03"/>
    <w:p>
      <w:pPr>
        <w:pStyle w:val="Heading3"/>
      </w:pPr>
      <w:r>
        <w:t xml:space="preserve">CQ03</w:t>
      </w:r>
    </w:p>
    <w:p>
      <w:pPr>
        <w:pStyle w:val="FirstParagraph"/>
      </w:pPr>
      <w:r>
        <w:rPr>
          <w:b/>
          <w:bCs/>
        </w:rPr>
        <w:t xml:space="preserve">English:</w:t>
      </w:r>
      <w:r>
        <w:t xml:space="preserve"> </w:t>
      </w:r>
      <w:r>
        <w:t xml:space="preserve">Which interaction occurred, between which objects, and under which social relationship?</w:t>
      </w:r>
    </w:p>
    <w:p>
      <w:pPr>
        <w:pStyle w:val="BodyText"/>
      </w:pPr>
      <w:r>
        <w:rPr>
          <w:b/>
          <w:bCs/>
        </w:rPr>
        <w:t xml:space="preserve">Español:</w:t>
      </w:r>
      <w:r>
        <w:t xml:space="preserve"> </w:t>
      </w:r>
      <w:r>
        <w:t xml:space="preserve">¿Qué interacción ocurrió, entre qué objetos y bajo qué relación social?</w:t>
      </w:r>
    </w:p>
    <w:bookmarkEnd w:id="84"/>
    <w:bookmarkStart w:id="85" w:name="cq04"/>
    <w:p>
      <w:pPr>
        <w:pStyle w:val="Heading3"/>
      </w:pPr>
      <w:r>
        <w:t xml:space="preserve">CQ04</w:t>
      </w:r>
    </w:p>
    <w:p>
      <w:pPr>
        <w:pStyle w:val="FirstParagraph"/>
      </w:pPr>
      <w:r>
        <w:rPr>
          <w:b/>
          <w:bCs/>
        </w:rPr>
        <w:t xml:space="preserve">English:</w:t>
      </w:r>
      <w:r>
        <w:t xml:space="preserve"> </w:t>
      </w:r>
      <w:r>
        <w:t xml:space="preserve">What was the technical, social, temporal, spatial, service-related, physical, and security context?</w:t>
      </w:r>
    </w:p>
    <w:p>
      <w:pPr>
        <w:pStyle w:val="BodyText"/>
      </w:pPr>
      <w:r>
        <w:rPr>
          <w:b/>
          <w:bCs/>
        </w:rPr>
        <w:t xml:space="preserve">Español:</w:t>
      </w:r>
      <w:r>
        <w:t xml:space="preserve"> </w:t>
      </w:r>
      <w:r>
        <w:t xml:space="preserve">¿Cuál fue el contexto técnico, social, temporal, espacial, físico, de servicio y de seguridad?</w:t>
      </w:r>
    </w:p>
    <w:bookmarkEnd w:id="85"/>
    <w:bookmarkEnd w:id="86"/>
    <w:bookmarkStart w:id="92" w:name="group-b-trust-and-reputation"/>
    <w:p>
      <w:pPr>
        <w:pStyle w:val="Heading2"/>
      </w:pPr>
      <w:r>
        <w:t xml:space="preserve">Group B — Trust and Reputation</w:t>
      </w:r>
    </w:p>
    <w:bookmarkStart w:id="87" w:name="cq05"/>
    <w:p>
      <w:pPr>
        <w:pStyle w:val="Heading3"/>
      </w:pPr>
      <w:r>
        <w:t xml:space="preserve">CQ05</w:t>
      </w:r>
    </w:p>
    <w:p>
      <w:pPr>
        <w:pStyle w:val="FirstParagraph"/>
      </w:pPr>
      <w:r>
        <w:rPr>
          <w:b/>
          <w:bCs/>
        </w:rPr>
        <w:t xml:space="preserve">English:</w:t>
      </w:r>
      <w:r>
        <w:t xml:space="preserve"> </w:t>
      </w:r>
      <w:r>
        <w:t xml:space="preserve">What is the trust value of an object for a given service, context, and time?</w:t>
      </w:r>
    </w:p>
    <w:p>
      <w:pPr>
        <w:pStyle w:val="BodyText"/>
      </w:pPr>
      <w:r>
        <w:rPr>
          <w:b/>
          <w:bCs/>
        </w:rPr>
        <w:t xml:space="preserve">Español:</w:t>
      </w:r>
      <w:r>
        <w:t xml:space="preserve"> </w:t>
      </w:r>
      <w:r>
        <w:t xml:space="preserve">¿Cuál es el valor de confianza de un objeto para un servicio, contexto y momento determinados?</w:t>
      </w:r>
    </w:p>
    <w:bookmarkEnd w:id="87"/>
    <w:bookmarkStart w:id="88" w:name="cq06"/>
    <w:p>
      <w:pPr>
        <w:pStyle w:val="Heading3"/>
      </w:pPr>
      <w:r>
        <w:t xml:space="preserve">CQ06</w:t>
      </w:r>
    </w:p>
    <w:p>
      <w:pPr>
        <w:pStyle w:val="FirstParagraph"/>
      </w:pPr>
      <w:r>
        <w:rPr>
          <w:b/>
          <w:bCs/>
        </w:rPr>
        <w:t xml:space="preserve">English:</w:t>
      </w:r>
      <w:r>
        <w:t xml:space="preserve"> </w:t>
      </w:r>
      <w:r>
        <w:t xml:space="preserve">Which direct experiences support that trust value?</w:t>
      </w:r>
    </w:p>
    <w:p>
      <w:pPr>
        <w:pStyle w:val="BodyText"/>
      </w:pPr>
      <w:r>
        <w:rPr>
          <w:b/>
          <w:bCs/>
        </w:rPr>
        <w:t xml:space="preserve">Español:</w:t>
      </w:r>
      <w:r>
        <w:t xml:space="preserve"> </w:t>
      </w:r>
      <w:r>
        <w:t xml:space="preserve">¿Qué experiencias directas sustentan ese valor de confianza?</w:t>
      </w:r>
    </w:p>
    <w:bookmarkEnd w:id="88"/>
    <w:bookmarkStart w:id="89" w:name="cq07"/>
    <w:p>
      <w:pPr>
        <w:pStyle w:val="Heading3"/>
      </w:pPr>
      <w:r>
        <w:t xml:space="preserve">CQ07</w:t>
      </w:r>
    </w:p>
    <w:p>
      <w:pPr>
        <w:pStyle w:val="FirstParagraph"/>
      </w:pPr>
      <w:r>
        <w:rPr>
          <w:b/>
          <w:bCs/>
        </w:rPr>
        <w:t xml:space="preserve">English:</w:t>
      </w:r>
      <w:r>
        <w:t xml:space="preserve"> </w:t>
      </w:r>
      <w:r>
        <w:t xml:space="preserve">What is the local or global reputation of the evaluated object?</w:t>
      </w:r>
    </w:p>
    <w:p>
      <w:pPr>
        <w:pStyle w:val="BodyText"/>
      </w:pPr>
      <w:r>
        <w:rPr>
          <w:b/>
          <w:bCs/>
        </w:rPr>
        <w:t xml:space="preserve">Español:</w:t>
      </w:r>
      <w:r>
        <w:t xml:space="preserve"> </w:t>
      </w:r>
      <w:r>
        <w:t xml:space="preserve">¿Cuál es la reputación local o global del objeto evaluado?</w:t>
      </w:r>
    </w:p>
    <w:bookmarkEnd w:id="89"/>
    <w:bookmarkStart w:id="90" w:name="cq08"/>
    <w:p>
      <w:pPr>
        <w:pStyle w:val="Heading3"/>
      </w:pPr>
      <w:r>
        <w:t xml:space="preserve">CQ08</w:t>
      </w:r>
    </w:p>
    <w:p>
      <w:pPr>
        <w:pStyle w:val="FirstParagraph"/>
      </w:pPr>
      <w:r>
        <w:rPr>
          <w:b/>
          <w:bCs/>
        </w:rPr>
        <w:t xml:space="preserve">English:</w:t>
      </w:r>
      <w:r>
        <w:t xml:space="preserve"> </w:t>
      </w:r>
      <w:r>
        <w:t xml:space="preserve">Which objects issued recommendations and what is their credibility?</w:t>
      </w:r>
    </w:p>
    <w:p>
      <w:pPr>
        <w:pStyle w:val="BodyText"/>
      </w:pPr>
      <w:r>
        <w:rPr>
          <w:b/>
          <w:bCs/>
        </w:rPr>
        <w:t xml:space="preserve">Español:</w:t>
      </w:r>
      <w:r>
        <w:t xml:space="preserve"> </w:t>
      </w:r>
      <w:r>
        <w:t xml:space="preserve">¿Qué objetos emitieron recomendaciones y cuál es su credibilidad?</w:t>
      </w:r>
    </w:p>
    <w:bookmarkEnd w:id="90"/>
    <w:bookmarkStart w:id="91" w:name="cq09"/>
    <w:p>
      <w:pPr>
        <w:pStyle w:val="Heading3"/>
      </w:pPr>
      <w:r>
        <w:t xml:space="preserve">CQ09</w:t>
      </w:r>
    </w:p>
    <w:p>
      <w:pPr>
        <w:pStyle w:val="FirstParagraph"/>
      </w:pPr>
      <w:r>
        <w:rPr>
          <w:b/>
          <w:bCs/>
        </w:rPr>
        <w:t xml:space="preserve">English:</w:t>
      </w:r>
      <w:r>
        <w:t xml:space="preserve"> </w:t>
      </w:r>
      <w:r>
        <w:t xml:space="preserve">Which evidence indicates inconsistent, opportunistic, discriminatory, collusive, or malicious behavior?</w:t>
      </w:r>
    </w:p>
    <w:p>
      <w:pPr>
        <w:pStyle w:val="BodyText"/>
      </w:pPr>
      <w:r>
        <w:rPr>
          <w:b/>
          <w:bCs/>
        </w:rPr>
        <w:t xml:space="preserve">Español:</w:t>
      </w:r>
      <w:r>
        <w:t xml:space="preserve"> </w:t>
      </w:r>
      <w:r>
        <w:t xml:space="preserve">¿Qué evidencias indican comportamiento inconsistente, oportunista, discriminatorio, colusivo o malicioso?</w:t>
      </w:r>
    </w:p>
    <w:bookmarkEnd w:id="91"/>
    <w:bookmarkEnd w:id="92"/>
    <w:bookmarkStart w:id="97" w:name="group-c-threats-cyberattacks-and-impacts"/>
    <w:p>
      <w:pPr>
        <w:pStyle w:val="Heading2"/>
      </w:pPr>
      <w:r>
        <w:t xml:space="preserve">Group C — Threats, Cyberattacks, and Impacts</w:t>
      </w:r>
    </w:p>
    <w:bookmarkStart w:id="93" w:name="cq10"/>
    <w:p>
      <w:pPr>
        <w:pStyle w:val="Heading3"/>
      </w:pPr>
      <w:r>
        <w:t xml:space="preserve">CQ10</w:t>
      </w:r>
    </w:p>
    <w:p>
      <w:pPr>
        <w:pStyle w:val="FirstParagraph"/>
      </w:pPr>
      <w:r>
        <w:rPr>
          <w:b/>
          <w:bCs/>
        </w:rPr>
        <w:t xml:space="preserve">English:</w:t>
      </w:r>
      <w:r>
        <w:t xml:space="preserve"> </w:t>
      </w:r>
      <w:r>
        <w:t xml:space="preserve">Which cyberattack occurred and which vulnerability was exploited?</w:t>
      </w:r>
    </w:p>
    <w:p>
      <w:pPr>
        <w:pStyle w:val="BodyText"/>
      </w:pPr>
      <w:r>
        <w:rPr>
          <w:b/>
          <w:bCs/>
        </w:rPr>
        <w:t xml:space="preserve">Español:</w:t>
      </w:r>
      <w:r>
        <w:t xml:space="preserve"> </w:t>
      </w:r>
      <w:r>
        <w:t xml:space="preserve">¿Qué ciberataque ocurrió y qué vulnerabilidad fue explotada?</w:t>
      </w:r>
    </w:p>
    <w:bookmarkEnd w:id="93"/>
    <w:bookmarkStart w:id="94" w:name="cq11"/>
    <w:p>
      <w:pPr>
        <w:pStyle w:val="Heading3"/>
      </w:pPr>
      <w:r>
        <w:t xml:space="preserve">CQ11</w:t>
      </w:r>
    </w:p>
    <w:p>
      <w:pPr>
        <w:pStyle w:val="FirstParagraph"/>
      </w:pPr>
      <w:r>
        <w:rPr>
          <w:b/>
          <w:bCs/>
        </w:rPr>
        <w:t xml:space="preserve">English:</w:t>
      </w:r>
      <w:r>
        <w:t xml:space="preserve"> </w:t>
      </w:r>
      <w:r>
        <w:t xml:space="preserve">Which objects, services, relationships, interactions, or data were affected?</w:t>
      </w:r>
    </w:p>
    <w:p>
      <w:pPr>
        <w:pStyle w:val="BodyText"/>
      </w:pPr>
      <w:r>
        <w:rPr>
          <w:b/>
          <w:bCs/>
        </w:rPr>
        <w:t xml:space="preserve">Español:</w:t>
      </w:r>
      <w:r>
        <w:t xml:space="preserve"> </w:t>
      </w:r>
      <w:r>
        <w:t xml:space="preserve">¿Qué objetos, servicios, relaciones, interacciones o datos fueron afectados?</w:t>
      </w:r>
    </w:p>
    <w:bookmarkEnd w:id="94"/>
    <w:bookmarkStart w:id="95" w:name="cq12"/>
    <w:p>
      <w:pPr>
        <w:pStyle w:val="Heading3"/>
      </w:pPr>
      <w:r>
        <w:t xml:space="preserve">CQ12</w:t>
      </w:r>
    </w:p>
    <w:p>
      <w:pPr>
        <w:pStyle w:val="FirstParagraph"/>
      </w:pPr>
      <w:r>
        <w:rPr>
          <w:b/>
          <w:bCs/>
        </w:rPr>
        <w:t xml:space="preserve">English:</w:t>
      </w:r>
      <w:r>
        <w:t xml:space="preserve"> </w:t>
      </w:r>
      <w:r>
        <w:t xml:space="preserve">What impact did the attack have on security and quality of service?</w:t>
      </w:r>
    </w:p>
    <w:p>
      <w:pPr>
        <w:pStyle w:val="BodyText"/>
      </w:pPr>
      <w:r>
        <w:rPr>
          <w:b/>
          <w:bCs/>
        </w:rPr>
        <w:t xml:space="preserve">Español:</w:t>
      </w:r>
      <w:r>
        <w:t xml:space="preserve"> </w:t>
      </w:r>
      <w:r>
        <w:t xml:space="preserve">¿Qué impacto produjo el ataque en la seguridad y calidad del servicio?</w:t>
      </w:r>
    </w:p>
    <w:bookmarkEnd w:id="95"/>
    <w:bookmarkStart w:id="96" w:name="cq13"/>
    <w:p>
      <w:pPr>
        <w:pStyle w:val="Heading3"/>
      </w:pPr>
      <w:r>
        <w:t xml:space="preserve">CQ13</w:t>
      </w:r>
    </w:p>
    <w:p>
      <w:pPr>
        <w:pStyle w:val="FirstParagraph"/>
      </w:pPr>
      <w:r>
        <w:rPr>
          <w:b/>
          <w:bCs/>
        </w:rPr>
        <w:t xml:space="preserve">English:</w:t>
      </w:r>
      <w:r>
        <w:t xml:space="preserve"> </w:t>
      </w:r>
      <w:r>
        <w:t xml:space="preserve">Which prevention, detection, mitigation, recovery, or adaptation mechanism was activated?</w:t>
      </w:r>
    </w:p>
    <w:p>
      <w:pPr>
        <w:pStyle w:val="BodyText"/>
      </w:pPr>
      <w:r>
        <w:rPr>
          <w:b/>
          <w:bCs/>
        </w:rPr>
        <w:t xml:space="preserve">Español:</w:t>
      </w:r>
      <w:r>
        <w:t xml:space="preserve"> </w:t>
      </w:r>
      <w:r>
        <w:t xml:space="preserve">¿Qué mecanismo de prevención, detección, mitigación, recuperación o adaptación fue activado?</w:t>
      </w:r>
    </w:p>
    <w:bookmarkEnd w:id="96"/>
    <w:bookmarkEnd w:id="97"/>
    <w:bookmarkStart w:id="103" w:name="group-d-resilience-capabilities"/>
    <w:p>
      <w:pPr>
        <w:pStyle w:val="Heading2"/>
      </w:pPr>
      <w:r>
        <w:t xml:space="preserve">Group D — Resilience Capabilities</w:t>
      </w:r>
    </w:p>
    <w:bookmarkStart w:id="98" w:name="cq14"/>
    <w:p>
      <w:pPr>
        <w:pStyle w:val="Heading3"/>
      </w:pPr>
      <w:r>
        <w:t xml:space="preserve">CQ14</w:t>
      </w:r>
    </w:p>
    <w:p>
      <w:pPr>
        <w:pStyle w:val="FirstParagraph"/>
      </w:pPr>
      <w:r>
        <w:rPr>
          <w:b/>
          <w:bCs/>
        </w:rPr>
        <w:t xml:space="preserve">English:</w:t>
      </w:r>
      <w:r>
        <w:t xml:space="preserve"> </w:t>
      </w:r>
      <w:r>
        <w:t xml:space="preserve">Which evidence demonstrates that the network identified the incident?</w:t>
      </w:r>
    </w:p>
    <w:p>
      <w:pPr>
        <w:pStyle w:val="BodyText"/>
      </w:pPr>
      <w:r>
        <w:rPr>
          <w:b/>
          <w:bCs/>
        </w:rPr>
        <w:t xml:space="preserve">Español:</w:t>
      </w:r>
      <w:r>
        <w:t xml:space="preserve"> </w:t>
      </w:r>
      <w:r>
        <w:t xml:space="preserve">¿Qué evidencia demuestra que la red identificó el incidente?</w:t>
      </w:r>
    </w:p>
    <w:bookmarkEnd w:id="98"/>
    <w:bookmarkStart w:id="99" w:name="cq15"/>
    <w:p>
      <w:pPr>
        <w:pStyle w:val="Heading3"/>
      </w:pPr>
      <w:r>
        <w:t xml:space="preserve">CQ15</w:t>
      </w:r>
    </w:p>
    <w:p>
      <w:pPr>
        <w:pStyle w:val="FirstParagraph"/>
      </w:pPr>
      <w:r>
        <w:rPr>
          <w:b/>
          <w:bCs/>
        </w:rPr>
        <w:t xml:space="preserve">English:</w:t>
      </w:r>
      <w:r>
        <w:t xml:space="preserve"> </w:t>
      </w:r>
      <w:r>
        <w:t xml:space="preserve">Which capability enabled the network to absorb the impact?</w:t>
      </w:r>
    </w:p>
    <w:p>
      <w:pPr>
        <w:pStyle w:val="BodyText"/>
      </w:pPr>
      <w:r>
        <w:rPr>
          <w:b/>
          <w:bCs/>
        </w:rPr>
        <w:t xml:space="preserve">Español:</w:t>
      </w:r>
      <w:r>
        <w:t xml:space="preserve"> </w:t>
      </w:r>
      <w:r>
        <w:t xml:space="preserve">¿Qué capacidad permitió a la red absorber el impacto?</w:t>
      </w:r>
    </w:p>
    <w:bookmarkEnd w:id="99"/>
    <w:bookmarkStart w:id="100" w:name="cq16"/>
    <w:p>
      <w:pPr>
        <w:pStyle w:val="Heading3"/>
      </w:pPr>
      <w:r>
        <w:t xml:space="preserve">CQ16</w:t>
      </w:r>
    </w:p>
    <w:p>
      <w:pPr>
        <w:pStyle w:val="FirstParagraph"/>
      </w:pPr>
      <w:r>
        <w:rPr>
          <w:b/>
          <w:bCs/>
        </w:rPr>
        <w:t xml:space="preserve">English:</w:t>
      </w:r>
      <w:r>
        <w:t xml:space="preserve"> </w:t>
      </w:r>
      <w:r>
        <w:t xml:space="preserve">Which services were maintained and at what degradation level during the attack?</w:t>
      </w:r>
    </w:p>
    <w:p>
      <w:pPr>
        <w:pStyle w:val="BodyText"/>
      </w:pPr>
      <w:r>
        <w:rPr>
          <w:b/>
          <w:bCs/>
        </w:rPr>
        <w:t xml:space="preserve">Español:</w:t>
      </w:r>
      <w:r>
        <w:t xml:space="preserve"> </w:t>
      </w:r>
      <w:r>
        <w:t xml:space="preserve">¿Qué servicios se mantuvieron y con qué nivel de degradación durante el ataque?</w:t>
      </w:r>
    </w:p>
    <w:bookmarkEnd w:id="100"/>
    <w:bookmarkStart w:id="101" w:name="cq17"/>
    <w:p>
      <w:pPr>
        <w:pStyle w:val="Heading3"/>
      </w:pPr>
      <w:r>
        <w:t xml:space="preserve">CQ17</w:t>
      </w:r>
    </w:p>
    <w:p>
      <w:pPr>
        <w:pStyle w:val="FirstParagraph"/>
      </w:pPr>
      <w:r>
        <w:rPr>
          <w:b/>
          <w:bCs/>
        </w:rPr>
        <w:t xml:space="preserve">English:</w:t>
      </w:r>
      <w:r>
        <w:t xml:space="preserve"> </w:t>
      </w:r>
      <w:r>
        <w:t xml:space="preserve">How long did the network require to recover?</w:t>
      </w:r>
    </w:p>
    <w:p>
      <w:pPr>
        <w:pStyle w:val="BodyText"/>
      </w:pPr>
      <w:r>
        <w:rPr>
          <w:b/>
          <w:bCs/>
        </w:rPr>
        <w:t xml:space="preserve">Español:</w:t>
      </w:r>
      <w:r>
        <w:t xml:space="preserve"> </w:t>
      </w:r>
      <w:r>
        <w:t xml:space="preserve">¿Cuánto tiempo requirió la red para recuperarse?</w:t>
      </w:r>
    </w:p>
    <w:bookmarkEnd w:id="101"/>
    <w:bookmarkStart w:id="102" w:name="cq18"/>
    <w:p>
      <w:pPr>
        <w:pStyle w:val="Heading3"/>
      </w:pPr>
      <w:r>
        <w:t xml:space="preserve">CQ18</w:t>
      </w:r>
    </w:p>
    <w:p>
      <w:pPr>
        <w:pStyle w:val="FirstParagraph"/>
      </w:pPr>
      <w:r>
        <w:rPr>
          <w:b/>
          <w:bCs/>
        </w:rPr>
        <w:t xml:space="preserve">English:</w:t>
      </w:r>
      <w:r>
        <w:t xml:space="preserve"> </w:t>
      </w:r>
      <w:r>
        <w:t xml:space="preserve">Which changes demonstrate adaptation after the incident?</w:t>
      </w:r>
    </w:p>
    <w:p>
      <w:pPr>
        <w:pStyle w:val="BodyText"/>
      </w:pPr>
      <w:r>
        <w:rPr>
          <w:b/>
          <w:bCs/>
        </w:rPr>
        <w:t xml:space="preserve">Español:</w:t>
      </w:r>
      <w:r>
        <w:t xml:space="preserve"> </w:t>
      </w:r>
      <w:r>
        <w:t xml:space="preserve">¿Qué cambios demuestran adaptación después del incidente?</w:t>
      </w:r>
    </w:p>
    <w:bookmarkEnd w:id="102"/>
    <w:bookmarkEnd w:id="103"/>
    <w:bookmarkStart w:id="110" w:name="group-e-resilience-indicator"/>
    <w:p>
      <w:pPr>
        <w:pStyle w:val="Heading2"/>
      </w:pPr>
      <w:r>
        <w:t xml:space="preserve">Group E — Resilience Indicator</w:t>
      </w:r>
    </w:p>
    <w:bookmarkStart w:id="104" w:name="cq19"/>
    <w:p>
      <w:pPr>
        <w:pStyle w:val="Heading3"/>
      </w:pPr>
      <w:r>
        <w:t xml:space="preserve">CQ19</w:t>
      </w:r>
    </w:p>
    <w:p>
      <w:pPr>
        <w:pStyle w:val="FirstParagraph"/>
      </w:pPr>
      <w:r>
        <w:rPr>
          <w:b/>
          <w:bCs/>
        </w:rPr>
        <w:t xml:space="preserve">English:</w:t>
      </w:r>
      <w:r>
        <w:t xml:space="preserve"> </w:t>
      </w:r>
      <w:r>
        <w:t xml:space="preserve">Which variables and metrics participate in the resilience indicator?</w:t>
      </w:r>
    </w:p>
    <w:p>
      <w:pPr>
        <w:pStyle w:val="BodyText"/>
      </w:pPr>
      <w:r>
        <w:rPr>
          <w:b/>
          <w:bCs/>
        </w:rPr>
        <w:t xml:space="preserve">Español:</w:t>
      </w:r>
      <w:r>
        <w:t xml:space="preserve"> </w:t>
      </w:r>
      <w:r>
        <w:t xml:space="preserve">¿Qué variables y métricas intervienen en el indicador de resiliencia?</w:t>
      </w:r>
    </w:p>
    <w:bookmarkEnd w:id="104"/>
    <w:bookmarkStart w:id="105" w:name="cq20"/>
    <w:p>
      <w:pPr>
        <w:pStyle w:val="Heading3"/>
      </w:pPr>
      <w:r>
        <w:t xml:space="preserve">CQ20</w:t>
      </w:r>
    </w:p>
    <w:p>
      <w:pPr>
        <w:pStyle w:val="FirstParagraph"/>
      </w:pPr>
      <w:r>
        <w:rPr>
          <w:b/>
          <w:bCs/>
        </w:rPr>
        <w:t xml:space="preserve">English:</w:t>
      </w:r>
      <w:r>
        <w:t xml:space="preserve"> </w:t>
      </w:r>
      <w:r>
        <w:t xml:space="preserve">What is the value of each resilience subindicator?</w:t>
      </w:r>
    </w:p>
    <w:p>
      <w:pPr>
        <w:pStyle w:val="BodyText"/>
      </w:pPr>
      <w:r>
        <w:rPr>
          <w:b/>
          <w:bCs/>
        </w:rPr>
        <w:t xml:space="preserve">Español:</w:t>
      </w:r>
      <w:r>
        <w:t xml:space="preserve"> </w:t>
      </w:r>
      <w:r>
        <w:t xml:space="preserve">¿Cuál es el valor de cada subindicador de resiliencia?</w:t>
      </w:r>
    </w:p>
    <w:bookmarkEnd w:id="105"/>
    <w:bookmarkStart w:id="106" w:name="cq21"/>
    <w:p>
      <w:pPr>
        <w:pStyle w:val="Heading3"/>
      </w:pPr>
      <w:r>
        <w:t xml:space="preserve">CQ21</w:t>
      </w:r>
    </w:p>
    <w:p>
      <w:pPr>
        <w:pStyle w:val="FirstParagraph"/>
      </w:pPr>
      <w:r>
        <w:rPr>
          <w:b/>
          <w:bCs/>
        </w:rPr>
        <w:t xml:space="preserve">English:</w:t>
      </w:r>
      <w:r>
        <w:t xml:space="preserve"> </w:t>
      </w:r>
      <w:r>
        <w:t xml:space="preserve">What are the overall resilience value and level for the evaluated scenario?</w:t>
      </w:r>
    </w:p>
    <w:p>
      <w:pPr>
        <w:pStyle w:val="BodyText"/>
      </w:pPr>
      <w:r>
        <w:rPr>
          <w:b/>
          <w:bCs/>
        </w:rPr>
        <w:t xml:space="preserve">Español:</w:t>
      </w:r>
      <w:r>
        <w:t xml:space="preserve"> </w:t>
      </w:r>
      <w:r>
        <w:t xml:space="preserve">¿Cuáles son el valor global y el nivel de resiliencia del escenario evaluado?</w:t>
      </w:r>
    </w:p>
    <w:bookmarkEnd w:id="106"/>
    <w:bookmarkStart w:id="107" w:name="cq22"/>
    <w:p>
      <w:pPr>
        <w:pStyle w:val="Heading3"/>
      </w:pPr>
      <w:r>
        <w:t xml:space="preserve">CQ22</w:t>
      </w:r>
    </w:p>
    <w:p>
      <w:pPr>
        <w:pStyle w:val="FirstParagraph"/>
      </w:pPr>
      <w:r>
        <w:rPr>
          <w:b/>
          <w:bCs/>
        </w:rPr>
        <w:t xml:space="preserve">English:</w:t>
      </w:r>
      <w:r>
        <w:t xml:space="preserve"> </w:t>
      </w:r>
      <w:r>
        <w:t xml:space="preserve">How did contextual trust and reputation influence the result?</w:t>
      </w:r>
    </w:p>
    <w:p>
      <w:pPr>
        <w:pStyle w:val="BodyText"/>
      </w:pPr>
      <w:r>
        <w:rPr>
          <w:b/>
          <w:bCs/>
        </w:rPr>
        <w:t xml:space="preserve">Español:</w:t>
      </w:r>
      <w:r>
        <w:t xml:space="preserve"> </w:t>
      </w:r>
      <w:r>
        <w:t xml:space="preserve">¿Cómo influyeron la confianza y la reputación contextual en el resultado?</w:t>
      </w:r>
    </w:p>
    <w:bookmarkEnd w:id="107"/>
    <w:bookmarkStart w:id="108" w:name="cq23"/>
    <w:p>
      <w:pPr>
        <w:pStyle w:val="Heading3"/>
      </w:pPr>
      <w:r>
        <w:t xml:space="preserve">CQ23</w:t>
      </w:r>
    </w:p>
    <w:p>
      <w:pPr>
        <w:pStyle w:val="FirstParagraph"/>
      </w:pPr>
      <w:r>
        <w:rPr>
          <w:b/>
          <w:bCs/>
        </w:rPr>
        <w:t xml:space="preserve">English:</w:t>
      </w:r>
      <w:r>
        <w:t xml:space="preserve"> </w:t>
      </w:r>
      <w:r>
        <w:t xml:space="preserve">How did resilience change before, during, and after the cyberattack?</w:t>
      </w:r>
    </w:p>
    <w:p>
      <w:pPr>
        <w:pStyle w:val="BodyText"/>
      </w:pPr>
      <w:r>
        <w:rPr>
          <w:b/>
          <w:bCs/>
        </w:rPr>
        <w:t xml:space="preserve">Español:</w:t>
      </w:r>
      <w:r>
        <w:t xml:space="preserve"> </w:t>
      </w:r>
      <w:r>
        <w:t xml:space="preserve">¿Cómo cambió la resiliencia antes, durante y después del ciberataque?</w:t>
      </w:r>
    </w:p>
    <w:bookmarkEnd w:id="108"/>
    <w:bookmarkStart w:id="109" w:name="cq24"/>
    <w:p>
      <w:pPr>
        <w:pStyle w:val="Heading3"/>
      </w:pPr>
      <w:r>
        <w:t xml:space="preserve">CQ24</w:t>
      </w:r>
    </w:p>
    <w:p>
      <w:pPr>
        <w:pStyle w:val="FirstParagraph"/>
      </w:pPr>
      <w:r>
        <w:rPr>
          <w:b/>
          <w:bCs/>
        </w:rPr>
        <w:t xml:space="preserve">English:</w:t>
      </w:r>
      <w:r>
        <w:t xml:space="preserve"> </w:t>
      </w:r>
      <w:r>
        <w:t xml:space="preserve">Which evidence, weights, rules, and partial results justify the final result?</w:t>
      </w:r>
    </w:p>
    <w:p>
      <w:pPr>
        <w:pStyle w:val="BodyText"/>
      </w:pPr>
      <w:r>
        <w:rPr>
          <w:b/>
          <w:bCs/>
        </w:rPr>
        <w:t xml:space="preserve">Español:</w:t>
      </w:r>
      <w:r>
        <w:t xml:space="preserve"> </w:t>
      </w:r>
      <w:r>
        <w:t xml:space="preserve">¿Qué evidencias, pesos, reglas y resultados parciales justifican el resultado final?</w:t>
      </w:r>
    </w:p>
    <w:p>
      <w:r>
        <w:pict>
          <v:rect style="width:0;height:1.5pt" o:hralign="center" o:hrstd="t" o:hr="t"/>
        </w:pict>
      </w:r>
    </w:p>
    <w:bookmarkEnd w:id="109"/>
    <w:bookmarkEnd w:id="110"/>
    <w:bookmarkEnd w:id="111"/>
    <w:bookmarkStart w:id="118" w:name="naming-conventions"/>
    <w:p>
      <w:pPr>
        <w:pStyle w:val="Heading1"/>
      </w:pPr>
      <w:r>
        <w:t xml:space="preserve">18. Naming Conventions</w:t>
      </w:r>
    </w:p>
    <w:bookmarkStart w:id="112" w:name="classes"/>
    <w:p>
      <w:pPr>
        <w:pStyle w:val="Heading2"/>
      </w:pPr>
      <w:r>
        <w:t xml:space="preserve">18.1 Classes</w:t>
      </w:r>
    </w:p>
    <w:p>
      <w:pPr>
        <w:pStyle w:val="FirstParagraph"/>
      </w:pPr>
      <w:r>
        <w:t xml:space="preserve">Classes must use:</w:t>
      </w:r>
    </w:p>
    <w:p>
      <w:pPr>
        <w:pStyle w:val="Compact"/>
        <w:numPr>
          <w:ilvl w:val="0"/>
          <w:numId w:val="1041"/>
        </w:numPr>
      </w:pPr>
      <w:r>
        <w:t xml:space="preserve">English identifiers.</w:t>
      </w:r>
    </w:p>
    <w:p>
      <w:pPr>
        <w:pStyle w:val="Compact"/>
        <w:numPr>
          <w:ilvl w:val="0"/>
          <w:numId w:val="1041"/>
        </w:numPr>
      </w:pPr>
      <w:r>
        <w:t xml:space="preserve">Singular nouns.</w:t>
      </w:r>
    </w:p>
    <w:p>
      <w:pPr>
        <w:pStyle w:val="Compact"/>
        <w:numPr>
          <w:ilvl w:val="0"/>
          <w:numId w:val="1041"/>
        </w:numPr>
      </w:pPr>
      <w:r>
        <w:t xml:space="preserve">PascalCase.</w:t>
      </w:r>
    </w:p>
    <w:p>
      <w:pPr>
        <w:pStyle w:val="FirstParagraph"/>
      </w:pPr>
      <w:r>
        <w:t xml:space="preserve">Examples:</w:t>
      </w:r>
    </w:p>
    <w:p>
      <w:pPr>
        <w:pStyle w:val="Compact"/>
        <w:numPr>
          <w:ilvl w:val="0"/>
          <w:numId w:val="1042"/>
        </w:numPr>
      </w:pPr>
      <w:r>
        <w:rPr>
          <w:rStyle w:val="VerbatimChar"/>
        </w:rPr>
        <w:t xml:space="preserve">SmartObject</w:t>
      </w:r>
    </w:p>
    <w:p>
      <w:pPr>
        <w:pStyle w:val="Compact"/>
        <w:numPr>
          <w:ilvl w:val="0"/>
          <w:numId w:val="1042"/>
        </w:numPr>
      </w:pPr>
      <w:r>
        <w:rPr>
          <w:rStyle w:val="VerbatimChar"/>
        </w:rPr>
        <w:t xml:space="preserve">SIoTNetwork</w:t>
      </w:r>
    </w:p>
    <w:p>
      <w:pPr>
        <w:pStyle w:val="Compact"/>
        <w:numPr>
          <w:ilvl w:val="0"/>
          <w:numId w:val="1042"/>
        </w:numPr>
      </w:pPr>
      <w:r>
        <w:rPr>
          <w:rStyle w:val="VerbatimChar"/>
        </w:rPr>
        <w:t xml:space="preserve">SocialRelationship</w:t>
      </w:r>
    </w:p>
    <w:p>
      <w:pPr>
        <w:pStyle w:val="Compact"/>
        <w:numPr>
          <w:ilvl w:val="0"/>
          <w:numId w:val="1042"/>
        </w:numPr>
      </w:pPr>
      <w:r>
        <w:rPr>
          <w:rStyle w:val="VerbatimChar"/>
        </w:rPr>
        <w:t xml:space="preserve">SecurityIncident</w:t>
      </w:r>
    </w:p>
    <w:p>
      <w:pPr>
        <w:pStyle w:val="Compact"/>
        <w:numPr>
          <w:ilvl w:val="0"/>
          <w:numId w:val="1042"/>
        </w:numPr>
      </w:pPr>
      <w:r>
        <w:rPr>
          <w:rStyle w:val="VerbatimChar"/>
        </w:rPr>
        <w:t xml:space="preserve">ResilienceCapability</w:t>
      </w:r>
    </w:p>
    <w:p>
      <w:pPr>
        <w:pStyle w:val="Compact"/>
        <w:numPr>
          <w:ilvl w:val="0"/>
          <w:numId w:val="1042"/>
        </w:numPr>
      </w:pPr>
      <w:r>
        <w:rPr>
          <w:rStyle w:val="VerbatimChar"/>
        </w:rPr>
        <w:t xml:space="preserve">ResilienceIndicator</w:t>
      </w:r>
    </w:p>
    <w:p>
      <w:pPr>
        <w:pStyle w:val="Compact"/>
        <w:numPr>
          <w:ilvl w:val="0"/>
          <w:numId w:val="1042"/>
        </w:numPr>
      </w:pPr>
      <w:r>
        <w:rPr>
          <w:rStyle w:val="VerbatimChar"/>
        </w:rPr>
        <w:t xml:space="preserve">TrustAssessment</w:t>
      </w:r>
    </w:p>
    <w:p>
      <w:pPr>
        <w:pStyle w:val="Compact"/>
        <w:numPr>
          <w:ilvl w:val="0"/>
          <w:numId w:val="1042"/>
        </w:numPr>
      </w:pPr>
      <w:r>
        <w:rPr>
          <w:rStyle w:val="VerbatimChar"/>
        </w:rPr>
        <w:t xml:space="preserve">ReputationAssessment</w:t>
      </w:r>
    </w:p>
    <w:p>
      <w:pPr>
        <w:pStyle w:val="Compact"/>
        <w:numPr>
          <w:ilvl w:val="0"/>
          <w:numId w:val="1042"/>
        </w:numPr>
      </w:pPr>
      <w:r>
        <w:rPr>
          <w:rStyle w:val="VerbatimChar"/>
        </w:rPr>
        <w:t xml:space="preserve">ContextObservation</w:t>
      </w:r>
    </w:p>
    <w:bookmarkEnd w:id="112"/>
    <w:bookmarkStart w:id="113" w:name="object-properties"/>
    <w:p>
      <w:pPr>
        <w:pStyle w:val="Heading2"/>
      </w:pPr>
      <w:r>
        <w:t xml:space="preserve">18.2 Object Properties</w:t>
      </w:r>
    </w:p>
    <w:p>
      <w:pPr>
        <w:pStyle w:val="FirstParagraph"/>
      </w:pPr>
      <w:r>
        <w:t xml:space="preserve">Object properties must use:</w:t>
      </w:r>
    </w:p>
    <w:p>
      <w:pPr>
        <w:pStyle w:val="Compact"/>
        <w:numPr>
          <w:ilvl w:val="0"/>
          <w:numId w:val="1043"/>
        </w:numPr>
      </w:pPr>
      <w:r>
        <w:t xml:space="preserve">English identifiers.</w:t>
      </w:r>
    </w:p>
    <w:p>
      <w:pPr>
        <w:pStyle w:val="Compact"/>
        <w:numPr>
          <w:ilvl w:val="0"/>
          <w:numId w:val="1043"/>
        </w:numPr>
      </w:pPr>
      <w:r>
        <w:t xml:space="preserve">lowerCamelCase.</w:t>
      </w:r>
    </w:p>
    <w:p>
      <w:pPr>
        <w:pStyle w:val="Compact"/>
        <w:numPr>
          <w:ilvl w:val="0"/>
          <w:numId w:val="1043"/>
        </w:numPr>
      </w:pPr>
      <w:r>
        <w:t xml:space="preserve">Verbal expressions whenever possible.</w:t>
      </w:r>
    </w:p>
    <w:p>
      <w:pPr>
        <w:pStyle w:val="FirstParagraph"/>
      </w:pPr>
      <w:r>
        <w:t xml:space="preserve">Examples:</w:t>
      </w:r>
    </w:p>
    <w:p>
      <w:pPr>
        <w:pStyle w:val="Compact"/>
        <w:numPr>
          <w:ilvl w:val="0"/>
          <w:numId w:val="1044"/>
        </w:numPr>
      </w:pPr>
      <w:r>
        <w:rPr>
          <w:rStyle w:val="VerbatimChar"/>
        </w:rPr>
        <w:t xml:space="preserve">hasContext</w:t>
      </w:r>
    </w:p>
    <w:p>
      <w:pPr>
        <w:pStyle w:val="Compact"/>
        <w:numPr>
          <w:ilvl w:val="0"/>
          <w:numId w:val="1044"/>
        </w:numPr>
      </w:pPr>
      <w:r>
        <w:rPr>
          <w:rStyle w:val="VerbatimChar"/>
        </w:rPr>
        <w:t xml:space="preserve">hasParticipant</w:t>
      </w:r>
    </w:p>
    <w:p>
      <w:pPr>
        <w:pStyle w:val="Compact"/>
        <w:numPr>
          <w:ilvl w:val="0"/>
          <w:numId w:val="1044"/>
        </w:numPr>
      </w:pPr>
      <w:r>
        <w:rPr>
          <w:rStyle w:val="VerbatimChar"/>
        </w:rPr>
        <w:t xml:space="preserve">providesService</w:t>
      </w:r>
    </w:p>
    <w:p>
      <w:pPr>
        <w:pStyle w:val="Compact"/>
        <w:numPr>
          <w:ilvl w:val="0"/>
          <w:numId w:val="1044"/>
        </w:numPr>
      </w:pPr>
      <w:r>
        <w:rPr>
          <w:rStyle w:val="VerbatimChar"/>
        </w:rPr>
        <w:t xml:space="preserve">consumesService</w:t>
      </w:r>
    </w:p>
    <w:p>
      <w:pPr>
        <w:pStyle w:val="Compact"/>
        <w:numPr>
          <w:ilvl w:val="0"/>
          <w:numId w:val="1044"/>
        </w:numPr>
      </w:pPr>
      <w:r>
        <w:rPr>
          <w:rStyle w:val="VerbatimChar"/>
        </w:rPr>
        <w:t xml:space="preserve">hasSocialRelationship</w:t>
      </w:r>
    </w:p>
    <w:p>
      <w:pPr>
        <w:pStyle w:val="Compact"/>
        <w:numPr>
          <w:ilvl w:val="0"/>
          <w:numId w:val="1044"/>
        </w:numPr>
      </w:pPr>
      <w:r>
        <w:rPr>
          <w:rStyle w:val="VerbatimChar"/>
        </w:rPr>
        <w:t xml:space="preserve">isAffectedBy</w:t>
      </w:r>
    </w:p>
    <w:p>
      <w:pPr>
        <w:pStyle w:val="Compact"/>
        <w:numPr>
          <w:ilvl w:val="0"/>
          <w:numId w:val="1044"/>
        </w:numPr>
      </w:pPr>
      <w:r>
        <w:rPr>
          <w:rStyle w:val="VerbatimChar"/>
        </w:rPr>
        <w:t xml:space="preserve">exploitsVulnerability</w:t>
      </w:r>
    </w:p>
    <w:p>
      <w:pPr>
        <w:pStyle w:val="Compact"/>
        <w:numPr>
          <w:ilvl w:val="0"/>
          <w:numId w:val="1044"/>
        </w:numPr>
      </w:pPr>
      <w:r>
        <w:rPr>
          <w:rStyle w:val="VerbatimChar"/>
        </w:rPr>
        <w:t xml:space="preserve">hasTrustAssessment</w:t>
      </w:r>
    </w:p>
    <w:p>
      <w:pPr>
        <w:pStyle w:val="Compact"/>
        <w:numPr>
          <w:ilvl w:val="0"/>
          <w:numId w:val="1044"/>
        </w:numPr>
      </w:pPr>
      <w:r>
        <w:rPr>
          <w:rStyle w:val="VerbatimChar"/>
        </w:rPr>
        <w:t xml:space="preserve">hasReputationAssessment</w:t>
      </w:r>
    </w:p>
    <w:p>
      <w:pPr>
        <w:pStyle w:val="Compact"/>
        <w:numPr>
          <w:ilvl w:val="0"/>
          <w:numId w:val="1044"/>
        </w:numPr>
      </w:pPr>
      <w:r>
        <w:rPr>
          <w:rStyle w:val="VerbatimChar"/>
        </w:rPr>
        <w:t xml:space="preserve">hasResilienceCapability</w:t>
      </w:r>
    </w:p>
    <w:p>
      <w:pPr>
        <w:pStyle w:val="Compact"/>
        <w:numPr>
          <w:ilvl w:val="0"/>
          <w:numId w:val="1044"/>
        </w:numPr>
      </w:pPr>
      <w:r>
        <w:rPr>
          <w:rStyle w:val="VerbatimChar"/>
        </w:rPr>
        <w:t xml:space="preserve">isSupportedByEvidence</w:t>
      </w:r>
    </w:p>
    <w:bookmarkEnd w:id="113"/>
    <w:bookmarkStart w:id="114" w:name="data-properties"/>
    <w:p>
      <w:pPr>
        <w:pStyle w:val="Heading2"/>
      </w:pPr>
      <w:r>
        <w:t xml:space="preserve">18.3 Data Properties</w:t>
      </w:r>
    </w:p>
    <w:p>
      <w:pPr>
        <w:pStyle w:val="FirstParagraph"/>
      </w:pPr>
      <w:r>
        <w:t xml:space="preserve">Data properties must use:</w:t>
      </w:r>
    </w:p>
    <w:p>
      <w:pPr>
        <w:pStyle w:val="Compact"/>
        <w:numPr>
          <w:ilvl w:val="0"/>
          <w:numId w:val="1045"/>
        </w:numPr>
      </w:pPr>
      <w:r>
        <w:t xml:space="preserve">English identifiers.</w:t>
      </w:r>
    </w:p>
    <w:p>
      <w:pPr>
        <w:pStyle w:val="Compact"/>
        <w:numPr>
          <w:ilvl w:val="0"/>
          <w:numId w:val="1045"/>
        </w:numPr>
      </w:pPr>
      <w:r>
        <w:t xml:space="preserve">lowerCamelCase.</w:t>
      </w:r>
    </w:p>
    <w:p>
      <w:pPr>
        <w:pStyle w:val="FirstParagraph"/>
      </w:pPr>
      <w:r>
        <w:t xml:space="preserve">Examples:</w:t>
      </w:r>
    </w:p>
    <w:p>
      <w:pPr>
        <w:pStyle w:val="Compact"/>
        <w:numPr>
          <w:ilvl w:val="0"/>
          <w:numId w:val="1046"/>
        </w:numPr>
      </w:pPr>
      <w:r>
        <w:rPr>
          <w:rStyle w:val="VerbatimChar"/>
        </w:rPr>
        <w:t xml:space="preserve">hasMetricValue</w:t>
      </w:r>
    </w:p>
    <w:p>
      <w:pPr>
        <w:pStyle w:val="Compact"/>
        <w:numPr>
          <w:ilvl w:val="0"/>
          <w:numId w:val="1046"/>
        </w:numPr>
      </w:pPr>
      <w:r>
        <w:rPr>
          <w:rStyle w:val="VerbatimChar"/>
        </w:rPr>
        <w:t xml:space="preserve">hasNormalizedValue</w:t>
      </w:r>
    </w:p>
    <w:p>
      <w:pPr>
        <w:pStyle w:val="Compact"/>
        <w:numPr>
          <w:ilvl w:val="0"/>
          <w:numId w:val="1046"/>
        </w:numPr>
      </w:pPr>
      <w:r>
        <w:rPr>
          <w:rStyle w:val="VerbatimChar"/>
        </w:rPr>
        <w:t xml:space="preserve">hasWeight</w:t>
      </w:r>
    </w:p>
    <w:p>
      <w:pPr>
        <w:pStyle w:val="Compact"/>
        <w:numPr>
          <w:ilvl w:val="0"/>
          <w:numId w:val="1046"/>
        </w:numPr>
      </w:pPr>
      <w:r>
        <w:rPr>
          <w:rStyle w:val="VerbatimChar"/>
        </w:rPr>
        <w:t xml:space="preserve">hasThresholdValue</w:t>
      </w:r>
    </w:p>
    <w:p>
      <w:pPr>
        <w:pStyle w:val="Compact"/>
        <w:numPr>
          <w:ilvl w:val="0"/>
          <w:numId w:val="1046"/>
        </w:numPr>
      </w:pPr>
      <w:r>
        <w:rPr>
          <w:rStyle w:val="VerbatimChar"/>
        </w:rPr>
        <w:t xml:space="preserve">hasRecoveryTime</w:t>
      </w:r>
    </w:p>
    <w:p>
      <w:pPr>
        <w:pStyle w:val="Compact"/>
        <w:numPr>
          <w:ilvl w:val="0"/>
          <w:numId w:val="1046"/>
        </w:numPr>
      </w:pPr>
      <w:r>
        <w:rPr>
          <w:rStyle w:val="VerbatimChar"/>
        </w:rPr>
        <w:t xml:space="preserve">hasDegradationLevel</w:t>
      </w:r>
    </w:p>
    <w:p>
      <w:pPr>
        <w:pStyle w:val="Compact"/>
        <w:numPr>
          <w:ilvl w:val="0"/>
          <w:numId w:val="1046"/>
        </w:numPr>
      </w:pPr>
      <w:r>
        <w:rPr>
          <w:rStyle w:val="VerbatimChar"/>
        </w:rPr>
        <w:t xml:space="preserve">hasTrustValue</w:t>
      </w:r>
    </w:p>
    <w:p>
      <w:pPr>
        <w:pStyle w:val="Compact"/>
        <w:numPr>
          <w:ilvl w:val="0"/>
          <w:numId w:val="1046"/>
        </w:numPr>
      </w:pPr>
      <w:r>
        <w:rPr>
          <w:rStyle w:val="VerbatimChar"/>
        </w:rPr>
        <w:t xml:space="preserve">hasReputationValue</w:t>
      </w:r>
    </w:p>
    <w:bookmarkEnd w:id="114"/>
    <w:bookmarkStart w:id="115" w:name="individuals"/>
    <w:p>
      <w:pPr>
        <w:pStyle w:val="Heading2"/>
      </w:pPr>
      <w:r>
        <w:t xml:space="preserve">18.4 Individuals</w:t>
      </w:r>
    </w:p>
    <w:p>
      <w:pPr>
        <w:pStyle w:val="FirstParagraph"/>
      </w:pPr>
      <w:r>
        <w:t xml:space="preserve">Individuals must have descriptive English identifiers.</w:t>
      </w:r>
    </w:p>
    <w:p>
      <w:pPr>
        <w:pStyle w:val="BodyText"/>
      </w:pPr>
      <w:r>
        <w:t xml:space="preserve">Examples:</w:t>
      </w:r>
    </w:p>
    <w:p>
      <w:pPr>
        <w:pStyle w:val="Compact"/>
        <w:numPr>
          <w:ilvl w:val="0"/>
          <w:numId w:val="1047"/>
        </w:numPr>
      </w:pPr>
      <w:r>
        <w:rPr>
          <w:rStyle w:val="VerbatimChar"/>
        </w:rPr>
        <w:t xml:space="preserve">IdentificationCapability</w:t>
      </w:r>
    </w:p>
    <w:p>
      <w:pPr>
        <w:pStyle w:val="Compact"/>
        <w:numPr>
          <w:ilvl w:val="0"/>
          <w:numId w:val="1047"/>
        </w:numPr>
      </w:pPr>
      <w:r>
        <w:rPr>
          <w:rStyle w:val="VerbatimChar"/>
        </w:rPr>
        <w:t xml:space="preserve">AbsorptionCapability</w:t>
      </w:r>
    </w:p>
    <w:p>
      <w:pPr>
        <w:pStyle w:val="Compact"/>
        <w:numPr>
          <w:ilvl w:val="0"/>
          <w:numId w:val="1047"/>
        </w:numPr>
      </w:pPr>
      <w:r>
        <w:rPr>
          <w:rStyle w:val="VerbatimChar"/>
        </w:rPr>
        <w:t xml:space="preserve">ResistanceCapability</w:t>
      </w:r>
    </w:p>
    <w:p>
      <w:pPr>
        <w:pStyle w:val="Compact"/>
        <w:numPr>
          <w:ilvl w:val="0"/>
          <w:numId w:val="1047"/>
        </w:numPr>
      </w:pPr>
      <w:r>
        <w:rPr>
          <w:rStyle w:val="VerbatimChar"/>
        </w:rPr>
        <w:t xml:space="preserve">RecoveryCapability</w:t>
      </w:r>
    </w:p>
    <w:p>
      <w:pPr>
        <w:pStyle w:val="Compact"/>
        <w:numPr>
          <w:ilvl w:val="0"/>
          <w:numId w:val="1047"/>
        </w:numPr>
      </w:pPr>
      <w:r>
        <w:rPr>
          <w:rStyle w:val="VerbatimChar"/>
        </w:rPr>
        <w:t xml:space="preserve">AdaptationCapability</w:t>
      </w:r>
    </w:p>
    <w:p>
      <w:pPr>
        <w:pStyle w:val="Compact"/>
        <w:numPr>
          <w:ilvl w:val="0"/>
          <w:numId w:val="1047"/>
        </w:numPr>
      </w:pPr>
      <w:r>
        <w:rPr>
          <w:rStyle w:val="VerbatimChar"/>
        </w:rPr>
        <w:t xml:space="preserve">LowResilienceLevel</w:t>
      </w:r>
    </w:p>
    <w:p>
      <w:pPr>
        <w:pStyle w:val="Compact"/>
        <w:numPr>
          <w:ilvl w:val="0"/>
          <w:numId w:val="1047"/>
        </w:numPr>
      </w:pPr>
      <w:r>
        <w:rPr>
          <w:rStyle w:val="VerbatimChar"/>
        </w:rPr>
        <w:t xml:space="preserve">ModerateResilienceLevel</w:t>
      </w:r>
    </w:p>
    <w:p>
      <w:pPr>
        <w:pStyle w:val="Compact"/>
        <w:numPr>
          <w:ilvl w:val="0"/>
          <w:numId w:val="1047"/>
        </w:numPr>
      </w:pPr>
      <w:r>
        <w:rPr>
          <w:rStyle w:val="VerbatimChar"/>
        </w:rPr>
        <w:t xml:space="preserve">HighResilienceLevel</w:t>
      </w:r>
    </w:p>
    <w:bookmarkEnd w:id="115"/>
    <w:bookmarkStart w:id="116" w:name="acronyms"/>
    <w:p>
      <w:pPr>
        <w:pStyle w:val="Heading2"/>
      </w:pPr>
      <w:r>
        <w:t xml:space="preserve">18.5 Acronyms</w:t>
      </w:r>
    </w:p>
    <w:p>
      <w:pPr>
        <w:pStyle w:val="FirstParagraph"/>
      </w:pPr>
      <w:r>
        <w:t xml:space="preserve">Acronyms should normally be represented using</w:t>
      </w:r>
      <w:r>
        <w:t xml:space="preserve"> </w:t>
      </w:r>
      <w:r>
        <w:rPr>
          <w:rStyle w:val="VerbatimChar"/>
        </w:rPr>
        <w:t xml:space="preserve">skos:altLabel</w:t>
      </w:r>
      <w:r>
        <w:t xml:space="preserve">.</w:t>
      </w:r>
    </w:p>
    <w:p>
      <w:pPr>
        <w:pStyle w:val="BodyText"/>
      </w:pPr>
      <w:r>
        <w:t xml:space="preserve">Example:</w:t>
      </w:r>
    </w:p>
    <w:p>
      <w:pPr>
        <w:pStyle w:val="SourceCode"/>
      </w:pPr>
      <w:r>
        <w:rPr>
          <w:rStyle w:val="VerbatimChar"/>
        </w:rPr>
        <w:t xml:space="preserve">siotsec:QualityOfService</w:t>
      </w:r>
      <w:r>
        <w:br/>
      </w:r>
      <w:r>
        <w:rPr>
          <w:rStyle w:val="VerbatimChar"/>
        </w:rPr>
        <w:t xml:space="preserve">    rdfs:label "Quality of Service"@en ;</w:t>
      </w:r>
      <w:r>
        <w:br/>
      </w:r>
      <w:r>
        <w:rPr>
          <w:rStyle w:val="VerbatimChar"/>
        </w:rPr>
        <w:t xml:space="preserve">    rdfs:label "Calidad del Servicio"@es ;</w:t>
      </w:r>
      <w:r>
        <w:br/>
      </w:r>
      <w:r>
        <w:rPr>
          <w:rStyle w:val="VerbatimChar"/>
        </w:rPr>
        <w:t xml:space="preserve">    skos:altLabel "QoS"@en ;</w:t>
      </w:r>
      <w:r>
        <w:br/>
      </w:r>
      <w:r>
        <w:rPr>
          <w:rStyle w:val="VerbatimChar"/>
        </w:rPr>
        <w:t xml:space="preserve">    skos:altLabel "CdS"@es .</w:t>
      </w:r>
    </w:p>
    <w:bookmarkEnd w:id="116"/>
    <w:bookmarkStart w:id="117" w:name="identifier-restrictions"/>
    <w:p>
      <w:pPr>
        <w:pStyle w:val="Heading2"/>
      </w:pPr>
      <w:r>
        <w:t xml:space="preserve">18.6 Identifier Restrictions</w:t>
      </w:r>
    </w:p>
    <w:p>
      <w:pPr>
        <w:pStyle w:val="FirstParagraph"/>
      </w:pPr>
      <w:r>
        <w:t xml:space="preserve">Identifiers must not contain:</w:t>
      </w:r>
    </w:p>
    <w:p>
      <w:pPr>
        <w:pStyle w:val="Compact"/>
        <w:numPr>
          <w:ilvl w:val="0"/>
          <w:numId w:val="1048"/>
        </w:numPr>
      </w:pPr>
      <w:r>
        <w:t xml:space="preserve">Spaces.</w:t>
      </w:r>
    </w:p>
    <w:p>
      <w:pPr>
        <w:pStyle w:val="Compact"/>
        <w:numPr>
          <w:ilvl w:val="0"/>
          <w:numId w:val="1048"/>
        </w:numPr>
      </w:pPr>
      <w:r>
        <w:t xml:space="preserve">Accents.</w:t>
      </w:r>
    </w:p>
    <w:p>
      <w:pPr>
        <w:pStyle w:val="Compact"/>
        <w:numPr>
          <w:ilvl w:val="0"/>
          <w:numId w:val="1048"/>
        </w:numPr>
      </w:pPr>
      <w:r>
        <w:t xml:space="preserve">Tildes.</w:t>
      </w:r>
    </w:p>
    <w:p>
      <w:pPr>
        <w:pStyle w:val="Compact"/>
        <w:numPr>
          <w:ilvl w:val="0"/>
          <w:numId w:val="1048"/>
        </w:numPr>
      </w:pPr>
      <w:r>
        <w:t xml:space="preserve">Special characters.</w:t>
      </w:r>
    </w:p>
    <w:p>
      <w:pPr>
        <w:pStyle w:val="Compact"/>
        <w:numPr>
          <w:ilvl w:val="0"/>
          <w:numId w:val="1048"/>
        </w:numPr>
      </w:pPr>
      <w:r>
        <w:t xml:space="preserve">Unnecessary abbreviations.</w:t>
      </w:r>
    </w:p>
    <w:p>
      <w:pPr>
        <w:pStyle w:val="Compact"/>
        <w:numPr>
          <w:ilvl w:val="0"/>
          <w:numId w:val="1048"/>
        </w:numPr>
      </w:pPr>
      <w:r>
        <w:t xml:space="preserve">Ambiguous acronyms.</w:t>
      </w:r>
    </w:p>
    <w:p>
      <w:r>
        <w:pict>
          <v:rect style="width:0;height:1.5pt" o:hralign="center" o:hrstd="t" o:hr="t"/>
        </w:pict>
      </w:r>
    </w:p>
    <w:bookmarkEnd w:id="117"/>
    <w:bookmarkEnd w:id="118"/>
    <w:bookmarkStart w:id="119" w:name="language-and-annotation-policy"/>
    <w:p>
      <w:pPr>
        <w:pStyle w:val="Heading1"/>
      </w:pPr>
      <w:r>
        <w:t xml:space="preserve">19. Language and Annotation Policy</w:t>
      </w:r>
    </w:p>
    <w:p>
      <w:pPr>
        <w:pStyle w:val="FirstParagraph"/>
      </w:pPr>
      <w:r>
        <w:t xml:space="preserve">The ontology is modeled primarily in English.</w:t>
      </w:r>
    </w:p>
    <w:p>
      <w:pPr>
        <w:pStyle w:val="BodyText"/>
      </w:pPr>
      <w:r>
        <w:t xml:space="preserve">Every ontology entity must have an English</w:t>
      </w:r>
      <w:r>
        <w:t xml:space="preserve"> </w:t>
      </w:r>
      <w:r>
        <w:rPr>
          <w:rStyle w:val="VerbatimChar"/>
        </w:rPr>
        <w:t xml:space="preserve">rdfs:label</w:t>
      </w:r>
      <w:r>
        <w:t xml:space="preserve">.</w:t>
      </w:r>
    </w:p>
    <w:p>
      <w:pPr>
        <w:pStyle w:val="BodyText"/>
      </w:pPr>
      <w:r>
        <w:t xml:space="preserve">When a validated Spanish translation exists, it must have a Spanish</w:t>
      </w:r>
      <w:r>
        <w:t xml:space="preserve"> </w:t>
      </w:r>
      <w:r>
        <w:rPr>
          <w:rStyle w:val="VerbatimChar"/>
        </w:rPr>
        <w:t xml:space="preserve">rdfs:label</w:t>
      </w:r>
      <w:r>
        <w:t xml:space="preserve">.</w:t>
      </w:r>
    </w:p>
    <w:p>
      <w:pPr>
        <w:pStyle w:val="BodyText"/>
      </w:pPr>
      <w:r>
        <w:t xml:space="preserve">Example:</w:t>
      </w:r>
    </w:p>
    <w:p>
      <w:pPr>
        <w:pStyle w:val="SourceCode"/>
      </w:pPr>
      <w:r>
        <w:rPr>
          <w:rStyle w:val="VerbatimChar"/>
        </w:rPr>
        <w:t xml:space="preserve">siotsec:ResilienceIndicator</w:t>
      </w:r>
      <w:r>
        <w:br/>
      </w:r>
      <w:r>
        <w:rPr>
          <w:rStyle w:val="VerbatimChar"/>
        </w:rPr>
        <w:t xml:space="preserve">    a owl:Class ;</w:t>
      </w:r>
      <w:r>
        <w:br/>
      </w:r>
      <w:r>
        <w:rPr>
          <w:rStyle w:val="VerbatimChar"/>
        </w:rPr>
        <w:t xml:space="preserve">    rdfs:label "Resilience Indicator"@en ;</w:t>
      </w:r>
      <w:r>
        <w:br/>
      </w:r>
      <w:r>
        <w:rPr>
          <w:rStyle w:val="VerbatimChar"/>
        </w:rPr>
        <w:t xml:space="preserve">    rdfs:label "Indicador de Resiliencia"@es .</w:t>
      </w:r>
    </w:p>
    <w:p>
      <w:pPr>
        <w:pStyle w:val="FirstParagraph"/>
      </w:pPr>
      <w:r>
        <w:t xml:space="preserve">Definitions should use</w:t>
      </w:r>
      <w:r>
        <w:t xml:space="preserve"> </w:t>
      </w:r>
      <w:r>
        <w:rPr>
          <w:rStyle w:val="VerbatimChar"/>
        </w:rPr>
        <w:t xml:space="preserve">skos:definition</w:t>
      </w:r>
      <w:r>
        <w:t xml:space="preserve"> </w:t>
      </w:r>
      <w:r>
        <w:t xml:space="preserve">or an equivalent documented annotation property.</w:t>
      </w:r>
    </w:p>
    <w:p>
      <w:pPr>
        <w:pStyle w:val="BodyText"/>
      </w:pPr>
      <w:r>
        <w:t xml:space="preserve">Example:</w:t>
      </w:r>
    </w:p>
    <w:p>
      <w:pPr>
        <w:pStyle w:val="SourceCode"/>
      </w:pPr>
      <w:r>
        <w:rPr>
          <w:rStyle w:val="VerbatimChar"/>
        </w:rPr>
        <w:t xml:space="preserve">siotsec:ResilienceCapability</w:t>
      </w:r>
      <w:r>
        <w:br/>
      </w:r>
      <w:r>
        <w:rPr>
          <w:rStyle w:val="VerbatimChar"/>
        </w:rPr>
        <w:t xml:space="preserve">    skos:definition</w:t>
      </w:r>
      <w:r>
        <w:br/>
      </w:r>
      <w:r>
        <w:rPr>
          <w:rStyle w:val="VerbatimChar"/>
        </w:rPr>
        <w:t xml:space="preserve">        "A system capability to identify, absorb, resist, recover from, or adapt to the harmful effects of a cyberattack."@en ;</w:t>
      </w:r>
      <w:r>
        <w:br/>
      </w:r>
      <w:r>
        <w:rPr>
          <w:rStyle w:val="VerbatimChar"/>
        </w:rPr>
        <w:t xml:space="preserve">    skos:definition</w:t>
      </w:r>
      <w:r>
        <w:br/>
      </w:r>
      <w:r>
        <w:rPr>
          <w:rStyle w:val="VerbatimChar"/>
        </w:rPr>
        <w:t xml:space="preserve">        "Capacidad de un sistema para identificar, absorber, resistir, recuperarse o adaptarse a los efectos perjudiciales de un ciberataque."@es .</w:t>
      </w:r>
    </w:p>
    <w:p>
      <w:pPr>
        <w:pStyle w:val="FirstParagraph"/>
      </w:pPr>
      <w:r>
        <w:t xml:space="preserve">English identifiers constitute the canonical terminology of SIoTSecurity.</w:t>
      </w:r>
    </w:p>
    <w:p>
      <w:r>
        <w:pict>
          <v:rect style="width:0;height:1.5pt" o:hralign="center" o:hrstd="t" o:hr="t"/>
        </w:pict>
      </w:r>
    </w:p>
    <w:bookmarkEnd w:id="119"/>
    <w:bookmarkStart w:id="120" w:name="technical-requirements"/>
    <w:p>
      <w:pPr>
        <w:pStyle w:val="Heading1"/>
      </w:pPr>
      <w:r>
        <w:t xml:space="preserve">20. Technical Requirements</w:t>
      </w:r>
    </w:p>
    <w:p>
      <w:pPr>
        <w:pStyle w:val="FirstParagraph"/>
      </w:pPr>
      <w:r>
        <w:t xml:space="preserve">SIoTSecurity must:</w:t>
      </w:r>
    </w:p>
    <w:p>
      <w:pPr>
        <w:pStyle w:val="Compact"/>
        <w:numPr>
          <w:ilvl w:val="0"/>
          <w:numId w:val="1049"/>
        </w:numPr>
      </w:pPr>
      <w:r>
        <w:t xml:space="preserve">Be implementable in OWL 2 DL.</w:t>
      </w:r>
    </w:p>
    <w:p>
      <w:pPr>
        <w:pStyle w:val="Compact"/>
        <w:numPr>
          <w:ilvl w:val="0"/>
          <w:numId w:val="1049"/>
        </w:numPr>
      </w:pPr>
      <w:r>
        <w:t xml:space="preserve">Load correctly in Protégé.</w:t>
      </w:r>
    </w:p>
    <w:p>
      <w:pPr>
        <w:pStyle w:val="Compact"/>
        <w:numPr>
          <w:ilvl w:val="0"/>
          <w:numId w:val="1049"/>
        </w:numPr>
      </w:pPr>
      <w:r>
        <w:t xml:space="preserve">Support automated reasoning.</w:t>
      </w:r>
    </w:p>
    <w:p>
      <w:pPr>
        <w:pStyle w:val="Compact"/>
        <w:numPr>
          <w:ilvl w:val="0"/>
          <w:numId w:val="1049"/>
        </w:numPr>
      </w:pPr>
      <w:r>
        <w:t xml:space="preserve">Avoid logical inconsistencies.</w:t>
      </w:r>
    </w:p>
    <w:p>
      <w:pPr>
        <w:pStyle w:val="Compact"/>
        <w:numPr>
          <w:ilvl w:val="0"/>
          <w:numId w:val="1049"/>
        </w:numPr>
      </w:pPr>
      <w:r>
        <w:t xml:space="preserve">Avoid unsatisfiable classes.</w:t>
      </w:r>
    </w:p>
    <w:p>
      <w:pPr>
        <w:pStyle w:val="Compact"/>
        <w:numPr>
          <w:ilvl w:val="0"/>
          <w:numId w:val="1049"/>
        </w:numPr>
      </w:pPr>
      <w:r>
        <w:t xml:space="preserve">Support multilingual labels.</w:t>
      </w:r>
    </w:p>
    <w:p>
      <w:pPr>
        <w:pStyle w:val="Compact"/>
        <w:numPr>
          <w:ilvl w:val="0"/>
          <w:numId w:val="1049"/>
        </w:numPr>
      </w:pPr>
      <w:r>
        <w:t xml:space="preserve">Support competency-question evaluation.</w:t>
      </w:r>
    </w:p>
    <w:p>
      <w:pPr>
        <w:pStyle w:val="Compact"/>
        <w:numPr>
          <w:ilvl w:val="0"/>
          <w:numId w:val="1049"/>
        </w:numPr>
      </w:pPr>
      <w:r>
        <w:t xml:space="preserve">Support SPARQL queries.</w:t>
      </w:r>
    </w:p>
    <w:p>
      <w:pPr>
        <w:pStyle w:val="Compact"/>
        <w:numPr>
          <w:ilvl w:val="0"/>
          <w:numId w:val="1049"/>
        </w:numPr>
      </w:pPr>
      <w:r>
        <w:t xml:space="preserve">Include provenance for relevant evidence, observations, assessments, and results.</w:t>
      </w:r>
    </w:p>
    <w:p>
      <w:pPr>
        <w:pStyle w:val="Compact"/>
        <w:numPr>
          <w:ilvl w:val="0"/>
          <w:numId w:val="1049"/>
        </w:numPr>
      </w:pPr>
      <w:r>
        <w:t xml:space="preserve">Permit modular reuse of external ontologies.</w:t>
      </w:r>
    </w:p>
    <w:p>
      <w:pPr>
        <w:pStyle w:val="Compact"/>
        <w:numPr>
          <w:ilvl w:val="0"/>
          <w:numId w:val="1049"/>
        </w:numPr>
      </w:pPr>
      <w:r>
        <w:t xml:space="preserve">Maintain traceability between requirements and implementation.</w:t>
      </w:r>
    </w:p>
    <w:p>
      <w:pPr>
        <w:pStyle w:val="Compact"/>
        <w:numPr>
          <w:ilvl w:val="0"/>
          <w:numId w:val="1049"/>
        </w:numPr>
      </w:pPr>
      <w:r>
        <w:t xml:space="preserve">Use persistent and documented IRIs.</w:t>
      </w:r>
    </w:p>
    <w:p>
      <w:pPr>
        <w:pStyle w:val="Compact"/>
        <w:numPr>
          <w:ilvl w:val="0"/>
          <w:numId w:val="1049"/>
        </w:numPr>
      </w:pPr>
      <w:r>
        <w:t xml:space="preserve">Document imported, aligned, adapted, and locally defined terms.</w:t>
      </w:r>
    </w:p>
    <w:p>
      <w:pPr>
        <w:pStyle w:val="Compact"/>
        <w:numPr>
          <w:ilvl w:val="0"/>
          <w:numId w:val="1049"/>
        </w:numPr>
      </w:pPr>
      <w:r>
        <w:t xml:space="preserve">Include a minimum set of individuals for evaluation.</w:t>
      </w:r>
    </w:p>
    <w:p>
      <w:pPr>
        <w:pStyle w:val="Compact"/>
        <w:numPr>
          <w:ilvl w:val="0"/>
          <w:numId w:val="1049"/>
        </w:numPr>
      </w:pPr>
      <w:r>
        <w:t xml:space="preserve">Distinguish OWL axioms, SWRL rules, external calculations, and SPARQL queries.</w:t>
      </w:r>
    </w:p>
    <w:p>
      <w:r>
        <w:pict>
          <v:rect style="width:0;height:1.5pt" o:hralign="center" o:hrstd="t" o:hr="t"/>
        </w:pict>
      </w:r>
    </w:p>
    <w:bookmarkEnd w:id="120"/>
    <w:bookmarkStart w:id="123" w:name="evaluation-requirements"/>
    <w:p>
      <w:pPr>
        <w:pStyle w:val="Heading1"/>
      </w:pPr>
      <w:r>
        <w:t xml:space="preserve">21. Evaluation Requirements</w:t>
      </w:r>
    </w:p>
    <w:bookmarkStart w:id="121" w:name="technical-evaluation"/>
    <w:p>
      <w:pPr>
        <w:pStyle w:val="Heading2"/>
      </w:pPr>
      <w:r>
        <w:t xml:space="preserve">21.1 Technical Evaluation</w:t>
      </w:r>
    </w:p>
    <w:p>
      <w:pPr>
        <w:pStyle w:val="FirstParagraph"/>
      </w:pPr>
      <w:r>
        <w:t xml:space="preserve">The technical evaluation must include:</w:t>
      </w:r>
    </w:p>
    <w:p>
      <w:pPr>
        <w:pStyle w:val="Compact"/>
        <w:numPr>
          <w:ilvl w:val="0"/>
          <w:numId w:val="1050"/>
        </w:numPr>
      </w:pPr>
      <w:r>
        <w:t xml:space="preserve">OWL syntax verification.</w:t>
      </w:r>
    </w:p>
    <w:p>
      <w:pPr>
        <w:pStyle w:val="Compact"/>
        <w:numPr>
          <w:ilvl w:val="0"/>
          <w:numId w:val="1050"/>
        </w:numPr>
      </w:pPr>
      <w:r>
        <w:t xml:space="preserve">Logical-consistency verification.</w:t>
      </w:r>
    </w:p>
    <w:p>
      <w:pPr>
        <w:pStyle w:val="Compact"/>
        <w:numPr>
          <w:ilvl w:val="0"/>
          <w:numId w:val="1050"/>
        </w:numPr>
      </w:pPr>
      <w:r>
        <w:t xml:space="preserve">Detection of unsatisfiable classes.</w:t>
      </w:r>
    </w:p>
    <w:p>
      <w:pPr>
        <w:pStyle w:val="Compact"/>
        <w:numPr>
          <w:ilvl w:val="0"/>
          <w:numId w:val="1050"/>
        </w:numPr>
      </w:pPr>
      <w:r>
        <w:t xml:space="preserve">Verification of class hierarchies.</w:t>
      </w:r>
    </w:p>
    <w:p>
      <w:pPr>
        <w:pStyle w:val="Compact"/>
        <w:numPr>
          <w:ilvl w:val="0"/>
          <w:numId w:val="1050"/>
        </w:numPr>
      </w:pPr>
      <w:r>
        <w:t xml:space="preserve">Verification of property hierarchies.</w:t>
      </w:r>
    </w:p>
    <w:p>
      <w:pPr>
        <w:pStyle w:val="Compact"/>
        <w:numPr>
          <w:ilvl w:val="0"/>
          <w:numId w:val="1050"/>
        </w:numPr>
      </w:pPr>
      <w:r>
        <w:t xml:space="preserve">Verification of domains and ranges.</w:t>
      </w:r>
    </w:p>
    <w:p>
      <w:pPr>
        <w:pStyle w:val="Compact"/>
        <w:numPr>
          <w:ilvl w:val="0"/>
          <w:numId w:val="1050"/>
        </w:numPr>
      </w:pPr>
      <w:r>
        <w:t xml:space="preserve">Verification of cardinality restrictions.</w:t>
      </w:r>
    </w:p>
    <w:p>
      <w:pPr>
        <w:pStyle w:val="Compact"/>
        <w:numPr>
          <w:ilvl w:val="0"/>
          <w:numId w:val="1050"/>
        </w:numPr>
      </w:pPr>
      <w:r>
        <w:t xml:space="preserve">Competency-question coverage.</w:t>
      </w:r>
    </w:p>
    <w:p>
      <w:pPr>
        <w:pStyle w:val="Compact"/>
        <w:numPr>
          <w:ilvl w:val="0"/>
          <w:numId w:val="1050"/>
        </w:numPr>
      </w:pPr>
      <w:r>
        <w:t xml:space="preserve">SPARQL query execution.</w:t>
      </w:r>
    </w:p>
    <w:p>
      <w:pPr>
        <w:pStyle w:val="Compact"/>
        <w:numPr>
          <w:ilvl w:val="0"/>
          <w:numId w:val="1050"/>
        </w:numPr>
      </w:pPr>
      <w:r>
        <w:t xml:space="preserve">Comparison between expected and obtained results.</w:t>
      </w:r>
    </w:p>
    <w:p>
      <w:pPr>
        <w:pStyle w:val="Compact"/>
        <w:numPr>
          <w:ilvl w:val="0"/>
          <w:numId w:val="1050"/>
        </w:numPr>
      </w:pPr>
      <w:r>
        <w:t xml:space="preserve">Provenance verification.</w:t>
      </w:r>
    </w:p>
    <w:p>
      <w:pPr>
        <w:pStyle w:val="Compact"/>
        <w:numPr>
          <w:ilvl w:val="0"/>
          <w:numId w:val="1050"/>
        </w:numPr>
      </w:pPr>
      <w:r>
        <w:t xml:space="preserve">Traceability verification.</w:t>
      </w:r>
    </w:p>
    <w:p>
      <w:pPr>
        <w:pStyle w:val="Compact"/>
        <w:numPr>
          <w:ilvl w:val="0"/>
          <w:numId w:val="1050"/>
        </w:numPr>
      </w:pPr>
      <w:r>
        <w:t xml:space="preserve">Regression testing after ontology modifications.</w:t>
      </w:r>
    </w:p>
    <w:bookmarkEnd w:id="121"/>
    <w:bookmarkStart w:id="122" w:name="doctoral-validation"/>
    <w:p>
      <w:pPr>
        <w:pStyle w:val="Heading2"/>
      </w:pPr>
      <w:r>
        <w:t xml:space="preserve">21.2 Doctoral Validation</w:t>
      </w:r>
    </w:p>
    <w:p>
      <w:pPr>
        <w:pStyle w:val="FirstParagraph"/>
      </w:pPr>
      <w:r>
        <w:t xml:space="preserve">The technical evaluation does not replace validation by domain experts.</w:t>
      </w:r>
    </w:p>
    <w:p>
      <w:pPr>
        <w:pStyle w:val="BodyText"/>
      </w:pPr>
      <w:r>
        <w:t xml:space="preserve">Doctoral validation may include:</w:t>
      </w:r>
    </w:p>
    <w:p>
      <w:pPr>
        <w:pStyle w:val="Compact"/>
        <w:numPr>
          <w:ilvl w:val="0"/>
          <w:numId w:val="1051"/>
        </w:numPr>
      </w:pPr>
      <w:r>
        <w:t xml:space="preserve">Semantic validation.</w:t>
      </w:r>
    </w:p>
    <w:p>
      <w:pPr>
        <w:pStyle w:val="Compact"/>
        <w:numPr>
          <w:ilvl w:val="0"/>
          <w:numId w:val="1051"/>
        </w:numPr>
      </w:pPr>
      <w:r>
        <w:t xml:space="preserve">Structural validation.</w:t>
      </w:r>
    </w:p>
    <w:p>
      <w:pPr>
        <w:pStyle w:val="Compact"/>
        <w:numPr>
          <w:ilvl w:val="0"/>
          <w:numId w:val="1051"/>
        </w:numPr>
      </w:pPr>
      <w:r>
        <w:t xml:space="preserve">Conceptual validation.</w:t>
      </w:r>
    </w:p>
    <w:p>
      <w:pPr>
        <w:pStyle w:val="Compact"/>
        <w:numPr>
          <w:ilvl w:val="0"/>
          <w:numId w:val="1051"/>
        </w:numPr>
      </w:pPr>
      <w:r>
        <w:t xml:space="preserve">Completeness assessment.</w:t>
      </w:r>
    </w:p>
    <w:p>
      <w:pPr>
        <w:pStyle w:val="Compact"/>
        <w:numPr>
          <w:ilvl w:val="0"/>
          <w:numId w:val="1051"/>
        </w:numPr>
      </w:pPr>
      <w:r>
        <w:t xml:space="preserve">Clarity assessment.</w:t>
      </w:r>
    </w:p>
    <w:p>
      <w:pPr>
        <w:pStyle w:val="Compact"/>
        <w:numPr>
          <w:ilvl w:val="0"/>
          <w:numId w:val="1051"/>
        </w:numPr>
      </w:pPr>
      <w:r>
        <w:t xml:space="preserve">Relevance assessment.</w:t>
      </w:r>
    </w:p>
    <w:p>
      <w:pPr>
        <w:pStyle w:val="Compact"/>
        <w:numPr>
          <w:ilvl w:val="0"/>
          <w:numId w:val="1051"/>
        </w:numPr>
      </w:pPr>
      <w:r>
        <w:t xml:space="preserve">Coherence assessment.</w:t>
      </w:r>
    </w:p>
    <w:p>
      <w:pPr>
        <w:pStyle w:val="Compact"/>
        <w:numPr>
          <w:ilvl w:val="0"/>
          <w:numId w:val="1051"/>
        </w:numPr>
      </w:pPr>
      <w:r>
        <w:t xml:space="preserve">Focus-group evaluation.</w:t>
      </w:r>
    </w:p>
    <w:p>
      <w:pPr>
        <w:pStyle w:val="Compact"/>
        <w:numPr>
          <w:ilvl w:val="0"/>
          <w:numId w:val="1051"/>
        </w:numPr>
      </w:pPr>
      <w:r>
        <w:t xml:space="preserve">Qualitative analysis.</w:t>
      </w:r>
    </w:p>
    <w:p>
      <w:pPr>
        <w:pStyle w:val="Compact"/>
        <w:numPr>
          <w:ilvl w:val="0"/>
          <w:numId w:val="1051"/>
        </w:numPr>
      </w:pPr>
      <w:r>
        <w:t xml:space="preserve">Quantitative agreement analysis.</w:t>
      </w:r>
    </w:p>
    <w:p>
      <w:r>
        <w:pict>
          <v:rect style="width:0;height:1.5pt" o:hralign="center" o:hrstd="t" o:hr="t"/>
        </w:pict>
      </w:r>
    </w:p>
    <w:bookmarkEnd w:id="122"/>
    <w:bookmarkEnd w:id="123"/>
    <w:bookmarkStart w:id="124" w:name="traceability-requirement"/>
    <w:p>
      <w:pPr>
        <w:pStyle w:val="Heading1"/>
      </w:pPr>
      <w:r>
        <w:t xml:space="preserve">22. Traceability Requirement</w:t>
      </w:r>
    </w:p>
    <w:p>
      <w:pPr>
        <w:pStyle w:val="FirstParagraph"/>
      </w:pPr>
      <w:r>
        <w:t xml:space="preserve">A traceability matrix must be maintained using the following structure:</w:t>
      </w:r>
    </w:p>
    <w:p>
      <w:pPr>
        <w:pStyle w:val="BodyText"/>
      </w:pPr>
      <w:r>
        <w:rPr>
          <w:rStyle w:val="VerbatimChar"/>
        </w:rPr>
        <w:t xml:space="preserve">Doctoral objective → Ontology requirement → Competency question → Concept → Property → Axiom or rule → Individual → SPARQL query → Expected result → Obtained result → Validation evidence</w:t>
      </w:r>
    </w:p>
    <w:p>
      <w:pPr>
        <w:pStyle w:val="BodyText"/>
      </w:pPr>
      <w:r>
        <w:t xml:space="preserve">The matrix must demonstrate how each ontology entity contributes to:</w:t>
      </w:r>
    </w:p>
    <w:p>
      <w:pPr>
        <w:pStyle w:val="Compact"/>
        <w:numPr>
          <w:ilvl w:val="0"/>
          <w:numId w:val="1052"/>
        </w:numPr>
      </w:pPr>
      <w:r>
        <w:t xml:space="preserve">The doctoral objective.</w:t>
      </w:r>
    </w:p>
    <w:p>
      <w:pPr>
        <w:pStyle w:val="Compact"/>
        <w:numPr>
          <w:ilvl w:val="0"/>
          <w:numId w:val="1052"/>
        </w:numPr>
      </w:pPr>
      <w:r>
        <w:t xml:space="preserve">The ontology purpose.</w:t>
      </w:r>
    </w:p>
    <w:p>
      <w:pPr>
        <w:pStyle w:val="Compact"/>
        <w:numPr>
          <w:ilvl w:val="0"/>
          <w:numId w:val="1052"/>
        </w:numPr>
      </w:pPr>
      <w:r>
        <w:t xml:space="preserve">One or more competency questions.</w:t>
      </w:r>
    </w:p>
    <w:p>
      <w:pPr>
        <w:pStyle w:val="Compact"/>
        <w:numPr>
          <w:ilvl w:val="0"/>
          <w:numId w:val="1052"/>
        </w:numPr>
      </w:pPr>
      <w:r>
        <w:t xml:space="preserve">The OWL implementation.</w:t>
      </w:r>
    </w:p>
    <w:p>
      <w:pPr>
        <w:pStyle w:val="Compact"/>
        <w:numPr>
          <w:ilvl w:val="0"/>
          <w:numId w:val="1052"/>
        </w:numPr>
      </w:pPr>
      <w:r>
        <w:t xml:space="preserve">The evaluation process.</w:t>
      </w:r>
    </w:p>
    <w:p>
      <w:r>
        <w:pict>
          <v:rect style="width:0;height:1.5pt" o:hralign="center" o:hrstd="t" o:hr="t"/>
        </w:pict>
      </w:r>
    </w:p>
    <w:bookmarkEnd w:id="124"/>
    <w:bookmarkStart w:id="125" w:name="acceptance-criteria"/>
    <w:p>
      <w:pPr>
        <w:pStyle w:val="Heading1"/>
      </w:pPr>
      <w:r>
        <w:t xml:space="preserve">23. Acceptance Criteria</w:t>
      </w:r>
    </w:p>
    <w:p>
      <w:pPr>
        <w:pStyle w:val="FirstParagraph"/>
      </w:pPr>
      <w:r>
        <w:t xml:space="preserve">The Step 1 requirements document is considered approved because:</w:t>
      </w:r>
    </w:p>
    <w:p>
      <w:pPr>
        <w:pStyle w:val="Compact"/>
        <w:numPr>
          <w:ilvl w:val="0"/>
          <w:numId w:val="1053"/>
        </w:numPr>
      </w:pPr>
      <w:r>
        <w:t xml:space="preserve">The ontology purpose is aligned with the second specific objective of the doctoral proposal.</w:t>
      </w:r>
    </w:p>
    <w:p>
      <w:pPr>
        <w:pStyle w:val="Compact"/>
        <w:numPr>
          <w:ilvl w:val="0"/>
          <w:numId w:val="1053"/>
        </w:numPr>
      </w:pPr>
      <w:r>
        <w:t xml:space="preserve">The ontology formalizes the knowledge associated with a SIoT resilience indicator.</w:t>
      </w:r>
    </w:p>
    <w:p>
      <w:pPr>
        <w:pStyle w:val="Compact"/>
        <w:numPr>
          <w:ilvl w:val="0"/>
          <w:numId w:val="1053"/>
        </w:numPr>
      </w:pPr>
      <w:r>
        <w:t xml:space="preserve">The primary and subordinate evaluation units are identified.</w:t>
      </w:r>
    </w:p>
    <w:p>
      <w:pPr>
        <w:pStyle w:val="Compact"/>
        <w:numPr>
          <w:ilvl w:val="0"/>
          <w:numId w:val="1053"/>
        </w:numPr>
      </w:pPr>
      <w:r>
        <w:t xml:space="preserve">Resilient security, cyber resilience, trust, and reputation are differentiated.</w:t>
      </w:r>
    </w:p>
    <w:p>
      <w:pPr>
        <w:pStyle w:val="Compact"/>
        <w:numPr>
          <w:ilvl w:val="0"/>
          <w:numId w:val="1053"/>
        </w:numPr>
      </w:pPr>
      <w:r>
        <w:t xml:space="preserve">Context dimensions and their role are explicitly described.</w:t>
      </w:r>
    </w:p>
    <w:p>
      <w:pPr>
        <w:pStyle w:val="Compact"/>
        <w:numPr>
          <w:ilvl w:val="0"/>
          <w:numId w:val="1053"/>
        </w:numPr>
      </w:pPr>
      <w:r>
        <w:t xml:space="preserve">Scope and exclusions are documented.</w:t>
      </w:r>
    </w:p>
    <w:p>
      <w:pPr>
        <w:pStyle w:val="Compact"/>
        <w:numPr>
          <w:ilvl w:val="0"/>
          <w:numId w:val="1053"/>
        </w:numPr>
      </w:pPr>
      <w:r>
        <w:t xml:space="preserve">The competency questions cover the five resilience capabilities.</w:t>
      </w:r>
    </w:p>
    <w:p>
      <w:pPr>
        <w:pStyle w:val="Compact"/>
        <w:numPr>
          <w:ilvl w:val="0"/>
          <w:numId w:val="1053"/>
        </w:numPr>
      </w:pPr>
      <w:r>
        <w:t xml:space="preserve">Trust and reputation are represented as contextual and dynamic factors.</w:t>
      </w:r>
    </w:p>
    <w:p>
      <w:pPr>
        <w:pStyle w:val="Compact"/>
        <w:numPr>
          <w:ilvl w:val="0"/>
          <w:numId w:val="1053"/>
        </w:numPr>
      </w:pPr>
      <w:r>
        <w:t xml:space="preserve">The ontology language policy is defined.</w:t>
      </w:r>
    </w:p>
    <w:p>
      <w:pPr>
        <w:pStyle w:val="Compact"/>
        <w:numPr>
          <w:ilvl w:val="0"/>
          <w:numId w:val="1053"/>
        </w:numPr>
      </w:pPr>
      <w:r>
        <w:t xml:space="preserve">English is the canonical modeling language.</w:t>
      </w:r>
    </w:p>
    <w:p>
      <w:pPr>
        <w:pStyle w:val="Compact"/>
        <w:numPr>
          <w:ilvl w:val="0"/>
          <w:numId w:val="1053"/>
        </w:numPr>
      </w:pPr>
      <w:r>
        <w:t xml:space="preserve">Spanish is represented through language-tagged annotations.</w:t>
      </w:r>
    </w:p>
    <w:p>
      <w:pPr>
        <w:pStyle w:val="Compact"/>
        <w:numPr>
          <w:ilvl w:val="0"/>
          <w:numId w:val="1053"/>
        </w:numPr>
      </w:pPr>
      <w:r>
        <w:t xml:space="preserve">The OWL profile is established as OWL 2 DL.</w:t>
      </w:r>
    </w:p>
    <w:p>
      <w:pPr>
        <w:pStyle w:val="Compact"/>
        <w:numPr>
          <w:ilvl w:val="0"/>
          <w:numId w:val="1053"/>
        </w:numPr>
      </w:pPr>
      <w:r>
        <w:t xml:space="preserve">The ontology IRI is linked to the final GitHub-hosted OWL file.</w:t>
      </w:r>
    </w:p>
    <w:p>
      <w:pPr>
        <w:pStyle w:val="Compact"/>
        <w:numPr>
          <w:ilvl w:val="0"/>
          <w:numId w:val="1053"/>
        </w:numPr>
      </w:pPr>
      <w:r>
        <w:t xml:space="preserve">No formula, weight, score, or threshold is considered definitive without evidence and validation.</w:t>
      </w:r>
    </w:p>
    <w:p>
      <w:pPr>
        <w:pStyle w:val="Compact"/>
        <w:numPr>
          <w:ilvl w:val="0"/>
          <w:numId w:val="1053"/>
        </w:numPr>
      </w:pPr>
      <w:r>
        <w:t xml:space="preserve">The technical evaluation includes reasoning and SPARQL.</w:t>
      </w:r>
    </w:p>
    <w:p>
      <w:pPr>
        <w:pStyle w:val="Compact"/>
        <w:numPr>
          <w:ilvl w:val="0"/>
          <w:numId w:val="1053"/>
        </w:numPr>
      </w:pPr>
      <w:r>
        <w:t xml:space="preserve">The ontology will maintain requirement-to-query traceability.</w:t>
      </w:r>
    </w:p>
    <w:p>
      <w:pPr>
        <w:pStyle w:val="Compact"/>
        <w:numPr>
          <w:ilvl w:val="0"/>
          <w:numId w:val="1053"/>
        </w:numPr>
      </w:pPr>
      <w:r>
        <w:t xml:space="preserve">Reused terms will be documented during Step 2.</w:t>
      </w:r>
    </w:p>
    <w:p>
      <w:pPr>
        <w:pStyle w:val="Compact"/>
        <w:numPr>
          <w:ilvl w:val="0"/>
          <w:numId w:val="1053"/>
        </w:numPr>
      </w:pPr>
      <w:r>
        <w:t xml:space="preserve">Changes affecting the approved baseline will require a new document version.</w:t>
      </w:r>
    </w:p>
    <w:p>
      <w:r>
        <w:pict>
          <v:rect style="width:0;height:1.5pt" o:hralign="center" o:hrstd="t" o:hr="t"/>
        </w:pict>
      </w:r>
    </w:p>
    <w:bookmarkEnd w:id="125"/>
    <w:bookmarkStart w:id="131" w:name="approval-record"/>
    <w:p>
      <w:pPr>
        <w:pStyle w:val="Heading1"/>
      </w:pPr>
      <w:r>
        <w:t xml:space="preserve">24. Approval Record</w:t>
      </w:r>
    </w:p>
    <w:bookmarkStart w:id="126" w:name="status"/>
    <w:p>
      <w:pPr>
        <w:pStyle w:val="Heading2"/>
      </w:pPr>
      <w:r>
        <w:t xml:space="preserve">Status</w:t>
      </w:r>
    </w:p>
    <w:p>
      <w:pPr>
        <w:pStyle w:val="FirstParagraph"/>
      </w:pPr>
      <w:r>
        <w:rPr>
          <w:b/>
          <w:bCs/>
        </w:rPr>
        <w:t xml:space="preserve">APPROVED</w:t>
      </w:r>
    </w:p>
    <w:bookmarkEnd w:id="126"/>
    <w:bookmarkStart w:id="127" w:name="version"/>
    <w:p>
      <w:pPr>
        <w:pStyle w:val="Heading2"/>
      </w:pPr>
      <w:r>
        <w:t xml:space="preserve">Version</w:t>
      </w:r>
    </w:p>
    <w:p>
      <w:pPr>
        <w:pStyle w:val="FirstParagraph"/>
      </w:pPr>
      <w:r>
        <w:rPr>
          <w:b/>
          <w:bCs/>
        </w:rPr>
        <w:t xml:space="preserve">1.1</w:t>
      </w:r>
    </w:p>
    <w:bookmarkEnd w:id="127"/>
    <w:bookmarkStart w:id="128" w:name="approval-date"/>
    <w:p>
      <w:pPr>
        <w:pStyle w:val="Heading2"/>
      </w:pPr>
      <w:r>
        <w:t xml:space="preserve">Approval Date</w:t>
      </w:r>
    </w:p>
    <w:p>
      <w:pPr>
        <w:pStyle w:val="FirstParagraph"/>
      </w:pPr>
      <w:r>
        <w:rPr>
          <w:b/>
          <w:bCs/>
        </w:rPr>
        <w:t xml:space="preserve">6 August 2026</w:t>
      </w:r>
    </w:p>
    <w:bookmarkEnd w:id="128"/>
    <w:bookmarkStart w:id="129" w:name="approval-statement"/>
    <w:p>
      <w:pPr>
        <w:pStyle w:val="Heading2"/>
      </w:pPr>
      <w:r>
        <w:t xml:space="preserve">Approval Statement</w:t>
      </w:r>
    </w:p>
    <w:p>
      <w:pPr>
        <w:pStyle w:val="FirstParagraph"/>
      </w:pPr>
      <w:r>
        <w:t xml:space="preserve">The requirements-determination step was reviewed with the doctoral researcher and amended to incorporate:</w:t>
      </w:r>
    </w:p>
    <w:p>
      <w:pPr>
        <w:pStyle w:val="Compact"/>
        <w:numPr>
          <w:ilvl w:val="0"/>
          <w:numId w:val="1054"/>
        </w:numPr>
      </w:pPr>
      <w:r>
        <w:t xml:space="preserve">The doctoral proposal.</w:t>
      </w:r>
    </w:p>
    <w:p>
      <w:pPr>
        <w:pStyle w:val="Compact"/>
        <w:numPr>
          <w:ilvl w:val="0"/>
          <w:numId w:val="1054"/>
        </w:numPr>
      </w:pPr>
      <w:r>
        <w:t xml:space="preserve">The systematic literature review.</w:t>
      </w:r>
    </w:p>
    <w:p>
      <w:pPr>
        <w:pStyle w:val="Compact"/>
        <w:numPr>
          <w:ilvl w:val="0"/>
          <w:numId w:val="1054"/>
        </w:numPr>
      </w:pPr>
      <w:r>
        <w:t xml:space="preserve">The previous trust and reputation indicator.</w:t>
      </w:r>
    </w:p>
    <w:p>
      <w:pPr>
        <w:pStyle w:val="Compact"/>
        <w:numPr>
          <w:ilvl w:val="0"/>
          <w:numId w:val="1054"/>
        </w:numPr>
      </w:pPr>
      <w:r>
        <w:t xml:space="preserve">The resilience-indicator objective.</w:t>
      </w:r>
    </w:p>
    <w:p>
      <w:pPr>
        <w:pStyle w:val="Compact"/>
        <w:numPr>
          <w:ilvl w:val="0"/>
          <w:numId w:val="1054"/>
        </w:numPr>
      </w:pPr>
      <w:r>
        <w:t xml:space="preserve">The five resilience capabilities.</w:t>
      </w:r>
    </w:p>
    <w:p>
      <w:pPr>
        <w:pStyle w:val="Compact"/>
        <w:numPr>
          <w:ilvl w:val="0"/>
          <w:numId w:val="1054"/>
        </w:numPr>
      </w:pPr>
      <w:r>
        <w:t xml:space="preserve">Contextual modeling.</w:t>
      </w:r>
    </w:p>
    <w:p>
      <w:pPr>
        <w:pStyle w:val="Compact"/>
        <w:numPr>
          <w:ilvl w:val="0"/>
          <w:numId w:val="1054"/>
        </w:numPr>
      </w:pPr>
      <w:r>
        <w:t xml:space="preserve">English canonical terminology.</w:t>
      </w:r>
    </w:p>
    <w:p>
      <w:pPr>
        <w:pStyle w:val="Compact"/>
        <w:numPr>
          <w:ilvl w:val="0"/>
          <w:numId w:val="1054"/>
        </w:numPr>
      </w:pPr>
      <w:r>
        <w:t xml:space="preserve">Spanish labels.</w:t>
      </w:r>
    </w:p>
    <w:p>
      <w:pPr>
        <w:pStyle w:val="Compact"/>
        <w:numPr>
          <w:ilvl w:val="0"/>
          <w:numId w:val="1054"/>
        </w:numPr>
      </w:pPr>
      <w:r>
        <w:t xml:space="preserve">OWL 2 DL.</w:t>
      </w:r>
    </w:p>
    <w:p>
      <w:pPr>
        <w:pStyle w:val="Compact"/>
        <w:numPr>
          <w:ilvl w:val="0"/>
          <w:numId w:val="1054"/>
        </w:numPr>
      </w:pPr>
      <w:r>
        <w:t xml:space="preserve">The GitHub-hosted OWL IRI decision.</w:t>
      </w:r>
    </w:p>
    <w:p>
      <w:pPr>
        <w:pStyle w:val="Compact"/>
        <w:numPr>
          <w:ilvl w:val="0"/>
          <w:numId w:val="1054"/>
        </w:numPr>
      </w:pPr>
      <w:r>
        <w:t xml:space="preserve">Twenty-four competency questions.</w:t>
      </w:r>
    </w:p>
    <w:p>
      <w:pPr>
        <w:pStyle w:val="Compact"/>
        <w:numPr>
          <w:ilvl w:val="0"/>
          <w:numId w:val="1054"/>
        </w:numPr>
      </w:pPr>
      <w:r>
        <w:t xml:space="preserve">Technical evaluation through reasoning and SPARQL.</w:t>
      </w:r>
    </w:p>
    <w:p>
      <w:pPr>
        <w:pStyle w:val="Compact"/>
        <w:numPr>
          <w:ilvl w:val="0"/>
          <w:numId w:val="1054"/>
        </w:numPr>
      </w:pPr>
      <w:r>
        <w:t xml:space="preserve">Traceability between doctoral objectives, ontology requirements, OWL entities, and evaluation queries.</w:t>
      </w:r>
    </w:p>
    <w:p>
      <w:pPr>
        <w:pStyle w:val="FirstParagraph"/>
      </w:pPr>
      <w:r>
        <w:t xml:space="preserve">The Step 1 requirements document is approved as the formal input for:</w:t>
      </w:r>
    </w:p>
    <w:p>
      <w:pPr>
        <w:pStyle w:val="BlockText"/>
      </w:pPr>
      <w:r>
        <w:t xml:space="preserve">Step 2 — Ontology and Standard-Term Reuse.</w:t>
      </w:r>
    </w:p>
    <w:bookmarkEnd w:id="129"/>
    <w:bookmarkStart w:id="130" w:name="change-control-rule"/>
    <w:p>
      <w:pPr>
        <w:pStyle w:val="Heading2"/>
      </w:pPr>
      <w:r>
        <w:t xml:space="preserve">Change-Control Rule</w:t>
      </w:r>
    </w:p>
    <w:p>
      <w:pPr>
        <w:pStyle w:val="FirstParagraph"/>
      </w:pPr>
      <w:r>
        <w:t xml:space="preserve">Any later change affecting the following elements must be documented in a new version:</w:t>
      </w:r>
    </w:p>
    <w:p>
      <w:pPr>
        <w:pStyle w:val="Compact"/>
        <w:numPr>
          <w:ilvl w:val="0"/>
          <w:numId w:val="1055"/>
        </w:numPr>
      </w:pPr>
      <w:r>
        <w:t xml:space="preserve">Ontology purpose.</w:t>
      </w:r>
    </w:p>
    <w:p>
      <w:pPr>
        <w:pStyle w:val="Compact"/>
        <w:numPr>
          <w:ilvl w:val="0"/>
          <w:numId w:val="1055"/>
        </w:numPr>
      </w:pPr>
      <w:r>
        <w:t xml:space="preserve">Knowledge domain.</w:t>
      </w:r>
    </w:p>
    <w:p>
      <w:pPr>
        <w:pStyle w:val="Compact"/>
        <w:numPr>
          <w:ilvl w:val="0"/>
          <w:numId w:val="1055"/>
        </w:numPr>
      </w:pPr>
      <w:r>
        <w:t xml:space="preserve">Scope.</w:t>
      </w:r>
    </w:p>
    <w:p>
      <w:pPr>
        <w:pStyle w:val="Compact"/>
        <w:numPr>
          <w:ilvl w:val="0"/>
          <w:numId w:val="1055"/>
        </w:numPr>
      </w:pPr>
      <w:r>
        <w:t xml:space="preserve">Evaluation unit.</w:t>
      </w:r>
    </w:p>
    <w:p>
      <w:pPr>
        <w:pStyle w:val="Compact"/>
        <w:numPr>
          <w:ilvl w:val="0"/>
          <w:numId w:val="1055"/>
        </w:numPr>
      </w:pPr>
      <w:r>
        <w:t xml:space="preserve">Modular structure.</w:t>
      </w:r>
    </w:p>
    <w:p>
      <w:pPr>
        <w:pStyle w:val="Compact"/>
        <w:numPr>
          <w:ilvl w:val="0"/>
          <w:numId w:val="1055"/>
        </w:numPr>
      </w:pPr>
      <w:r>
        <w:t xml:space="preserve">Competency questions.</w:t>
      </w:r>
    </w:p>
    <w:p>
      <w:pPr>
        <w:pStyle w:val="Compact"/>
        <w:numPr>
          <w:ilvl w:val="0"/>
          <w:numId w:val="1055"/>
        </w:numPr>
      </w:pPr>
      <w:r>
        <w:t xml:space="preserve">Language policy.</w:t>
      </w:r>
    </w:p>
    <w:p>
      <w:pPr>
        <w:pStyle w:val="Compact"/>
        <w:numPr>
          <w:ilvl w:val="0"/>
          <w:numId w:val="1055"/>
        </w:numPr>
      </w:pPr>
      <w:r>
        <w:t xml:space="preserve">Naming conventions.</w:t>
      </w:r>
    </w:p>
    <w:p>
      <w:pPr>
        <w:pStyle w:val="Compact"/>
        <w:numPr>
          <w:ilvl w:val="0"/>
          <w:numId w:val="1055"/>
        </w:numPr>
      </w:pPr>
      <w:r>
        <w:t xml:space="preserve">OWL profile.</w:t>
      </w:r>
    </w:p>
    <w:p>
      <w:pPr>
        <w:pStyle w:val="Compact"/>
        <w:numPr>
          <w:ilvl w:val="0"/>
          <w:numId w:val="1055"/>
        </w:numPr>
      </w:pPr>
      <w:r>
        <w:t xml:space="preserve">Ontology IRI.</w:t>
      </w:r>
    </w:p>
    <w:p>
      <w:pPr>
        <w:pStyle w:val="Compact"/>
        <w:numPr>
          <w:ilvl w:val="0"/>
          <w:numId w:val="1055"/>
        </w:numPr>
      </w:pPr>
      <w:r>
        <w:t xml:space="preserve">Indicator structure.</w:t>
      </w:r>
    </w:p>
    <w:p>
      <w:pPr>
        <w:pStyle w:val="Compact"/>
        <w:numPr>
          <w:ilvl w:val="0"/>
          <w:numId w:val="1055"/>
        </w:numPr>
      </w:pPr>
      <w:r>
        <w:t xml:space="preserve">Acceptance criteria.</w:t>
      </w:r>
    </w:p>
    <w:p>
      <w:pPr>
        <w:pStyle w:val="Compact"/>
        <w:numPr>
          <w:ilvl w:val="0"/>
          <w:numId w:val="1055"/>
        </w:numPr>
      </w:pPr>
      <w:r>
        <w:t xml:space="preserve">Evaluation strategy.</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