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8" w:lineRule="auto"/>
      </w:pPr>
      <w:r>
        <w:rPr>
          <w:rFonts w:ascii="Aptos" w:hAnsi="Aptos" w:cs="Aptos"/>
          <w:b w:val="0"/>
          <w:i w:val="0"/>
          <w:color w:val="606060"/>
          <w:sz w:val="20"/>
        </w:rPr>
        <w:t>HeyAI S.r.l.</w:t>
      </w:r>
    </w:p>
    <w:p>
      <w:pPr>
        <w:spacing w:after="40" w:before="0" w:line="288" w:lineRule="auto"/>
      </w:pPr>
      <w:r>
        <w:rPr>
          <w:rFonts w:ascii="Aptos" w:hAnsi="Aptos" w:cs="Aptos"/>
          <w:b w:val="0"/>
          <w:i w:val="0"/>
          <w:color w:val="606060"/>
          <w:sz w:val="20"/>
        </w:rPr>
        <w:t>Sede legale: Via Parigi 11, 00185 Roma (RM)</w:t>
      </w:r>
    </w:p>
    <w:p>
      <w:pPr>
        <w:spacing w:after="40" w:before="0" w:line="288" w:lineRule="auto"/>
      </w:pPr>
      <w:r>
        <w:rPr>
          <w:rFonts w:ascii="Aptos" w:hAnsi="Aptos" w:cs="Aptos"/>
          <w:b w:val="0"/>
          <w:i w:val="0"/>
          <w:color w:val="606060"/>
          <w:sz w:val="20"/>
        </w:rPr>
        <w:t>info@heyaidigital.it · www.heyaidigital.it</w:t>
      </w:r>
    </w:p>
    <w:p>
      <w:pPr>
        <w:spacing w:after="480" w:before="0" w:line="288" w:lineRule="auto"/>
      </w:pPr>
      <w:r>
        <w:rPr>
          <w:rFonts w:ascii="Aptos" w:hAnsi="Aptos" w:cs="Aptos"/>
          <w:b w:val="0"/>
          <w:i w:val="0"/>
          <w:color w:val="606060"/>
          <w:sz w:val="20"/>
        </w:rPr>
        <w:t>PEC: heyai@pec.it · REA RM-1751505 · C.F. 17947791004</w:t>
      </w:r>
    </w:p>
    <w:p>
      <w:pPr>
        <w:spacing w:after="80" w:before="0" w:line="288" w:lineRule="auto"/>
        <w:jc w:val="left"/>
      </w:pPr>
      <w:r>
        <w:rPr>
          <w:rFonts w:ascii="Aptos" w:hAnsi="Aptos" w:cs="Aptos"/>
          <w:b/>
          <w:i w:val="0"/>
          <w:color w:val="1F3A5F"/>
          <w:sz w:val="44"/>
        </w:rPr>
        <w:t>Proposta di Investimento</w:t>
      </w:r>
    </w:p>
    <w:p>
      <w:pPr>
        <w:spacing w:after="200" w:before="0" w:line="288" w:lineRule="auto"/>
      </w:pPr>
      <w:r>
        <w:rPr>
          <w:rFonts w:ascii="Aptos" w:hAnsi="Aptos" w:cs="Aptos"/>
          <w:b/>
          <w:i w:val="0"/>
          <w:color w:val="2A6B7A"/>
          <w:sz w:val="36"/>
        </w:rPr>
        <w:t>Achipoint AI — Motore Bandi e Gare</w:t>
      </w:r>
    </w:p>
    <w:p>
      <w:pPr>
        <w:spacing w:after="480" w:before="0" w:line="288" w:lineRule="auto"/>
      </w:pPr>
      <w:r>
        <w:rPr>
          <w:rFonts w:ascii="Aptos" w:hAnsi="Aptos" w:cs="Aptos"/>
          <w:b w:val="0"/>
          <w:i/>
          <w:color w:val="606060"/>
          <w:sz w:val="22"/>
        </w:rPr>
        <w:t>Sistema intelligente per l'identificazione automatica di gare e bandi pubblici in linea con il profilo Achipoint, con scoring AI di compatibilità e motivazione testuale per ogni opportunità.</w:t>
      </w:r>
    </w:p>
    <w:tbl>
      <w:tblPr>
        <w:tblStyle w:val="LightList-Accent1"/>
        <w:tblW w:type="auto" w:w="0"/>
        <w:jc w:val="left"/>
        <w:tblLook w:firstColumn="1" w:firstRow="1" w:lastColumn="0" w:lastRow="0" w:noHBand="0" w:noVBand="1" w:val="04A0"/>
      </w:tblPr>
      <w:tblGrid>
        <w:gridCol w:w="4703"/>
        <w:gridCol w:w="4703"/>
      </w:tblGrid>
      <w:tr>
        <w:tc>
          <w:tcPr>
            <w:tcW w:type="dxa" w:w="2268"/>
          </w:tcPr>
          <w:p>
            <w:r/>
            <w:r>
              <w:rPr>
                <w:rFonts w:ascii="Aptos" w:hAnsi="Aptos" w:cs="Aptos"/>
                <w:b/>
                <w:i w:val="0"/>
                <w:color w:val="1F3A5F"/>
                <w:sz w:val="20"/>
              </w:rPr>
              <w:t>Cliente</w:t>
            </w:r>
          </w:p>
        </w:tc>
        <w:tc>
          <w:tcPr>
            <w:tcW w:type="dxa" w:w="6236"/>
          </w:tcPr>
          <w:p>
            <w:r/>
            <w:r>
              <w:rPr>
                <w:rFonts w:ascii="Aptos" w:hAnsi="Aptos" w:cs="Aptos"/>
                <w:b w:val="0"/>
                <w:i w:val="0"/>
                <w:sz w:val="20"/>
              </w:rPr>
              <w:t>Achipoint S.r.l.</w:t>
            </w:r>
          </w:p>
        </w:tc>
      </w:tr>
      <w:tr>
        <w:tc>
          <w:tcPr>
            <w:tcW w:type="dxa" w:w="2268"/>
          </w:tcPr>
          <w:p>
            <w:r/>
            <w:r>
              <w:rPr>
                <w:rFonts w:ascii="Aptos" w:hAnsi="Aptos" w:cs="Aptos"/>
                <w:b/>
                <w:i w:val="0"/>
                <w:color w:val="1F3A5F"/>
                <w:sz w:val="20"/>
              </w:rPr>
              <w:t>Riferimento</w:t>
            </w:r>
          </w:p>
        </w:tc>
        <w:tc>
          <w:tcPr>
            <w:tcW w:type="dxa" w:w="6236"/>
          </w:tcPr>
          <w:p>
            <w:r/>
            <w:r>
              <w:rPr>
                <w:rFonts w:ascii="Aptos" w:hAnsi="Aptos" w:cs="Aptos"/>
                <w:b w:val="0"/>
                <w:i w:val="0"/>
                <w:sz w:val="20"/>
              </w:rPr>
              <w:t>produzione@achipont.it</w:t>
            </w:r>
          </w:p>
        </w:tc>
      </w:tr>
      <w:tr>
        <w:tc>
          <w:tcPr>
            <w:tcW w:type="dxa" w:w="2268"/>
          </w:tcPr>
          <w:p>
            <w:r/>
            <w:r>
              <w:rPr>
                <w:rFonts w:ascii="Aptos" w:hAnsi="Aptos" w:cs="Aptos"/>
                <w:b/>
                <w:i w:val="0"/>
                <w:color w:val="1F3A5F"/>
                <w:sz w:val="20"/>
              </w:rPr>
              <w:t>Data</w:t>
            </w:r>
          </w:p>
        </w:tc>
        <w:tc>
          <w:tcPr>
            <w:tcW w:type="dxa" w:w="6236"/>
          </w:tcPr>
          <w:p>
            <w:r/>
            <w:r>
              <w:rPr>
                <w:rFonts w:ascii="Aptos" w:hAnsi="Aptos" w:cs="Aptos"/>
                <w:b w:val="0"/>
                <w:i w:val="0"/>
                <w:sz w:val="20"/>
              </w:rPr>
              <w:t>Maggio 2026</w:t>
            </w:r>
          </w:p>
        </w:tc>
      </w:tr>
      <w:tr>
        <w:tc>
          <w:tcPr>
            <w:tcW w:type="dxa" w:w="2268"/>
          </w:tcPr>
          <w:p>
            <w:r/>
            <w:r>
              <w:rPr>
                <w:rFonts w:ascii="Aptos" w:hAnsi="Aptos" w:cs="Aptos"/>
                <w:b/>
                <w:i w:val="0"/>
                <w:color w:val="1F3A5F"/>
                <w:sz w:val="20"/>
              </w:rPr>
              <w:t>Rif. documento</w:t>
            </w:r>
          </w:p>
        </w:tc>
        <w:tc>
          <w:tcPr>
            <w:tcW w:type="dxa" w:w="6236"/>
          </w:tcPr>
          <w:p>
            <w:r/>
            <w:r>
              <w:rPr>
                <w:rFonts w:ascii="Aptos" w:hAnsi="Aptos" w:cs="Aptos"/>
                <w:b w:val="0"/>
                <w:i w:val="0"/>
                <w:sz w:val="20"/>
              </w:rPr>
              <w:t>ACH-RM-2026-001 · Versione 1.0</w:t>
            </w:r>
          </w:p>
        </w:tc>
      </w:tr>
    </w:tbl>
    <w:p/>
    <w:p/>
    <w:p>
      <w:pPr>
        <w:keepNext/>
        <w:spacing w:before="360" w:after="160"/>
        <w:jc w:val="left"/>
        <w:pBdr>
          <w:bottom w:val="single" w:sz="12" w:space="1" w:color="2A6B7A"/>
        </w:pBdr>
      </w:pPr>
      <w:r>
        <w:rPr>
          <w:rFonts w:ascii="Aptos" w:hAnsi="Aptos" w:cs="Aptos"/>
          <w:b/>
          <w:i w:val="0"/>
          <w:color w:val="1F3A5F"/>
          <w:sz w:val="28"/>
        </w:rPr>
        <w:t>1. Oggetto della Proposta</w:t>
      </w:r>
    </w:p>
    <w:p>
      <w:pPr>
        <w:spacing w:after="120" w:before="0" w:line="288" w:lineRule="auto"/>
      </w:pPr>
      <w:r>
        <w:rPr>
          <w:rFonts w:ascii="Aptos" w:hAnsi="Aptos" w:cs="Aptos"/>
          <w:b w:val="0"/>
          <w:i w:val="0"/>
          <w:sz w:val="22"/>
        </w:rPr>
        <w:t>La presente proposta riguarda lo sviluppo di una piattaforma di ricerca automatizzata di opportunità pubbliche dedicata ad Achipoint. La soluzione identifica con continuità le gare, i bandi e gli affidamenti pubblici italiani compatibili con il profilo specifico di Achipoint, presentandoli ordinati per rilevanza con un punteggio di compatibilità e una motivazione testuale per ciascuna opportunità.</w:t>
      </w:r>
    </w:p>
    <w:p>
      <w:pPr>
        <w:spacing w:after="120" w:before="0" w:line="288" w:lineRule="auto"/>
      </w:pPr>
      <w:r>
        <w:rPr>
          <w:rFonts w:ascii="Aptos" w:hAnsi="Aptos" w:cs="Aptos"/>
          <w:b w:val="0"/>
          <w:i w:val="0"/>
          <w:sz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Achipoint.</w:t>
      </w:r>
    </w:p>
    <w:p>
      <w:pPr>
        <w:spacing w:after="120" w:before="0" w:line="288" w:lineRule="auto"/>
      </w:pPr>
      <w:r>
        <w:rPr>
          <w:rFonts w:ascii="Aptos" w:hAnsi="Aptos" w:cs="Aptos"/>
          <w:b w:val="0"/>
          <w:i w:val="0"/>
          <w:sz w:val="22"/>
        </w:rPr>
        <w:t>Il documento è articolato in due fasi: un MVP (Moduli A + B più interfaccia utente minima) operativo entro 12 settimane dalla firma, e una Fase 2 evolutiva (Moduli C + D più ampliamenti) attivabile dopo la validazione del valore generato dall'MVP.</w:t>
      </w:r>
    </w:p>
    <w:p>
      <w:pPr>
        <w:spacing w:after="120" w:before="0" w:line="288" w:lineRule="auto"/>
      </w:pPr>
      <w:r>
        <w:rPr>
          <w:rFonts w:ascii="Aptos" w:hAnsi="Aptos" w:cs="Aptos"/>
          <w:b w:val="0"/>
          <w:i/>
          <w:color w:val="606060"/>
          <w:sz w:val="20"/>
        </w:rPr>
        <w:t>Per il dettaglio funzionale completo dei requisiti si rimanda al Requirement Log allegato (Achipoint_RequirementLog_v1), che costituisce parte integrante dell'offerta.</w:t>
      </w:r>
    </w:p>
    <w:p>
      <w:pPr>
        <w:keepNext/>
        <w:spacing w:before="360" w:after="160"/>
        <w:jc w:val="left"/>
        <w:pBdr>
          <w:bottom w:val="single" w:sz="12" w:space="1" w:color="2A6B7A"/>
        </w:pBdr>
      </w:pPr>
      <w:r>
        <w:rPr>
          <w:rFonts w:ascii="Aptos" w:hAnsi="Aptos" w:cs="Aptos"/>
          <w:b/>
          <w:i w:val="0"/>
          <w:color w:val="1F3A5F"/>
          <w:sz w:val="28"/>
        </w:rPr>
        <w:t>2. Contesto e Proposta di Valore</w:t>
      </w:r>
    </w:p>
    <w:p>
      <w:pPr>
        <w:spacing w:after="120" w:before="0" w:line="288" w:lineRule="auto"/>
      </w:pPr>
      <w:r>
        <w:rPr>
          <w:rFonts w:ascii="Aptos" w:hAnsi="Aptos" w:cs="Aptos"/>
          <w:b w:val="0"/>
          <w:i w:val="0"/>
          <w:sz w:val="22"/>
        </w:rPr>
        <w:t>Achipoint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in Lazio, con estensione su Abruzzo, Marche, Toscana ed Emilia Romagna e copertura nazionale per le commesse rilevanti.</w:t>
      </w:r>
    </w:p>
    <w:p>
      <w:pPr>
        <w:spacing w:after="120" w:before="0" w:line="288" w:lineRule="auto"/>
      </w:pPr>
      <w:r>
        <w:rPr>
          <w:rFonts w:ascii="Aptos" w:hAnsi="Aptos" w:cs="Aptos"/>
          <w:b w:val="0"/>
          <w:i w:val="0"/>
          <w:sz w:val="22"/>
        </w:rPr>
        <w:t>Oggi Achipoint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pPr>
        <w:spacing w:after="120" w:before="0" w:line="288" w:lineRule="auto"/>
      </w:pPr>
      <w:r>
        <w:rPr>
          <w:rFonts w:ascii="Aptos" w:hAnsi="Aptos" w:cs="Aptos"/>
          <w:b w:val="0"/>
          <w:i w:val="0"/>
          <w:sz w:val="22"/>
        </w:rPr>
        <w:t>La soluzione proposta abilita un nuovo processo: un canale commerciale strutturato e automatizzato sul mercato pubblico italiano, che oggi non è presidiato in modo sistematico.</w:t>
      </w:r>
    </w:p>
    <w:p>
      <w:pPr>
        <w:keepNext/>
        <w:spacing w:before="200" w:after="80"/>
      </w:pPr>
      <w:r>
        <w:rPr>
          <w:rFonts w:ascii="Aptos" w:hAnsi="Aptos" w:cs="Aptos"/>
          <w:b/>
          <w:i w:val="0"/>
          <w:color w:val="2A6B7A"/>
          <w:sz w:val="24"/>
        </w:rPr>
        <w:t>2.1 Proposta di valore in tre punti</w:t>
      </w:r>
    </w:p>
    <w:p>
      <w:pPr>
        <w:pStyle w:val="ListBullet"/>
        <w:spacing w:after="40" w:line="288" w:lineRule="auto"/>
      </w:pPr>
      <w:r>
        <w:rPr>
          <w:rFonts w:ascii="Aptos" w:hAnsi="Aptos" w:cs="Aptos"/>
          <w:b/>
          <w:i w:val="0"/>
          <w:sz w:val="22"/>
        </w:rPr>
        <w:t xml:space="preserve">Copertura. </w:t>
      </w:r>
      <w:r>
        <w:rPr>
          <w:rFonts w:ascii="Aptos" w:hAnsi="Aptos" w:cs="Aptos"/>
          <w:b w:val="0"/>
          <w:i w:val="0"/>
          <w:sz w:val="22"/>
        </w:rPr>
        <w:t>Achipoint accede all'intero mercato pubblico italiano (oltre 30.000 stazioni appaltanti per obbligo di legge), non solo ai 17 portali presidiati oggi.</w:t>
      </w:r>
    </w:p>
    <w:p>
      <w:pPr>
        <w:pStyle w:val="ListBullet"/>
        <w:spacing w:after="40" w:line="288" w:lineRule="auto"/>
      </w:pPr>
      <w:r>
        <w:rPr>
          <w:rFonts w:ascii="Aptos" w:hAnsi="Aptos" w:cs="Aptos"/>
          <w:b/>
          <w:i w:val="0"/>
          <w:sz w:val="22"/>
        </w:rPr>
        <w:t xml:space="preserve">Selezione qualitativa. </w:t>
      </w:r>
      <w:r>
        <w:rPr>
          <w:rFonts w:ascii="Aptos" w:hAnsi="Aptos" w:cs="Aptos"/>
          <w:b w:val="0"/>
          <w:i w:val="0"/>
          <w:sz w:val="22"/>
        </w:rPr>
        <w:t>L'AI presenta soltanto le opportunità realmente compatibili con il profilo Achipoint, con uno score 0-100 e la motivazione del punteggio. Il tempo del cliente si concentra solo sui bandi rilevanti.</w:t>
      </w:r>
    </w:p>
    <w:p>
      <w:pPr>
        <w:pStyle w:val="ListBullet"/>
        <w:spacing w:after="40" w:line="288" w:lineRule="auto"/>
      </w:pPr>
      <w:r>
        <w:rPr>
          <w:rFonts w:ascii="Aptos" w:hAnsi="Aptos" w:cs="Aptos"/>
          <w:b/>
          <w:i w:val="0"/>
          <w:sz w:val="22"/>
        </w:rPr>
        <w:t xml:space="preserve">Operatività semplice. </w:t>
      </w:r>
      <w:r>
        <w:rPr>
          <w:rFonts w:ascii="Aptos" w:hAnsi="Aptos" w:cs="Aptos"/>
          <w:b w:val="0"/>
          <w:i w:val="0"/>
          <w:sz w:val="22"/>
        </w:rPr>
        <w:t>Interfaccia consultabile in autonomia, senza dover monitorare manualmente portali e albi. Configurazione del profilo aziendale modificabile dall'utente in qualsiasi momento.</w:t>
      </w:r>
    </w:p>
    <w:p>
      <w:pPr>
        <w:keepNext/>
        <w:spacing w:before="360" w:after="160"/>
        <w:jc w:val="left"/>
        <w:pBdr>
          <w:bottom w:val="single" w:sz="12" w:space="1" w:color="2A6B7A"/>
        </w:pBdr>
      </w:pPr>
      <w:r>
        <w:rPr>
          <w:rFonts w:ascii="Aptos" w:hAnsi="Aptos" w:cs="Aptos"/>
          <w:b/>
          <w:i w:val="0"/>
          <w:color w:val="1F3A5F"/>
          <w:sz w:val="28"/>
        </w:rPr>
        <w:t>3. Soluzione Tecnica</w:t>
      </w:r>
    </w:p>
    <w:p>
      <w:pPr>
        <w:spacing w:after="120" w:before="0" w:line="288" w:lineRule="auto"/>
      </w:pPr>
      <w:r>
        <w:rPr>
          <w:rFonts w:ascii="Aptos" w:hAnsi="Aptos" w:cs="Aptos"/>
          <w:b w:val="0"/>
          <w:i w:val="0"/>
          <w:sz w:val="22"/>
        </w:rPr>
        <w:t>L'architettura della soluzione si fonda su una singola integrazione dati primaria — la Banca Dati Nazionale dei Contratti Pubblici (BDNCP) di ANAC — che, per obbligo di legge dal 2024, contiene tutti i contratti pubblici italiani sopra €40.000 di qualsiasi stazione appaltante. Sopra questa base dati opera un motore di intelligenza artificiale per il matching semantico con il profilo Achipoint e un'interfaccia web per la consultazione.</w:t>
      </w:r>
    </w:p>
    <w:p>
      <w:pPr>
        <w:keepNext/>
        <w:spacing w:before="200" w:after="80"/>
      </w:pPr>
      <w:r>
        <w:rPr>
          <w:rFonts w:ascii="Aptos" w:hAnsi="Aptos" w:cs="Aptos"/>
          <w:b/>
          <w:i w:val="0"/>
          <w:color w:val="2A6B7A"/>
          <w:sz w:val="24"/>
        </w:rPr>
        <w:t>3.1 Componenti funzionali</w:t>
      </w:r>
    </w:p>
    <w:p>
      <w:pPr>
        <w:pStyle w:val="ListBullet"/>
        <w:spacing w:after="40" w:line="288" w:lineRule="auto"/>
      </w:pPr>
      <w:r>
        <w:rPr>
          <w:rFonts w:ascii="Aptos" w:hAnsi="Aptos" w:cs="Aptos"/>
          <w:b/>
          <w:i w:val="0"/>
          <w:sz w:val="22"/>
        </w:rPr>
        <w:t xml:space="preserve">Modulo A — Raccolta e aggregazione: </w:t>
      </w:r>
      <w:r>
        <w:rPr>
          <w:rFonts w:ascii="Aptos" w:hAnsi="Aptos" w:cs="Aptos"/>
          <w:b w:val="0"/>
          <w:i w:val="0"/>
          <w:sz w:val="22"/>
        </w:rPr>
        <w:t>integrazione con le API ufficiali pubbliche e gratuite di BDNCP/ANAC, con aggiornamento giornaliero dei bandi e gestione della deduplicazione.</w:t>
      </w:r>
    </w:p>
    <w:p>
      <w:pPr>
        <w:pStyle w:val="ListBullet"/>
        <w:spacing w:after="40" w:line="288" w:lineRule="auto"/>
      </w:pPr>
      <w:r>
        <w:rPr>
          <w:rFonts w:ascii="Aptos" w:hAnsi="Aptos" w:cs="Aptos"/>
          <w:b/>
          <w:i w:val="0"/>
          <w:sz w:val="22"/>
        </w:rPr>
        <w:t xml:space="preserve">Modulo B — Filtraggio e scoring: </w:t>
      </w:r>
      <w:r>
        <w:rPr>
          <w:rFonts w:ascii="Aptos" w:hAnsi="Aptos" w:cs="Aptos"/>
          <w:b w:val="0"/>
          <w:i w:val="0"/>
          <w:sz w:val="22"/>
        </w:rPr>
        <w:t>profilo aziendale configurabile (servizi, parole chiave, qualificazioni, geografia, soglie); pre-filtri deterministici; filtro qualificazioni come gate di esclusione; scoring AI 0-100 con motivazione testuale per ogni bando.</w:t>
      </w:r>
    </w:p>
    <w:p>
      <w:pPr>
        <w:pStyle w:val="ListBullet"/>
        <w:spacing w:after="40" w:line="288" w:lineRule="auto"/>
      </w:pPr>
      <w:r>
        <w:rPr>
          <w:rFonts w:ascii="Aptos" w:hAnsi="Aptos" w:cs="Aptos"/>
          <w:b/>
          <w:i w:val="0"/>
          <w:sz w:val="22"/>
        </w:rPr>
        <w:t xml:space="preserve">Interfaccia web minima: </w:t>
      </w:r>
      <w:r>
        <w:rPr>
          <w:rFonts w:ascii="Aptos" w:hAnsi="Aptos" w:cs="Aptos"/>
          <w:b w:val="0"/>
          <w:i w:val="0"/>
          <w:sz w:val="22"/>
        </w:rPr>
        <w:t>autenticazione utente, elenco opportunità ordinato per score con filtri e ricerca, pagina di dettaglio con motivazione e link alla fonte ufficiale, configurazione profilo aziendale dall'UI.</w:t>
      </w:r>
    </w:p>
    <w:p>
      <w:pPr>
        <w:keepNext/>
        <w:spacing w:before="200" w:after="80"/>
      </w:pPr>
      <w:r>
        <w:rPr>
          <w:rFonts w:ascii="Aptos" w:hAnsi="Aptos" w:cs="Aptos"/>
          <w:b/>
          <w:i w:val="0"/>
          <w:color w:val="2A6B7A"/>
          <w:sz w:val="24"/>
        </w:rPr>
        <w:t>3.2 Estensione oltre i 17 portali Achipoint</w:t>
      </w:r>
    </w:p>
    <w:p>
      <w:pPr>
        <w:spacing w:after="120" w:before="0" w:line="288" w:lineRule="auto"/>
      </w:pPr>
      <w:r>
        <w:rPr>
          <w:rFonts w:ascii="Aptos" w:hAnsi="Aptos" w:cs="Aptos"/>
          <w:b w:val="0"/>
          <w:i w:val="0"/>
          <w:sz w:val="22"/>
        </w:rPr>
        <w:t>Pur partendo da una singola integrazione tecnica (BDNCP), l'MVP copre l'intero universo pubblico italiano: dei 17 portali a cui Achipoint è iscritta, 13 (soggetti pubblici o a controllo pubblico — Roma Capitale, Senato, SOGIN, EUR SpA, Zetema, Parco Archeologico del Colosseo, Sovrintendenza Speciale Roma, Sinesgy, MEPA, ANAC stessa) rientrano per obbligo di legge nella BDNCP; 3 sono parzialmente coperti per la parte di gare sopra soglia (ANAS, ADR, Portale Stella) e i restanti — committenti privati strutturati ed enti esteri — restano fuori perimetro MVP e sono trattati come ampliamenti di Fase 2.</w:t>
      </w:r>
    </w:p>
    <w:p>
      <w:pPr>
        <w:spacing w:after="120" w:before="0" w:line="288" w:lineRule="auto"/>
      </w:pPr>
      <w:r>
        <w:rPr>
          <w:rFonts w:ascii="Aptos" w:hAnsi="Aptos" w:cs="Aptos"/>
          <w:b w:val="0"/>
          <w:i w:val="0"/>
          <w:sz w:val="22"/>
        </w:rPr>
        <w:t>Il valore aggiunto immediato è quello di passare da 17 portali presidiati saltuariamente a un mercato di riferimento di oltre 30.000 stazioni appaltanti monitorate quotidianamente con la stessa singola integrazione tecnica.</w:t>
      </w:r>
    </w:p>
    <w:p>
      <w:pPr>
        <w:keepNext/>
        <w:spacing w:before="200" w:after="80"/>
      </w:pPr>
      <w:r>
        <w:rPr>
          <w:rFonts w:ascii="Aptos" w:hAnsi="Aptos" w:cs="Aptos"/>
          <w:b/>
          <w:i w:val="0"/>
          <w:color w:val="2A6B7A"/>
          <w:sz w:val="24"/>
        </w:rPr>
        <w:t>3.3 Architettura model-agnostic</w:t>
      </w:r>
    </w:p>
    <w:p>
      <w:pPr>
        <w:spacing w:after="120" w:before="0" w:line="288" w:lineRule="auto"/>
      </w:pPr>
      <w:r>
        <w:rPr>
          <w:rFonts w:ascii="Aptos" w:hAnsi="Aptos" w:cs="Aptos"/>
          <w:b w:val="0"/>
          <w:i w:val="0"/>
          <w:sz w:val="22"/>
        </w:rPr>
        <w:t>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pPr>
        <w:keepNext/>
        <w:spacing w:before="360" w:after="160"/>
        <w:jc w:val="left"/>
        <w:pBdr>
          <w:bottom w:val="single" w:sz="12" w:space="1" w:color="2A6B7A"/>
        </w:pBdr>
      </w:pPr>
      <w:r>
        <w:rPr>
          <w:rFonts w:ascii="Aptos" w:hAnsi="Aptos" w:cs="Aptos"/>
          <w:b/>
          <w:i w:val="0"/>
          <w:color w:val="1F3A5F"/>
          <w:sz w:val="28"/>
        </w:rPr>
        <w:t>4. Sicurezza e Compliance</w:t>
      </w:r>
    </w:p>
    <w:p>
      <w:pPr>
        <w:pStyle w:val="ListBullet"/>
        <w:spacing w:after="40" w:line="288" w:lineRule="auto"/>
      </w:pPr>
      <w:r>
        <w:rPr>
          <w:rFonts w:ascii="Aptos" w:hAnsi="Aptos" w:cs="Aptos"/>
          <w:b/>
          <w:i w:val="0"/>
          <w:sz w:val="22"/>
        </w:rPr>
        <w:t xml:space="preserve">Autenticazione. </w:t>
      </w:r>
      <w:r>
        <w:rPr>
          <w:rFonts w:ascii="Aptos" w:hAnsi="Aptos" w:cs="Aptos"/>
          <w:b w:val="0"/>
          <w:i w:val="0"/>
          <w:sz w:val="22"/>
        </w:rPr>
        <w:t>autenticazione utente con credenziali individuali per i 3-5 account aziendali Achipoint.</w:t>
      </w:r>
    </w:p>
    <w:p>
      <w:pPr>
        <w:pStyle w:val="ListBullet"/>
        <w:spacing w:after="40" w:line="288" w:lineRule="auto"/>
      </w:pPr>
      <w:r>
        <w:rPr>
          <w:rFonts w:ascii="Aptos" w:hAnsi="Aptos" w:cs="Aptos"/>
          <w:b/>
          <w:i w:val="0"/>
          <w:sz w:val="22"/>
        </w:rPr>
        <w:t xml:space="preserve">Protezione dati. </w:t>
      </w:r>
      <w:r>
        <w:rPr>
          <w:rFonts w:ascii="Aptos" w:hAnsi="Aptos" w:cs="Aptos"/>
          <w:b w:val="0"/>
          <w:i w:val="0"/>
          <w:sz w:val="22"/>
        </w:rPr>
        <w:t>crittografia dati a riposo e in transito (TLS), log degli accessi per tracciabilità.</w:t>
      </w:r>
    </w:p>
    <w:p>
      <w:pPr>
        <w:pStyle w:val="ListBullet"/>
        <w:spacing w:after="40" w:line="288" w:lineRule="auto"/>
      </w:pPr>
      <w:r>
        <w:rPr>
          <w:rFonts w:ascii="Aptos" w:hAnsi="Aptos" w:cs="Aptos"/>
          <w:b/>
          <w:i w:val="0"/>
          <w:sz w:val="22"/>
        </w:rPr>
        <w:t xml:space="preserve">GDPR. </w:t>
      </w:r>
      <w:r>
        <w:rPr>
          <w:rFonts w:ascii="Aptos" w:hAnsi="Aptos" w:cs="Aptos"/>
          <w:b w:val="0"/>
          <w:i w:val="0"/>
          <w:sz w:val="22"/>
        </w:rPr>
        <w:t>trattamento dati utenti aziendali conforme al Regolamento UE 2016/679. Sottoscrizione DPA tra le parti.</w:t>
      </w:r>
    </w:p>
    <w:p>
      <w:pPr>
        <w:pStyle w:val="ListBullet"/>
        <w:spacing w:after="40" w:line="288" w:lineRule="auto"/>
      </w:pPr>
      <w:r>
        <w:rPr>
          <w:rFonts w:ascii="Aptos" w:hAnsi="Aptos" w:cs="Aptos"/>
          <w:b/>
          <w:i w:val="0"/>
          <w:sz w:val="22"/>
        </w:rPr>
        <w:t xml:space="preserve">Manutenibilità. </w:t>
      </w:r>
      <w:r>
        <w:rPr>
          <w:rFonts w:ascii="Aptos" w:hAnsi="Aptos" w:cs="Aptos"/>
          <w:b w:val="0"/>
          <w:i w:val="0"/>
          <w:sz w:val="22"/>
        </w:rPr>
        <w:t>l'unica dipendenza esterna critica dell'MVP è la fonte dati pubblica ufficiale BDNCP, gratuita, documentata e stabile per obbligo di legge.</w:t>
      </w:r>
    </w:p>
    <w:p>
      <w:pPr>
        <w:keepNext/>
        <w:spacing w:before="360" w:after="160"/>
        <w:jc w:val="left"/>
        <w:pBdr>
          <w:bottom w:val="single" w:sz="12" w:space="1" w:color="2A6B7A"/>
        </w:pBdr>
      </w:pPr>
      <w:r>
        <w:rPr>
          <w:rFonts w:ascii="Aptos" w:hAnsi="Aptos" w:cs="Aptos"/>
          <w:b/>
          <w:i w:val="0"/>
          <w:color w:val="1F3A5F"/>
          <w:sz w:val="28"/>
        </w:rPr>
        <w:t>5. Piano di Lavoro</w:t>
      </w:r>
    </w:p>
    <w:p>
      <w:pPr>
        <w:spacing w:after="120" w:before="0" w:line="288" w:lineRule="auto"/>
      </w:pPr>
      <w:r>
        <w:rPr>
          <w:rFonts w:ascii="Aptos" w:hAnsi="Aptos" w:cs="Aptos"/>
          <w:b w:val="0"/>
          <w:i w:val="0"/>
          <w:sz w:val="22"/>
        </w:rPr>
        <w:t>Lo sviluppo del MVP segue un approccio agile articolato in 4 fasi, per un totale di circa 12 settimane (3 mesi) dalla firma del contratto.</w:t>
      </w:r>
    </w:p>
    <w:tbl>
      <w:tblPr>
        <w:tblStyle w:val="MediumShading1-Accent1"/>
        <w:tblW w:type="auto" w:w="0"/>
        <w:jc w:val="left"/>
        <w:tblLook w:firstColumn="1" w:firstRow="1" w:lastColumn="0" w:lastRow="0" w:noHBand="0" w:noVBand="1" w:val="04A0"/>
      </w:tblPr>
      <w:tblGrid>
        <w:gridCol w:w="2351"/>
        <w:gridCol w:w="2351"/>
        <w:gridCol w:w="2351"/>
        <w:gridCol w:w="2351"/>
      </w:tblGrid>
      <w:tr>
        <w:tc>
          <w:tcPr>
            <w:tcW w:type="dxa" w:w="2381"/>
          </w:tcPr>
          <w:p>
            <w:r/>
            <w:r>
              <w:rPr>
                <w:rFonts w:ascii="Aptos" w:hAnsi="Aptos" w:cs="Aptos"/>
                <w:b/>
                <w:i w:val="0"/>
                <w:color w:val="FFFFFF"/>
                <w:sz w:val="20"/>
              </w:rPr>
              <w:t>Fase</w:t>
            </w:r>
          </w:p>
        </w:tc>
        <w:tc>
          <w:tcPr>
            <w:tcW w:type="dxa" w:w="1361"/>
          </w:tcPr>
          <w:p>
            <w:r/>
            <w:r>
              <w:rPr>
                <w:rFonts w:ascii="Aptos" w:hAnsi="Aptos" w:cs="Aptos"/>
                <w:b/>
                <w:i w:val="0"/>
                <w:color w:val="FFFFFF"/>
                <w:sz w:val="20"/>
              </w:rPr>
              <w:t>Settimane</w:t>
            </w:r>
          </w:p>
        </w:tc>
        <w:tc>
          <w:tcPr>
            <w:tcW w:type="dxa" w:w="4252"/>
          </w:tcPr>
          <w:p>
            <w:r/>
            <w:r>
              <w:rPr>
                <w:rFonts w:ascii="Aptos" w:hAnsi="Aptos" w:cs="Aptos"/>
                <w:b/>
                <w:i w:val="0"/>
                <w:color w:val="FFFFFF"/>
                <w:sz w:val="20"/>
              </w:rPr>
              <w:t>Attività principali</w:t>
            </w:r>
          </w:p>
        </w:tc>
        <w:tc>
          <w:tcPr>
            <w:tcW w:type="dxa" w:w="2268"/>
          </w:tcPr>
          <w:p>
            <w:r/>
            <w:r>
              <w:rPr>
                <w:rFonts w:ascii="Aptos" w:hAnsi="Aptos" w:cs="Aptos"/>
                <w:b/>
                <w:i w:val="0"/>
                <w:color w:val="FFFFFF"/>
                <w:sz w:val="20"/>
              </w:rPr>
              <w:t>Output</w:t>
            </w:r>
          </w:p>
        </w:tc>
      </w:tr>
      <w:tr>
        <w:tc>
          <w:tcPr>
            <w:tcW w:type="dxa" w:w="2381"/>
          </w:tcPr>
          <w:p>
            <w:r/>
            <w:r>
              <w:rPr>
                <w:rFonts w:ascii="Aptos" w:hAnsi="Aptos" w:cs="Aptos"/>
                <w:b w:val="0"/>
                <w:i w:val="0"/>
                <w:sz w:val="20"/>
              </w:rPr>
              <w:t>F0 — Kick-off e analisi</w:t>
            </w:r>
          </w:p>
        </w:tc>
        <w:tc>
          <w:tcPr>
            <w:tcW w:type="dxa" w:w="1361"/>
          </w:tcPr>
          <w:p>
            <w:r/>
            <w:r>
              <w:rPr>
                <w:rFonts w:ascii="Aptos" w:hAnsi="Aptos" w:cs="Aptos"/>
                <w:b w:val="0"/>
                <w:i w:val="0"/>
                <w:sz w:val="20"/>
              </w:rPr>
              <w:t>Sett. 1-2</w:t>
            </w:r>
          </w:p>
        </w:tc>
        <w:tc>
          <w:tcPr>
            <w:tcW w:type="dxa" w:w="4252"/>
          </w:tcPr>
          <w:p>
            <w:r/>
            <w:r>
              <w:rPr>
                <w:rFonts w:ascii="Aptos" w:hAnsi="Aptos" w:cs="Aptos"/>
                <w:b w:val="0"/>
                <w:i w:val="0"/>
                <w:sz w:val="20"/>
              </w:rPr>
              <w:t>Allineamento profilo Achipoint, definizione default soglia/parole chiave/geografia, setup ambiente di sviluppo, validazione integrazione API BDNCP.</w:t>
            </w:r>
          </w:p>
        </w:tc>
        <w:tc>
          <w:tcPr>
            <w:tcW w:type="dxa" w:w="2268"/>
          </w:tcPr>
          <w:p>
            <w:r/>
            <w:r>
              <w:rPr>
                <w:rFonts w:ascii="Aptos" w:hAnsi="Aptos" w:cs="Aptos"/>
                <w:b w:val="0"/>
                <w:i w:val="0"/>
                <w:sz w:val="20"/>
              </w:rPr>
              <w:t>Profilo aziendale finalizzato; ambiente dev pronto.</w:t>
            </w:r>
          </w:p>
        </w:tc>
      </w:tr>
      <w:tr>
        <w:tc>
          <w:tcPr>
            <w:tcW w:type="dxa" w:w="2381"/>
          </w:tcPr>
          <w:p>
            <w:r/>
            <w:r>
              <w:rPr>
                <w:rFonts w:ascii="Aptos" w:hAnsi="Aptos" w:cs="Aptos"/>
                <w:b w:val="0"/>
                <w:i w:val="0"/>
                <w:sz w:val="20"/>
              </w:rPr>
              <w:t>F1 — Modulo A</w:t>
            </w:r>
          </w:p>
        </w:tc>
        <w:tc>
          <w:tcPr>
            <w:tcW w:type="dxa" w:w="1361"/>
          </w:tcPr>
          <w:p>
            <w:r/>
            <w:r>
              <w:rPr>
                <w:rFonts w:ascii="Aptos" w:hAnsi="Aptos" w:cs="Aptos"/>
                <w:b w:val="0"/>
                <w:i w:val="0"/>
                <w:sz w:val="20"/>
              </w:rPr>
              <w:t>Sett. 3-5</w:t>
            </w:r>
          </w:p>
        </w:tc>
        <w:tc>
          <w:tcPr>
            <w:tcW w:type="dxa" w:w="4252"/>
          </w:tcPr>
          <w:p>
            <w:r/>
            <w:r>
              <w:rPr>
                <w:rFonts w:ascii="Aptos" w:hAnsi="Aptos" w:cs="Aptos"/>
                <w:b w:val="0"/>
                <w:i w:val="0"/>
                <w:sz w:val="20"/>
              </w:rPr>
              <w:t>Sviluppo ingestion BDNCP, gestione deduplicazione, persistenza dati.</w:t>
            </w:r>
          </w:p>
        </w:tc>
        <w:tc>
          <w:tcPr>
            <w:tcW w:type="dxa" w:w="2268"/>
          </w:tcPr>
          <w:p>
            <w:r/>
            <w:r>
              <w:rPr>
                <w:rFonts w:ascii="Aptos" w:hAnsi="Aptos" w:cs="Aptos"/>
                <w:b w:val="0"/>
                <w:i w:val="0"/>
                <w:sz w:val="20"/>
              </w:rPr>
              <w:t>Modulo A funzionante in ambiente di test.</w:t>
            </w:r>
          </w:p>
        </w:tc>
      </w:tr>
      <w:tr>
        <w:tc>
          <w:tcPr>
            <w:tcW w:type="dxa" w:w="2381"/>
          </w:tcPr>
          <w:p>
            <w:r/>
            <w:r>
              <w:rPr>
                <w:rFonts w:ascii="Aptos" w:hAnsi="Aptos" w:cs="Aptos"/>
                <w:b w:val="0"/>
                <w:i w:val="0"/>
                <w:sz w:val="20"/>
              </w:rPr>
              <w:t>F2 — Modulo B + UI</w:t>
            </w:r>
          </w:p>
        </w:tc>
        <w:tc>
          <w:tcPr>
            <w:tcW w:type="dxa" w:w="1361"/>
          </w:tcPr>
          <w:p>
            <w:r/>
            <w:r>
              <w:rPr>
                <w:rFonts w:ascii="Aptos" w:hAnsi="Aptos" w:cs="Aptos"/>
                <w:b w:val="0"/>
                <w:i w:val="0"/>
                <w:sz w:val="20"/>
              </w:rPr>
              <w:t>Sett. 6-9</w:t>
            </w:r>
          </w:p>
        </w:tc>
        <w:tc>
          <w:tcPr>
            <w:tcW w:type="dxa" w:w="4252"/>
          </w:tcPr>
          <w:p>
            <w:r/>
            <w:r>
              <w:rPr>
                <w:rFonts w:ascii="Aptos" w:hAnsi="Aptos" w:cs="Aptos"/>
                <w:b w:val="0"/>
                <w:i w:val="0"/>
                <w:sz w:val="20"/>
              </w:rPr>
              <w:t>Sviluppo motore di scoring AI, interfaccia web minima, configurazione profilo dall'UI, login.</w:t>
            </w:r>
          </w:p>
        </w:tc>
        <w:tc>
          <w:tcPr>
            <w:tcW w:type="dxa" w:w="2268"/>
          </w:tcPr>
          <w:p>
            <w:r/>
            <w:r>
              <w:rPr>
                <w:rFonts w:ascii="Aptos" w:hAnsi="Aptos" w:cs="Aptos"/>
                <w:b w:val="0"/>
                <w:i w:val="0"/>
                <w:sz w:val="20"/>
              </w:rPr>
              <w:t>MVP fruibile end-to-end.</w:t>
            </w:r>
          </w:p>
        </w:tc>
      </w:tr>
      <w:tr>
        <w:tc>
          <w:tcPr>
            <w:tcW w:type="dxa" w:w="2381"/>
          </w:tcPr>
          <w:p>
            <w:r/>
            <w:r>
              <w:rPr>
                <w:rFonts w:ascii="Aptos" w:hAnsi="Aptos" w:cs="Aptos"/>
                <w:b w:val="0"/>
                <w:i w:val="0"/>
                <w:sz w:val="20"/>
              </w:rPr>
              <w:t>F3 — Test, rilascio, training</w:t>
            </w:r>
          </w:p>
        </w:tc>
        <w:tc>
          <w:tcPr>
            <w:tcW w:type="dxa" w:w="1361"/>
          </w:tcPr>
          <w:p>
            <w:r/>
            <w:r>
              <w:rPr>
                <w:rFonts w:ascii="Aptos" w:hAnsi="Aptos" w:cs="Aptos"/>
                <w:b w:val="0"/>
                <w:i w:val="0"/>
                <w:sz w:val="20"/>
              </w:rPr>
              <w:t>Sett. 10-12</w:t>
            </w:r>
          </w:p>
        </w:tc>
        <w:tc>
          <w:tcPr>
            <w:tcW w:type="dxa" w:w="4252"/>
          </w:tcPr>
          <w:p>
            <w:r/>
            <w:r>
              <w:rPr>
                <w:rFonts w:ascii="Aptos" w:hAnsi="Aptos" w:cs="Aptos"/>
                <w:b w:val="0"/>
                <w:i w:val="0"/>
                <w:sz w:val="20"/>
              </w:rPr>
              <w:t>User Acceptance Test con utenti Achipoint, deploy in produzione, training operativo (fino a 2 ore), 30 giorni di assistenza correttiva post go-live (bug fixing fino a 10 ore).</w:t>
            </w:r>
          </w:p>
        </w:tc>
        <w:tc>
          <w:tcPr>
            <w:tcW w:type="dxa" w:w="2268"/>
          </w:tcPr>
          <w:p>
            <w:r/>
            <w:r>
              <w:rPr>
                <w:rFonts w:ascii="Aptos" w:hAnsi="Aptos" w:cs="Aptos"/>
                <w:b w:val="0"/>
                <w:i w:val="0"/>
                <w:sz w:val="20"/>
              </w:rPr>
              <w:t>Piattaforma in produzione.</w:t>
            </w:r>
          </w:p>
        </w:tc>
      </w:tr>
    </w:tbl>
    <w:p>
      <w:pPr>
        <w:keepNext/>
        <w:spacing w:before="360" w:after="160"/>
        <w:jc w:val="left"/>
        <w:pBdr>
          <w:bottom w:val="single" w:sz="12" w:space="1" w:color="2A6B7A"/>
        </w:pBdr>
      </w:pPr>
      <w:r>
        <w:rPr>
          <w:rFonts w:ascii="Aptos" w:hAnsi="Aptos" w:cs="Aptos"/>
          <w:b/>
          <w:i w:val="0"/>
          <w:color w:val="1F3A5F"/>
          <w:sz w:val="28"/>
        </w:rPr>
        <w:t>6. Investimento</w:t>
      </w:r>
    </w:p>
    <w:p>
      <w:pPr>
        <w:spacing w:after="120" w:before="0" w:line="288" w:lineRule="auto"/>
      </w:pPr>
      <w:r>
        <w:rPr>
          <w:rFonts w:ascii="Aptos" w:hAnsi="Aptos" w:cs="Aptos"/>
          <w:b w:val="0"/>
          <w:i w:val="0"/>
          <w:sz w:val="22"/>
        </w:rPr>
        <w:t>L'investimento è strutturato in modo modulare per consentire ad Achipoint di scegliere consapevolmente il perimetro del primo rilascio e attivare le funzionalità evolutive in momenti successivi, dopo aver validato il valore della soluzione di base.</w:t>
      </w:r>
    </w:p>
    <w:p>
      <w:pPr>
        <w:keepNext/>
        <w:spacing w:before="200" w:after="80"/>
      </w:pPr>
      <w:r>
        <w:rPr>
          <w:rFonts w:ascii="Aptos" w:hAnsi="Aptos" w:cs="Aptos"/>
          <w:b/>
          <w:i w:val="0"/>
          <w:color w:val="2A6B7A"/>
          <w:sz w:val="24"/>
        </w:rPr>
        <w:t>6.1 MVP — Investimento</w:t>
      </w:r>
    </w:p>
    <w:tbl>
      <w:tblPr>
        <w:tblStyle w:val="LightGrid-Accent1"/>
        <w:tblW w:type="auto" w:w="0"/>
        <w:jc w:val="left"/>
        <w:tblLook w:firstColumn="1" w:firstRow="1" w:lastColumn="0" w:lastRow="0" w:noHBand="0" w:noVBand="1" w:val="04A0"/>
      </w:tblPr>
      <w:tblGrid>
        <w:gridCol w:w="4703"/>
        <w:gridCol w:w="4703"/>
      </w:tblGrid>
      <w:tr>
        <w:tc>
          <w:tcPr>
            <w:tcW w:type="dxa" w:w="7087"/>
          </w:tcPr>
          <w:p>
            <w:r/>
            <w:r>
              <w:rPr>
                <w:rFonts w:ascii="Aptos" w:hAnsi="Aptos" w:cs="Aptos"/>
                <w:b/>
                <w:i w:val="0"/>
                <w:sz w:val="20"/>
              </w:rPr>
              <w:t>Pacchetto MVP Essenziale (Modulo A + Modulo B + Interfaccia minima)</w:t>
            </w:r>
          </w:p>
        </w:tc>
        <w:tc>
          <w:tcPr>
            <w:tcW w:type="dxa" w:w="1984"/>
          </w:tcPr>
          <w:p>
            <w:pPr>
              <w:jc w:val="right"/>
            </w:pPr>
            <w:r/>
            <w:r>
              <w:rPr>
                <w:rFonts w:ascii="Aptos" w:hAnsi="Aptos" w:cs="Aptos"/>
                <w:b/>
                <w:i w:val="0"/>
                <w:color w:val="1F3A5F"/>
                <w:sz w:val="22"/>
              </w:rPr>
              <w:t>€ 38.000</w:t>
            </w:r>
          </w:p>
        </w:tc>
      </w:tr>
      <w:tr>
        <w:tc>
          <w:tcPr>
            <w:tcW w:type="dxa" w:w="7087"/>
          </w:tcPr>
          <w:p>
            <w:r/>
            <w:r>
              <w:rPr>
                <w:rFonts w:ascii="Aptos" w:hAnsi="Aptos" w:cs="Aptos"/>
                <w:b/>
                <w:i w:val="0"/>
                <w:sz w:val="20"/>
              </w:rPr>
              <w:t>Pacchetto MVP Completo (MVP Essenziale + 4 funzionalità opzionali integrate)</w:t>
            </w:r>
          </w:p>
        </w:tc>
        <w:tc>
          <w:tcPr>
            <w:tcW w:type="dxa" w:w="1984"/>
          </w:tcPr>
          <w:p>
            <w:pPr>
              <w:jc w:val="right"/>
            </w:pPr>
            <w:r/>
            <w:r>
              <w:rPr>
                <w:rFonts w:ascii="Aptos" w:hAnsi="Aptos" w:cs="Aptos"/>
                <w:b/>
                <w:i w:val="0"/>
                <w:color w:val="1F3A5F"/>
                <w:sz w:val="22"/>
              </w:rPr>
              <w:t>€ 45.000</w:t>
            </w:r>
          </w:p>
        </w:tc>
      </w:tr>
      <w:tr>
        <w:tc>
          <w:tcPr>
            <w:tcW w:type="dxa" w:w="7087"/>
          </w:tcPr>
          <w:p>
            <w:r/>
            <w:r>
              <w:rPr>
                <w:rFonts w:ascii="Aptos" w:hAnsi="Aptos" w:cs="Aptos"/>
                <w:b w:val="0"/>
                <w:i w:val="0"/>
                <w:sz w:val="20"/>
              </w:rPr>
              <w:t>Risparmio Pacchetto Completo vs acquisto opzioni separate</w:t>
            </w:r>
          </w:p>
        </w:tc>
        <w:tc>
          <w:tcPr>
            <w:tcW w:type="dxa" w:w="1984"/>
          </w:tcPr>
          <w:p>
            <w:pPr>
              <w:jc w:val="right"/>
            </w:pPr>
            <w:r/>
            <w:r>
              <w:rPr>
                <w:rFonts w:ascii="Aptos" w:hAnsi="Aptos" w:cs="Aptos"/>
                <w:b w:val="0"/>
                <w:i w:val="0"/>
                <w:color w:val="2A6B7A"/>
                <w:sz w:val="22"/>
              </w:rPr>
              <w:t>− € 3.500</w:t>
            </w:r>
          </w:p>
        </w:tc>
      </w:tr>
    </w:tbl>
    <w:p>
      <w:pPr>
        <w:spacing w:after="120" w:before="80" w:line="288" w:lineRule="auto"/>
      </w:pPr>
      <w:r>
        <w:rPr>
          <w:rFonts w:ascii="Aptos" w:hAnsi="Aptos" w:cs="Aptos"/>
          <w:b w:val="0"/>
          <w:i/>
          <w:color w:val="606060"/>
          <w:sz w:val="18"/>
        </w:rPr>
        <w:t>Importi al netto di IVA. Pagamento articolato in 3 tranche legate alle milestone (vedi sezione 7).</w:t>
      </w:r>
    </w:p>
    <w:p>
      <w:pPr>
        <w:keepNext/>
        <w:spacing w:before="200" w:after="80"/>
      </w:pPr>
      <w:r>
        <w:rPr>
          <w:rFonts w:ascii="Aptos" w:hAnsi="Aptos" w:cs="Aptos"/>
          <w:b/>
          <w:i w:val="0"/>
          <w:color w:val="2A6B7A"/>
          <w:sz w:val="24"/>
        </w:rPr>
        <w:t>6.2 Funzionalità opzionali MVP — quotabili anche separatamente</w:t>
      </w:r>
    </w:p>
    <w:p>
      <w:pPr>
        <w:spacing w:after="120" w:before="0" w:line="288" w:lineRule="auto"/>
      </w:pPr>
      <w:r>
        <w:rPr>
          <w:rFonts w:ascii="Aptos" w:hAnsi="Aptos" w:cs="Aptos"/>
          <w:b w:val="0"/>
          <w:i w:val="0"/>
          <w:sz w:val="22"/>
        </w:rPr>
        <w:t>Se Achipoint preferisce partire dal pacchetto Essenziale, ciascuna delle 4 funzionalità opzionali è attivabile singolarmente:</w:t>
      </w:r>
    </w:p>
    <w:tbl>
      <w:tblPr>
        <w:tblStyle w:val="LightGrid-Accent1"/>
        <w:tblW w:type="auto" w:w="0"/>
        <w:jc w:val="left"/>
        <w:tblLook w:firstColumn="1" w:firstRow="1" w:lastColumn="0" w:lastRow="0" w:noHBand="0" w:noVBand="1" w:val="04A0"/>
      </w:tblPr>
      <w:tblGrid>
        <w:gridCol w:w="4703"/>
        <w:gridCol w:w="4703"/>
      </w:tblGrid>
      <w:tr>
        <w:tc>
          <w:tcPr>
            <w:tcW w:type="dxa" w:w="7370"/>
          </w:tcPr>
          <w:p>
            <w:r/>
            <w:r>
              <w:rPr>
                <w:rFonts w:ascii="Aptos" w:hAnsi="Aptos" w:cs="Aptos"/>
                <w:b/>
                <w:i w:val="0"/>
                <w:color w:val="FFFFFF"/>
                <w:sz w:val="20"/>
              </w:rPr>
              <w:t>Funzionalità</w:t>
            </w:r>
          </w:p>
        </w:tc>
        <w:tc>
          <w:tcPr>
            <w:tcW w:type="dxa" w:w="1701"/>
          </w:tcPr>
          <w:p>
            <w:pPr>
              <w:jc w:val="right"/>
            </w:pPr>
            <w:r/>
            <w:r>
              <w:rPr>
                <w:rFonts w:ascii="Aptos" w:hAnsi="Aptos" w:cs="Aptos"/>
                <w:b/>
                <w:i w:val="0"/>
                <w:color w:val="FFFFFF"/>
                <w:sz w:val="20"/>
              </w:rPr>
              <w:t>Investimento</w:t>
            </w:r>
          </w:p>
        </w:tc>
      </w:tr>
      <w:tr>
        <w:tc>
          <w:tcPr>
            <w:tcW w:type="dxa" w:w="7370"/>
          </w:tcPr>
          <w:p>
            <w:r/>
            <w:r>
              <w:rPr>
                <w:rFonts w:ascii="Aptos" w:hAnsi="Aptos" w:cs="Aptos"/>
                <w:b w:val="0"/>
                <w:i w:val="0"/>
                <w:sz w:val="20"/>
              </w:rPr>
              <w:t>Aggiornamento automatico periodico della raccolta dati (la ricerca parte automaticamente, senza avvio manuale)</w:t>
            </w:r>
          </w:p>
        </w:tc>
        <w:tc>
          <w:tcPr>
            <w:tcW w:type="dxa" w:w="1701"/>
          </w:tcPr>
          <w:p>
            <w:pPr>
              <w:jc w:val="right"/>
            </w:pPr>
            <w:r/>
            <w:r>
              <w:rPr>
                <w:rFonts w:ascii="Aptos" w:hAnsi="Aptos" w:cs="Aptos"/>
                <w:b w:val="0"/>
                <w:i w:val="0"/>
                <w:color w:val="1F3A5F"/>
                <w:sz w:val="20"/>
              </w:rPr>
              <w:t>€ 2.500</w:t>
            </w:r>
          </w:p>
        </w:tc>
      </w:tr>
      <w:tr>
        <w:tc>
          <w:tcPr>
            <w:tcW w:type="dxa" w:w="7370"/>
          </w:tcPr>
          <w:p>
            <w:r/>
            <w:r>
              <w:rPr>
                <w:rFonts w:ascii="Aptos" w:hAnsi="Aptos" w:cs="Aptos"/>
                <w:b w:val="0"/>
                <w:i w:val="0"/>
                <w:sz w:val="20"/>
              </w:rPr>
              <w:t>Notifiche email periodiche (giornaliere o settimanali) con elenco sintetico nuove opportunità rilevanti</w:t>
            </w:r>
          </w:p>
        </w:tc>
        <w:tc>
          <w:tcPr>
            <w:tcW w:type="dxa" w:w="1701"/>
          </w:tcPr>
          <w:p>
            <w:pPr>
              <w:jc w:val="right"/>
            </w:pPr>
            <w:r/>
            <w:r>
              <w:rPr>
                <w:rFonts w:ascii="Aptos" w:hAnsi="Aptos" w:cs="Aptos"/>
                <w:b w:val="0"/>
                <w:i w:val="0"/>
                <w:color w:val="1F3A5F"/>
                <w:sz w:val="20"/>
              </w:rPr>
              <w:t>€ 2.000</w:t>
            </w:r>
          </w:p>
        </w:tc>
      </w:tr>
      <w:tr>
        <w:tc>
          <w:tcPr>
            <w:tcW w:type="dxa" w:w="7370"/>
          </w:tcPr>
          <w:p>
            <w:r/>
            <w:r>
              <w:rPr>
                <w:rFonts w:ascii="Aptos" w:hAnsi="Aptos" w:cs="Aptos"/>
                <w:b w:val="0"/>
                <w:i w:val="0"/>
                <w:sz w:val="20"/>
              </w:rPr>
              <w:t>Notifiche in-app alla login dell'utente come alternativa o complemento alle email</w:t>
            </w:r>
          </w:p>
        </w:tc>
        <w:tc>
          <w:tcPr>
            <w:tcW w:type="dxa" w:w="1701"/>
          </w:tcPr>
          <w:p>
            <w:pPr>
              <w:jc w:val="right"/>
            </w:pPr>
            <w:r/>
            <w:r>
              <w:rPr>
                <w:rFonts w:ascii="Aptos" w:hAnsi="Aptos" w:cs="Aptos"/>
                <w:b w:val="0"/>
                <w:i w:val="0"/>
                <w:color w:val="1F3A5F"/>
                <w:sz w:val="20"/>
              </w:rPr>
              <w:t>€ 1.500</w:t>
            </w:r>
          </w:p>
        </w:tc>
      </w:tr>
      <w:tr>
        <w:tc>
          <w:tcPr>
            <w:tcW w:type="dxa" w:w="7370"/>
          </w:tcPr>
          <w:p>
            <w:r/>
            <w:r>
              <w:rPr>
                <w:rFonts w:ascii="Aptos" w:hAnsi="Aptos" w:cs="Aptos"/>
                <w:b w:val="0"/>
                <w:i w:val="0"/>
                <w:sz w:val="20"/>
              </w:rPr>
              <w:t>Reportistica di sintesi periodica (settimanale/mensile) sull'attività del sistema</w:t>
            </w:r>
          </w:p>
        </w:tc>
        <w:tc>
          <w:tcPr>
            <w:tcW w:type="dxa" w:w="1701"/>
          </w:tcPr>
          <w:p>
            <w:pPr>
              <w:jc w:val="right"/>
            </w:pPr>
            <w:r/>
            <w:r>
              <w:rPr>
                <w:rFonts w:ascii="Aptos" w:hAnsi="Aptos" w:cs="Aptos"/>
                <w:b w:val="0"/>
                <w:i w:val="0"/>
                <w:color w:val="1F3A5F"/>
                <w:sz w:val="20"/>
              </w:rPr>
              <w:t>€ 2.500</w:t>
            </w:r>
          </w:p>
        </w:tc>
      </w:tr>
    </w:tbl>
    <w:p>
      <w:pPr>
        <w:keepNext/>
        <w:spacing w:before="200" w:after="80"/>
      </w:pPr>
      <w:r>
        <w:rPr>
          <w:rFonts w:ascii="Aptos" w:hAnsi="Aptos" w:cs="Aptos"/>
          <w:b/>
          <w:i w:val="0"/>
          <w:color w:val="2A6B7A"/>
          <w:sz w:val="24"/>
        </w:rPr>
        <w:t>6.3 Incluso nell'investimento MVP</w:t>
      </w:r>
    </w:p>
    <w:p>
      <w:pPr>
        <w:pStyle w:val="ListBullet"/>
        <w:spacing w:after="40" w:line="288" w:lineRule="auto"/>
      </w:pPr>
      <w:r>
        <w:rPr>
          <w:rFonts w:ascii="Aptos" w:hAnsi="Aptos" w:cs="Aptos"/>
          <w:b w:val="0"/>
          <w:i w:val="0"/>
          <w:sz w:val="22"/>
        </w:rPr>
        <w:t>Licenza d'uso esclusiva e illimitata della piattaforma per Achipoint</w:t>
      </w:r>
    </w:p>
    <w:p>
      <w:pPr>
        <w:pStyle w:val="ListBullet"/>
        <w:spacing w:after="40" w:line="288" w:lineRule="auto"/>
      </w:pPr>
      <w:r>
        <w:rPr>
          <w:rFonts w:ascii="Aptos" w:hAnsi="Aptos" w:cs="Aptos"/>
          <w:b w:val="0"/>
          <w:i w:val="0"/>
          <w:sz w:val="22"/>
        </w:rPr>
        <w:t>Personalizzazioni su misura (profilo aziendale, parole chiave, soglie, regole di filtraggio)</w:t>
      </w:r>
    </w:p>
    <w:p>
      <w:pPr>
        <w:pStyle w:val="ListBullet"/>
        <w:spacing w:after="40" w:line="288" w:lineRule="auto"/>
      </w:pPr>
      <w:r>
        <w:rPr>
          <w:rFonts w:ascii="Aptos" w:hAnsi="Aptos" w:cs="Aptos"/>
          <w:b w:val="0"/>
          <w:i w:val="0"/>
          <w:sz w:val="22"/>
        </w:rPr>
        <w:t>Configurazione iniziale del profilo Achipoint sulla base del Questionario di Discovery (12 dipendenti, certificazioni ISO 45001/14001/SA8000, modello 231, White List, parole chiave del dominio)</w:t>
      </w:r>
    </w:p>
    <w:p>
      <w:pPr>
        <w:pStyle w:val="ListBullet"/>
        <w:spacing w:after="40" w:line="288" w:lineRule="auto"/>
      </w:pPr>
      <w:r>
        <w:rPr>
          <w:rFonts w:ascii="Aptos" w:hAnsi="Aptos" w:cs="Aptos"/>
          <w:b w:val="0"/>
          <w:i w:val="0"/>
          <w:sz w:val="22"/>
        </w:rPr>
        <w:t>Documentazione tecnica e operativa</w:t>
      </w:r>
    </w:p>
    <w:p>
      <w:pPr>
        <w:pStyle w:val="ListBullet"/>
        <w:spacing w:after="40" w:line="288" w:lineRule="auto"/>
      </w:pPr>
      <w:r>
        <w:rPr>
          <w:rFonts w:ascii="Aptos" w:hAnsi="Aptos" w:cs="Aptos"/>
          <w:b w:val="0"/>
          <w:i w:val="0"/>
          <w:sz w:val="22"/>
        </w:rPr>
        <w:t>Sessione di training operativo (fino a 2 ore) per il team Achipoint</w:t>
      </w:r>
    </w:p>
    <w:p>
      <w:pPr>
        <w:pStyle w:val="ListBullet"/>
        <w:spacing w:after="40" w:line="288" w:lineRule="auto"/>
      </w:pPr>
      <w:r>
        <w:rPr>
          <w:rFonts w:ascii="Aptos" w:hAnsi="Aptos" w:cs="Aptos"/>
          <w:b w:val="0"/>
          <w:i w:val="0"/>
          <w:sz w:val="22"/>
        </w:rPr>
        <w:t>30 giorni di assistenza correttiva post go-live (bug fixing, fino a 10 ore)</w:t>
      </w:r>
    </w:p>
    <w:p>
      <w:pPr>
        <w:pStyle w:val="ListBullet"/>
        <w:spacing w:after="40" w:line="288" w:lineRule="auto"/>
      </w:pPr>
      <w:r>
        <w:rPr>
          <w:rFonts w:ascii="Aptos" w:hAnsi="Aptos" w:cs="Aptos"/>
          <w:b w:val="0"/>
          <w:i w:val="0"/>
          <w:sz w:val="22"/>
        </w:rPr>
        <w:t>Project management e interlocuzione unica con il team Achipoint</w:t>
      </w:r>
    </w:p>
    <w:p>
      <w:pPr>
        <w:keepNext/>
        <w:spacing w:before="200" w:after="80"/>
      </w:pPr>
      <w:r>
        <w:rPr>
          <w:rFonts w:ascii="Aptos" w:hAnsi="Aptos" w:cs="Aptos"/>
          <w:b/>
          <w:i w:val="0"/>
          <w:color w:val="2A6B7A"/>
          <w:sz w:val="24"/>
        </w:rPr>
        <w:t>6.4 Costi operativi non inclusi nell'investimento iniziale</w:t>
      </w:r>
    </w:p>
    <w:p>
      <w:pPr>
        <w:spacing w:after="120" w:before="0" w:line="288" w:lineRule="auto"/>
      </w:pPr>
      <w:r>
        <w:rPr>
          <w:rFonts w:ascii="Aptos" w:hAnsi="Aptos" w:cs="Aptos"/>
          <w:b w:val="0"/>
          <w:i w:val="0"/>
          <w:sz w:val="22"/>
        </w:rPr>
        <w:t>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pPr>
        <w:spacing w:after="120" w:before="0" w:line="288" w:lineRule="auto"/>
      </w:pPr>
      <w:r>
        <w:rPr>
          <w:rFonts w:ascii="Aptos" w:hAnsi="Aptos" w:cs="Aptos"/>
          <w:b w:val="0"/>
          <w:i/>
          <w:color w:val="606060"/>
          <w:sz w:val="20"/>
        </w:rPr>
        <w:t>Range indicativo preliminare: € 250 — € 400 / mese forfettario.</w:t>
      </w:r>
    </w:p>
    <w:p>
      <w:pPr>
        <w:keepNext/>
        <w:spacing w:before="200" w:after="80"/>
      </w:pPr>
      <w:r>
        <w:rPr>
          <w:rFonts w:ascii="Aptos" w:hAnsi="Aptos" w:cs="Aptos"/>
          <w:b/>
          <w:i w:val="0"/>
          <w:color w:val="2A6B7A"/>
          <w:sz w:val="24"/>
        </w:rPr>
        <w:t>6.5 Funzionalità Evolutive — Fase 2 (quotazione separata e indicativa)</w:t>
      </w:r>
    </w:p>
    <w:p>
      <w:pPr>
        <w:spacing w:after="120" w:before="0" w:line="288" w:lineRule="auto"/>
      </w:pPr>
      <w:r>
        <w:rPr>
          <w:rFonts w:ascii="Aptos" w:hAnsi="Aptos" w:cs="Aptos"/>
          <w:b w:val="0"/>
          <w:i w:val="0"/>
          <w:sz w:val="22"/>
        </w:rPr>
        <w:t>Le seguenti evoluzioni sono attivabili singolarmente o in combinazione, dopo aver validato il valore generato dall'MVP. Le stime sono indicative e da consolidare in fase di analisi preliminare di Fase 2.</w:t>
      </w:r>
    </w:p>
    <w:tbl>
      <w:tblPr>
        <w:tblStyle w:val="LightGrid-Accent1"/>
        <w:tblW w:type="auto" w:w="0"/>
        <w:jc w:val="left"/>
        <w:tblLook w:firstColumn="1" w:firstRow="1" w:lastColumn="0" w:lastRow="0" w:noHBand="0" w:noVBand="1" w:val="04A0"/>
      </w:tblPr>
      <w:tblGrid>
        <w:gridCol w:w="4703"/>
        <w:gridCol w:w="4703"/>
      </w:tblGrid>
      <w:tr>
        <w:tc>
          <w:tcPr>
            <w:tcW w:type="dxa" w:w="7370"/>
          </w:tcPr>
          <w:p>
            <w:r/>
            <w:r>
              <w:rPr>
                <w:rFonts w:ascii="Aptos" w:hAnsi="Aptos" w:cs="Aptos"/>
                <w:b/>
                <w:i w:val="0"/>
                <w:color w:val="FFFFFF"/>
                <w:sz w:val="20"/>
              </w:rPr>
              <w:t>Modulo / ampliamento</w:t>
            </w:r>
          </w:p>
        </w:tc>
        <w:tc>
          <w:tcPr>
            <w:tcW w:type="dxa" w:w="1701"/>
          </w:tcPr>
          <w:p>
            <w:pPr>
              <w:jc w:val="right"/>
            </w:pPr>
            <w:r/>
            <w:r>
              <w:rPr>
                <w:rFonts w:ascii="Aptos" w:hAnsi="Aptos" w:cs="Aptos"/>
                <w:b/>
                <w:i w:val="0"/>
                <w:color w:val="FFFFFF"/>
                <w:sz w:val="20"/>
              </w:rPr>
              <w:t>Range indicativo</w:t>
            </w:r>
          </w:p>
        </w:tc>
      </w:tr>
      <w:tr>
        <w:tc>
          <w:tcPr>
            <w:tcW w:type="dxa" w:w="7370"/>
          </w:tcPr>
          <w:p>
            <w:r/>
            <w:r>
              <w:rPr>
                <w:rFonts w:ascii="Aptos" w:hAnsi="Aptos" w:cs="Aptos"/>
                <w:b w:val="0"/>
                <w:i w:val="0"/>
                <w:sz w:val="20"/>
              </w:rPr>
              <w:t>Modulo C — Analisi automatica capitolati (estrazione requisiti, scheda sintetica per bando, chat con memoria documentale RAG)</w:t>
            </w:r>
          </w:p>
        </w:tc>
        <w:tc>
          <w:tcPr>
            <w:tcW w:type="dxa" w:w="1701"/>
          </w:tcPr>
          <w:p>
            <w:pPr>
              <w:jc w:val="right"/>
            </w:pPr>
            <w:r/>
            <w:r>
              <w:rPr>
                <w:rFonts w:ascii="Aptos" w:hAnsi="Aptos" w:cs="Aptos"/>
                <w:b w:val="0"/>
                <w:i w:val="0"/>
                <w:color w:val="1F3A5F"/>
                <w:sz w:val="20"/>
              </w:rPr>
              <w:t>€ 18.000 — € 22.000</w:t>
            </w:r>
          </w:p>
        </w:tc>
      </w:tr>
      <w:tr>
        <w:tc>
          <w:tcPr>
            <w:tcW w:type="dxa" w:w="7370"/>
          </w:tcPr>
          <w:p>
            <w:r/>
            <w:r>
              <w:rPr>
                <w:rFonts w:ascii="Aptos" w:hAnsi="Aptos" w:cs="Aptos"/>
                <w:b w:val="0"/>
                <w:i w:val="0"/>
                <w:sz w:val="20"/>
              </w:rPr>
              <w:t>Modulo D — Generazione assistita della documentazione di risposta (a partire da template Achipoint + capitolato del bando)</w:t>
            </w:r>
          </w:p>
        </w:tc>
        <w:tc>
          <w:tcPr>
            <w:tcW w:type="dxa" w:w="1701"/>
          </w:tcPr>
          <w:p>
            <w:pPr>
              <w:jc w:val="right"/>
            </w:pPr>
            <w:r/>
            <w:r>
              <w:rPr>
                <w:rFonts w:ascii="Aptos" w:hAnsi="Aptos" w:cs="Aptos"/>
                <w:b w:val="0"/>
                <w:i w:val="0"/>
                <w:color w:val="1F3A5F"/>
                <w:sz w:val="20"/>
              </w:rPr>
              <w:t>€ 15.000 — € 18.000</w:t>
            </w:r>
          </w:p>
        </w:tc>
      </w:tr>
      <w:tr>
        <w:tc>
          <w:tcPr>
            <w:tcW w:type="dxa" w:w="7370"/>
          </w:tcPr>
          <w:p>
            <w:r/>
            <w:r>
              <w:rPr>
                <w:rFonts w:ascii="Aptos" w:hAnsi="Aptos" w:cs="Aptos"/>
                <w:b w:val="0"/>
                <w:i w:val="0"/>
                <w:sz w:val="20"/>
              </w:rPr>
              <w:t>Ampliamento ADR (Aeroporti di Roma) — primo portale proprietario per inviti diretti da albo, pattern replicabile per ulteriori committenti</w:t>
            </w:r>
          </w:p>
        </w:tc>
        <w:tc>
          <w:tcPr>
            <w:tcW w:type="dxa" w:w="1701"/>
          </w:tcPr>
          <w:p>
            <w:pPr>
              <w:jc w:val="right"/>
            </w:pPr>
            <w:r/>
            <w:r>
              <w:rPr>
                <w:rFonts w:ascii="Aptos" w:hAnsi="Aptos" w:cs="Aptos"/>
                <w:b w:val="0"/>
                <w:i w:val="0"/>
                <w:color w:val="1F3A5F"/>
                <w:sz w:val="20"/>
              </w:rPr>
              <w:t>€ 6.000 — € 8.000</w:t>
            </w:r>
          </w:p>
        </w:tc>
      </w:tr>
      <w:tr>
        <w:tc>
          <w:tcPr>
            <w:tcW w:type="dxa" w:w="7370"/>
          </w:tcPr>
          <w:p>
            <w:r/>
            <w:r>
              <w:rPr>
                <w:rFonts w:ascii="Aptos" w:hAnsi="Aptos" w:cs="Aptos"/>
                <w:b w:val="0"/>
                <w:i w:val="0"/>
                <w:sz w:val="20"/>
              </w:rPr>
              <w:t>Ampliamenti successivi (ANAS proprio, Portale Stella, TED europeo, Incentivi.gov.it) — stima sintetica da consolidare</w:t>
            </w:r>
          </w:p>
        </w:tc>
        <w:tc>
          <w:tcPr>
            <w:tcW w:type="dxa" w:w="1701"/>
          </w:tcPr>
          <w:p>
            <w:pPr>
              <w:jc w:val="right"/>
            </w:pPr>
            <w:r/>
            <w:r>
              <w:rPr>
                <w:rFonts w:ascii="Aptos" w:hAnsi="Aptos" w:cs="Aptos"/>
                <w:b w:val="0"/>
                <w:i w:val="0"/>
                <w:color w:val="1F3A5F"/>
                <w:sz w:val="20"/>
              </w:rPr>
              <w:t>su quotazione</w:t>
            </w:r>
          </w:p>
        </w:tc>
      </w:tr>
    </w:tbl>
    <w:p>
      <w:pPr>
        <w:keepNext/>
        <w:spacing w:before="360" w:after="160"/>
        <w:jc w:val="left"/>
        <w:pBdr>
          <w:bottom w:val="single" w:sz="12" w:space="1" w:color="2A6B7A"/>
        </w:pBdr>
      </w:pPr>
      <w:r>
        <w:rPr>
          <w:rFonts w:ascii="Aptos" w:hAnsi="Aptos" w:cs="Aptos"/>
          <w:b/>
          <w:i w:val="0"/>
          <w:color w:val="1F3A5F"/>
          <w:sz w:val="28"/>
        </w:rPr>
        <w:t>7. Modalità di Pagamento</w:t>
      </w:r>
    </w:p>
    <w:p>
      <w:pPr>
        <w:spacing w:after="120" w:before="0" w:line="288" w:lineRule="auto"/>
      </w:pPr>
      <w:r>
        <w:rPr>
          <w:rFonts w:ascii="Aptos" w:hAnsi="Aptos" w:cs="Aptos"/>
          <w:b w:val="0"/>
          <w:i w:val="0"/>
          <w:sz w:val="22"/>
        </w:rPr>
        <w:t>Il pagamento dell'investimento MVP è articolato in 3 tranche legate alle milestone di progetto, garantendo trasparenza e allineamento tra investimento e avanzamento lavori:</w:t>
      </w:r>
    </w:p>
    <w:p>
      <w:pPr>
        <w:pStyle w:val="ListBullet"/>
        <w:spacing w:after="40" w:line="288" w:lineRule="auto"/>
      </w:pPr>
      <w:r>
        <w:rPr>
          <w:rFonts w:ascii="Aptos" w:hAnsi="Aptos" w:cs="Aptos"/>
          <w:b/>
          <w:i w:val="0"/>
          <w:sz w:val="22"/>
        </w:rPr>
        <w:t xml:space="preserve">40% </w:t>
      </w:r>
      <w:r>
        <w:rPr>
          <w:rFonts w:ascii="Aptos" w:hAnsi="Aptos" w:cs="Aptos"/>
          <w:b w:val="0"/>
          <w:i w:val="0"/>
          <w:sz w:val="22"/>
        </w:rPr>
        <w:t>alla firma del contratto e avvio operativo</w:t>
      </w:r>
    </w:p>
    <w:p>
      <w:pPr>
        <w:pStyle w:val="ListBullet"/>
        <w:spacing w:after="40" w:line="288" w:lineRule="auto"/>
      </w:pPr>
      <w:r>
        <w:rPr>
          <w:rFonts w:ascii="Aptos" w:hAnsi="Aptos" w:cs="Aptos"/>
          <w:b/>
          <w:i w:val="0"/>
          <w:sz w:val="22"/>
        </w:rPr>
        <w:t xml:space="preserve">30% </w:t>
      </w:r>
      <w:r>
        <w:rPr>
          <w:rFonts w:ascii="Aptos" w:hAnsi="Aptos" w:cs="Aptos"/>
          <w:b w:val="0"/>
          <w:i w:val="0"/>
          <w:sz w:val="22"/>
        </w:rPr>
        <w:t>al rilascio MVP funzionante in ambiente di test (fine Fase 2)</w:t>
      </w:r>
    </w:p>
    <w:p>
      <w:pPr>
        <w:pStyle w:val="ListBullet"/>
        <w:spacing w:after="40" w:line="288" w:lineRule="auto"/>
      </w:pPr>
      <w:r>
        <w:rPr>
          <w:rFonts w:ascii="Aptos" w:hAnsi="Aptos" w:cs="Aptos"/>
          <w:b/>
          <w:i w:val="0"/>
          <w:sz w:val="22"/>
        </w:rPr>
        <w:t xml:space="preserve">30% </w:t>
      </w:r>
      <w:r>
        <w:rPr>
          <w:rFonts w:ascii="Aptos" w:hAnsi="Aptos" w:cs="Aptos"/>
          <w:b w:val="0"/>
          <w:i w:val="0"/>
          <w:sz w:val="22"/>
        </w:rPr>
        <w:t>al go-live in produzione e completamento dei 30 giorni di assistenza correttiva</w:t>
      </w:r>
    </w:p>
    <w:p>
      <w:pPr>
        <w:spacing w:after="120" w:before="0" w:line="288" w:lineRule="auto"/>
      </w:pPr>
      <w:r>
        <w:rPr>
          <w:rFonts w:ascii="Aptos" w:hAnsi="Aptos" w:cs="Aptos"/>
          <w:b w:val="0"/>
          <w:i/>
          <w:color w:val="606060"/>
          <w:sz w:val="20"/>
        </w:rPr>
        <w:t>Ogni opzionale o modulo di Fase 2 attivato successivamente segue il medesimo schema 40/30/30 sui propri importi.</w:t>
      </w:r>
    </w:p>
    <w:p>
      <w:pPr>
        <w:keepNext/>
        <w:spacing w:before="360" w:after="160"/>
        <w:jc w:val="left"/>
        <w:pBdr>
          <w:bottom w:val="single" w:sz="12" w:space="1" w:color="2A6B7A"/>
        </w:pBdr>
      </w:pPr>
      <w:r>
        <w:rPr>
          <w:rFonts w:ascii="Aptos" w:hAnsi="Aptos" w:cs="Aptos"/>
          <w:b/>
          <w:i w:val="0"/>
          <w:color w:val="1F3A5F"/>
          <w:sz w:val="28"/>
        </w:rPr>
        <w:t>8. Business Case</w:t>
      </w:r>
    </w:p>
    <w:p>
      <w:pPr>
        <w:spacing w:after="120" w:before="0" w:line="288" w:lineRule="auto"/>
      </w:pPr>
      <w:r>
        <w:rPr>
          <w:rFonts w:ascii="Aptos" w:hAnsi="Aptos" w:cs="Aptos"/>
          <w:b w:val="0"/>
          <w:i w:val="0"/>
          <w:sz w:val="22"/>
        </w:rPr>
        <w:t>Il modello economico della soluzione poggia su una logica semplice: l'AI consente ad Achipoint di intercettare con continuità le opportunità pubbliche compatibili con il proprio profilo, abilitando un canale commerciale che oggi non è presidiato in modo sistematico. Il ritorno sull'investimento dipende dal numero di opportunità intercettate, dalla percentuale di partecipazione e di aggiudicazione e dal margine medio per tipologia di lavoro.</w:t>
      </w:r>
    </w:p>
    <w:p>
      <w:pPr>
        <w:keepNext/>
        <w:spacing w:before="200" w:after="80"/>
      </w:pPr>
      <w:r>
        <w:rPr>
          <w:rFonts w:ascii="Aptos" w:hAnsi="Aptos" w:cs="Aptos"/>
          <w:b/>
          <w:i w:val="0"/>
          <w:color w:val="2A6B7A"/>
          <w:sz w:val="24"/>
        </w:rPr>
        <w:t>8.1 Logica del ritorno</w:t>
      </w:r>
    </w:p>
    <w:p>
      <w:pPr>
        <w:spacing w:after="120" w:before="0" w:line="288" w:lineRule="auto"/>
      </w:pPr>
      <w:r>
        <w:rPr>
          <w:rFonts w:ascii="Aptos" w:hAnsi="Aptos" w:cs="Aptos"/>
          <w:b w:val="0"/>
          <w:i w:val="0"/>
          <w:sz w:val="22"/>
        </w:rPr>
        <w:t>Sulla base dei dati operativi raccolti tramite il Questionario di Discovery, Achipoint opera con margini operativi medi del 20-30% sui ponteggi standard, 20% sui pronti interventi, 10-20% sulle opere di pregio e sovrintendenze, 20-30% sui monoblocchi e container. Il valore atteso da una commessa media di importo coerente con la soglia operativa Achipoint genera quindi una marginalità operativa lorda nell'ordine delle decine di migliaia di euro per singola commessa aggiudicata.</w:t>
      </w:r>
    </w:p>
    <w:p>
      <w:pPr>
        <w:spacing w:after="120" w:before="0" w:line="288" w:lineRule="auto"/>
      </w:pPr>
      <w:r>
        <w:rPr>
          <w:rFonts w:ascii="Aptos" w:hAnsi="Aptos" w:cs="Aptos"/>
          <w:b w:val="0"/>
          <w:i w:val="0"/>
          <w:sz w:val="22"/>
        </w:rPr>
        <w:t>L'anchor di valutazione che usiamo internamente è: anche solo 2 commesse aggiudicate l'anno tra le opportunità intercettate dalla piattaforma — su volumi che il motore può portare nell'ordine delle decine al mese — generano ritorno superiore all'investimento dell'intero MVP nel primo anno.</w:t>
      </w:r>
    </w:p>
    <w:p>
      <w:pPr>
        <w:keepNext/>
        <w:spacing w:before="200" w:after="80"/>
      </w:pPr>
      <w:r>
        <w:rPr>
          <w:rFonts w:ascii="Aptos" w:hAnsi="Aptos" w:cs="Aptos"/>
          <w:b/>
          <w:i w:val="0"/>
          <w:color w:val="2A6B7A"/>
          <w:sz w:val="24"/>
        </w:rPr>
        <w:t>8.2 Alternativa considerata</w:t>
      </w:r>
    </w:p>
    <w:p>
      <w:pPr>
        <w:spacing w:after="120" w:before="0" w:line="288" w:lineRule="auto"/>
      </w:pPr>
      <w:r>
        <w:rPr>
          <w:rFonts w:ascii="Aptos" w:hAnsi="Aptos" w:cs="Aptos"/>
          <w:b w:val="0"/>
          <w:i w:val="0"/>
          <w:sz w:val="22"/>
        </w:rPr>
        <w:t>L'alternativa indicata da Achipoint nel Questionario di Discovery (assunzione di un apprendista dedicato allo scouting bandi, costo lordo aziendale orientativo €1.100-1.200/mese, con aggravi e oneri non inclusi) ha un costo annuo nell'ordine dei €15.000-17.000 escluse formazione, eventuali errori di valutazione e tempi di ramp-up — e non garantisce la stessa copertura del mercato pubblico italiano (oltre 30.000 stazioni appaltanti BDNCP) e la stessa qualità di filtraggio offerta dall'AI.</w:t>
      </w:r>
    </w:p>
    <w:p>
      <w:pPr>
        <w:keepNext/>
        <w:spacing w:before="200" w:after="80"/>
      </w:pPr>
      <w:r>
        <w:rPr>
          <w:rFonts w:ascii="Aptos" w:hAnsi="Aptos" w:cs="Aptos"/>
          <w:b/>
          <w:i w:val="0"/>
          <w:color w:val="2A6B7A"/>
          <w:sz w:val="24"/>
        </w:rPr>
        <w:t>8.3 Calibrazione finale</w:t>
      </w:r>
    </w:p>
    <w:p>
      <w:pPr>
        <w:spacing w:after="120" w:before="0" w:line="288" w:lineRule="auto"/>
      </w:pPr>
      <w:r>
        <w:rPr>
          <w:rFonts w:ascii="Aptos" w:hAnsi="Aptos" w:cs="Aptos"/>
          <w:b w:val="0"/>
          <w:i/>
          <w:color w:val="606060"/>
          <w:sz w:val="20"/>
        </w:rPr>
        <w:t>[Placeholder — in costruzione con il team interno HeyAI] La proiezione economica puntuale (numero di opportunità mensili attese, percentuale di partecipazione, percentuale di aggiudicazione, margine medio ponderato e payback complessivo) è in fase di consolidamento ed è oggetto di una sezione di affinamento dedicata prima della firma. La metodologia è definita: i numeri specifici verranno presentati ad Achipoint nel corso dell'analisi preliminare congiunta del kick-off, sulla base dei dati operativi puntuali del cliente.</w:t>
      </w:r>
    </w:p>
    <w:p>
      <w:pPr>
        <w:keepNext/>
        <w:spacing w:before="360" w:after="160"/>
        <w:jc w:val="left"/>
        <w:pBdr>
          <w:bottom w:val="single" w:sz="12" w:space="1" w:color="2A6B7A"/>
        </w:pBdr>
      </w:pPr>
      <w:r>
        <w:rPr>
          <w:rFonts w:ascii="Aptos" w:hAnsi="Aptos" w:cs="Aptos"/>
          <w:b/>
          <w:i w:val="0"/>
          <w:color w:val="1F3A5F"/>
          <w:sz w:val="28"/>
        </w:rPr>
        <w:t>9. Proprietà Intellettuale e Modello di Collaborazione</w:t>
      </w:r>
    </w:p>
    <w:p>
      <w:pPr>
        <w:spacing w:after="120" w:before="0" w:line="288" w:lineRule="auto"/>
      </w:pPr>
      <w:r>
        <w:rPr>
          <w:rFonts w:ascii="Aptos" w:hAnsi="Aptos" w:cs="Aptos"/>
          <w:b w:val="0"/>
          <w:i w:val="0"/>
          <w:sz w:val="22"/>
        </w:rPr>
        <w:t>HeyAI sviluppa e rilascia ad Achipoint una licenza d'uso esclusiva, perpetua e non trasferibile della piattaforma. Le personalizzazioni sviluppate ad hoc per Achipoint (configurazione del profilo aziendale, parole chiave, regole di scoring, integrazioni proprietarie eventualmente attivate in Fase 2) sono di proprietà esclusiva del cliente.</w:t>
      </w:r>
    </w:p>
    <w:p>
      <w:pPr>
        <w:spacing w:after="120" w:before="0" w:line="288" w:lineRule="auto"/>
      </w:pPr>
      <w:r>
        <w:rPr>
          <w:rFonts w:ascii="Aptos" w:hAnsi="Aptos" w:cs="Aptos"/>
          <w:b w:val="0"/>
          <w:i w:val="0"/>
          <w:sz w:val="22"/>
        </w:rPr>
        <w:t>HeyAI mantiene il know-how generale dell'architettura (componenti comuni, pattern di scoring, librerie). Una porzione dei componenti dell'architettura è condivisa con un secondo progetto HeyAI nel medesimo dominio (osservatorio bandi); la separazione completa dei dati e delle istanze applicative tra i due clienti è garantita contrattualmente: nessun dato Achipoint è accessibile ad altri clienti né viceversa.</w:t>
      </w:r>
    </w:p>
    <w:p>
      <w:pPr>
        <w:keepNext/>
        <w:spacing w:before="360" w:after="160"/>
        <w:jc w:val="left"/>
        <w:pBdr>
          <w:bottom w:val="single" w:sz="12" w:space="1" w:color="2A6B7A"/>
        </w:pBdr>
      </w:pPr>
      <w:r>
        <w:rPr>
          <w:rFonts w:ascii="Aptos" w:hAnsi="Aptos" w:cs="Aptos"/>
          <w:b/>
          <w:i w:val="0"/>
          <w:color w:val="1F3A5F"/>
          <w:sz w:val="28"/>
        </w:rPr>
        <w:t>10. Governance e Presidi Contrattuali</w:t>
      </w:r>
    </w:p>
    <w:p>
      <w:pPr>
        <w:keepNext/>
        <w:spacing w:before="200" w:after="80"/>
      </w:pPr>
      <w:r>
        <w:rPr>
          <w:rFonts w:ascii="Aptos" w:hAnsi="Aptos" w:cs="Aptos"/>
          <w:b/>
          <w:i w:val="0"/>
          <w:color w:val="2A6B7A"/>
          <w:sz w:val="24"/>
        </w:rPr>
        <w:t>10.1 Requirement Log come perimetro</w:t>
      </w:r>
    </w:p>
    <w:p>
      <w:pPr>
        <w:spacing w:after="120" w:before="0" w:line="288" w:lineRule="auto"/>
      </w:pPr>
      <w:r>
        <w:rPr>
          <w:rFonts w:ascii="Aptos" w:hAnsi="Aptos" w:cs="Aptos"/>
          <w:b w:val="0"/>
          <w:i w:val="0"/>
          <w:sz w:val="22"/>
        </w:rPr>
        <w:t>Il Requirement Log allegato (Achipoint_RequirementLog_v1) costituisce il perimetro contrattuale vincolante. Qualsiasi requisito che emerga in corso di sviluppo e non risulti incluso nel Requirement Log è qualificato come Change Request e quotato separatamente.</w:t>
      </w:r>
    </w:p>
    <w:p>
      <w:pPr>
        <w:keepNext/>
        <w:spacing w:before="200" w:after="80"/>
      </w:pPr>
      <w:r>
        <w:rPr>
          <w:rFonts w:ascii="Aptos" w:hAnsi="Aptos" w:cs="Aptos"/>
          <w:b/>
          <w:i w:val="0"/>
          <w:color w:val="2A6B7A"/>
          <w:sz w:val="24"/>
        </w:rPr>
        <w:t>10.2 Integrazioni proprietarie e fonti esterne</w:t>
      </w:r>
    </w:p>
    <w:p>
      <w:pPr>
        <w:spacing w:after="120" w:before="0" w:line="288" w:lineRule="auto"/>
      </w:pPr>
      <w:r>
        <w:rPr>
          <w:rFonts w:ascii="Aptos" w:hAnsi="Aptos" w:cs="Aptos"/>
          <w:b w:val="0"/>
          <w:i w:val="0"/>
          <w:sz w:val="22"/>
        </w:rPr>
        <w:t>L'MVP integra esclusivamente la fonte pubblica ufficiale BDNCP. Eventuali integrazioni proprietarie (ADR e altri) attivate in Fase 2 prevedono: sviluppo iniziale dell'integrazione incluso nella relativa quotazione; manutenzione successiva esclusa salvo accordo dedicato (rotture per modifiche delle piattaforme proprietarie sono Change Request quotata a parte).</w:t>
      </w:r>
    </w:p>
    <w:p>
      <w:pPr>
        <w:keepNext/>
        <w:spacing w:before="200" w:after="80"/>
      </w:pPr>
      <w:r>
        <w:rPr>
          <w:rFonts w:ascii="Aptos" w:hAnsi="Aptos" w:cs="Aptos"/>
          <w:b/>
          <w:i w:val="0"/>
          <w:color w:val="2A6B7A"/>
          <w:sz w:val="24"/>
        </w:rPr>
        <w:t>10.3 Obblighi del Cliente</w:t>
      </w:r>
    </w:p>
    <w:p>
      <w:pPr>
        <w:pStyle w:val="ListBullet"/>
        <w:spacing w:after="40" w:line="288" w:lineRule="auto"/>
      </w:pPr>
      <w:r>
        <w:rPr>
          <w:rFonts w:ascii="Aptos" w:hAnsi="Aptos" w:cs="Aptos"/>
          <w:b w:val="0"/>
          <w:i w:val="0"/>
          <w:sz w:val="22"/>
        </w:rPr>
        <w:t>messa a disposizione delle credenziali di accesso ai portali eventualmente richiesti per Fase 2 (ADR, ANAS, ecc.) entro 15 giorni dalla firma della relativa quotazione</w:t>
      </w:r>
    </w:p>
    <w:p>
      <w:pPr>
        <w:pStyle w:val="ListBullet"/>
        <w:spacing w:after="40" w:line="288" w:lineRule="auto"/>
      </w:pPr>
      <w:r>
        <w:rPr>
          <w:rFonts w:ascii="Aptos" w:hAnsi="Aptos" w:cs="Aptos"/>
          <w:b w:val="0"/>
          <w:i w:val="0"/>
          <w:sz w:val="22"/>
        </w:rPr>
        <w:t>coinvolgimento di un referente operativo dedicato durante il kick-off per la finalizzazione del profilo aziendale e dei default di filtraggio</w:t>
      </w:r>
    </w:p>
    <w:p>
      <w:pPr>
        <w:pStyle w:val="ListBullet"/>
        <w:spacing w:after="40" w:line="288" w:lineRule="auto"/>
      </w:pPr>
      <w:r>
        <w:rPr>
          <w:rFonts w:ascii="Aptos" w:hAnsi="Aptos" w:cs="Aptos"/>
          <w:b w:val="0"/>
          <w:i w:val="0"/>
          <w:sz w:val="22"/>
        </w:rPr>
        <w:t>validazione del Requirement Log entro la firma del contratto (eventuali rilievi vanno sollevati prima della firma)</w:t>
      </w:r>
    </w:p>
    <w:p>
      <w:pPr>
        <w:keepNext/>
        <w:spacing w:before="200" w:after="80"/>
      </w:pPr>
      <w:r>
        <w:rPr>
          <w:rFonts w:ascii="Aptos" w:hAnsi="Aptos" w:cs="Aptos"/>
          <w:b/>
          <w:i w:val="0"/>
          <w:color w:val="2A6B7A"/>
          <w:sz w:val="24"/>
        </w:rPr>
        <w:t>10.4 Service Level e supporto</w:t>
      </w:r>
    </w:p>
    <w:p>
      <w:pPr>
        <w:spacing w:after="120" w:before="0" w:line="288" w:lineRule="auto"/>
      </w:pPr>
      <w:r>
        <w:rPr>
          <w:rFonts w:ascii="Aptos" w:hAnsi="Aptos" w:cs="Aptos"/>
          <w:b w:val="0"/>
          <w:i w:val="0"/>
          <w:sz w:val="22"/>
        </w:rPr>
        <w:t>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6.4) con SLA dedicati.</w:t>
      </w:r>
    </w:p>
    <w:p>
      <w:pPr>
        <w:keepNext/>
        <w:spacing w:before="360" w:after="160"/>
        <w:jc w:val="left"/>
        <w:pBdr>
          <w:bottom w:val="single" w:sz="12" w:space="1" w:color="2A6B7A"/>
        </w:pBdr>
      </w:pPr>
      <w:r>
        <w:rPr>
          <w:rFonts w:ascii="Aptos" w:hAnsi="Aptos" w:cs="Aptos"/>
          <w:b/>
          <w:i w:val="0"/>
          <w:color w:val="1F3A5F"/>
          <w:sz w:val="28"/>
        </w:rPr>
        <w:t>11. Responsabilità delle Parti</w:t>
      </w:r>
    </w:p>
    <w:p>
      <w:pPr>
        <w:keepNext/>
        <w:spacing w:before="200" w:after="80"/>
      </w:pPr>
      <w:r>
        <w:rPr>
          <w:rFonts w:ascii="Aptos" w:hAnsi="Aptos" w:cs="Aptos"/>
          <w:b/>
          <w:i w:val="0"/>
          <w:color w:val="2A6B7A"/>
          <w:sz w:val="24"/>
        </w:rPr>
        <w:t>11.1 Da parte di HeyAI</w:t>
      </w:r>
    </w:p>
    <w:p>
      <w:pPr>
        <w:pStyle w:val="ListBullet"/>
        <w:spacing w:after="40" w:line="288" w:lineRule="auto"/>
      </w:pPr>
      <w:r>
        <w:rPr>
          <w:rFonts w:ascii="Aptos" w:hAnsi="Aptos" w:cs="Aptos"/>
          <w:b w:val="0"/>
          <w:i w:val="0"/>
          <w:sz w:val="22"/>
        </w:rPr>
        <w:t>Analisi funzionale, progettazione e sviluppo completo della piattaforma MVP</w:t>
      </w:r>
    </w:p>
    <w:p>
      <w:pPr>
        <w:pStyle w:val="ListBullet"/>
        <w:spacing w:after="40" w:line="288" w:lineRule="auto"/>
      </w:pPr>
      <w:r>
        <w:rPr>
          <w:rFonts w:ascii="Aptos" w:hAnsi="Aptos" w:cs="Aptos"/>
          <w:b w:val="0"/>
          <w:i w:val="0"/>
          <w:sz w:val="22"/>
        </w:rPr>
        <w:t>Integrazione API BDNCP e configurazione del motore di scoring AI</w:t>
      </w:r>
    </w:p>
    <w:p>
      <w:pPr>
        <w:pStyle w:val="ListBullet"/>
        <w:spacing w:after="40" w:line="288" w:lineRule="auto"/>
      </w:pPr>
      <w:r>
        <w:rPr>
          <w:rFonts w:ascii="Aptos" w:hAnsi="Aptos" w:cs="Aptos"/>
          <w:b w:val="0"/>
          <w:i w:val="0"/>
          <w:sz w:val="22"/>
        </w:rPr>
        <w:t>Testing, rilascio in produzione e assistenza correttiva post go-live (30 giorni)</w:t>
      </w:r>
    </w:p>
    <w:p>
      <w:pPr>
        <w:pStyle w:val="ListBullet"/>
        <w:spacing w:after="40" w:line="288" w:lineRule="auto"/>
      </w:pPr>
      <w:r>
        <w:rPr>
          <w:rFonts w:ascii="Aptos" w:hAnsi="Aptos" w:cs="Aptos"/>
          <w:b w:val="0"/>
          <w:i w:val="0"/>
          <w:sz w:val="22"/>
        </w:rPr>
        <w:t>Training operativo del team Achipoint</w:t>
      </w:r>
    </w:p>
    <w:p>
      <w:pPr>
        <w:pStyle w:val="ListBullet"/>
        <w:spacing w:after="40" w:line="288" w:lineRule="auto"/>
      </w:pPr>
      <w:r>
        <w:rPr>
          <w:rFonts w:ascii="Aptos" w:hAnsi="Aptos" w:cs="Aptos"/>
          <w:b w:val="0"/>
          <w:i w:val="0"/>
          <w:sz w:val="22"/>
        </w:rPr>
        <w:t>Project management e interlocuzione unica per tutta la durata del progetto</w:t>
      </w:r>
    </w:p>
    <w:p>
      <w:pPr>
        <w:keepNext/>
        <w:spacing w:before="200" w:after="80"/>
      </w:pPr>
      <w:r>
        <w:rPr>
          <w:rFonts w:ascii="Aptos" w:hAnsi="Aptos" w:cs="Aptos"/>
          <w:b/>
          <w:i w:val="0"/>
          <w:color w:val="2A6B7A"/>
          <w:sz w:val="24"/>
        </w:rPr>
        <w:t>11.2 Da parte del Cliente</w:t>
      </w:r>
    </w:p>
    <w:p>
      <w:pPr>
        <w:pStyle w:val="ListBullet"/>
        <w:spacing w:after="40" w:line="288" w:lineRule="auto"/>
      </w:pPr>
      <w:r>
        <w:rPr>
          <w:rFonts w:ascii="Aptos" w:hAnsi="Aptos" w:cs="Aptos"/>
          <w:b w:val="0"/>
          <w:i w:val="0"/>
          <w:sz w:val="22"/>
        </w:rPr>
        <w:t>Validazione del Requirement Log in fase pre-firma</w:t>
      </w:r>
    </w:p>
    <w:p>
      <w:pPr>
        <w:pStyle w:val="ListBullet"/>
        <w:spacing w:after="40" w:line="288" w:lineRule="auto"/>
      </w:pPr>
      <w:r>
        <w:rPr>
          <w:rFonts w:ascii="Aptos" w:hAnsi="Aptos" w:cs="Aptos"/>
          <w:b w:val="0"/>
          <w:i w:val="0"/>
          <w:sz w:val="22"/>
        </w:rPr>
        <w:t>Disponibilità per il kick-off e per le sessioni di User Acceptance Test (Fase 3)</w:t>
      </w:r>
    </w:p>
    <w:p>
      <w:pPr>
        <w:pStyle w:val="ListBullet"/>
        <w:spacing w:after="40" w:line="288" w:lineRule="auto"/>
      </w:pPr>
      <w:r>
        <w:rPr>
          <w:rFonts w:ascii="Aptos" w:hAnsi="Aptos" w:cs="Aptos"/>
          <w:b w:val="0"/>
          <w:i w:val="0"/>
          <w:sz w:val="22"/>
        </w:rPr>
        <w:t>Fornitura tempestiva di credenziali, profili e materiali necessari (es. logo, profilo aziendale, eventuali template per Fase 2)</w:t>
      </w:r>
    </w:p>
    <w:p>
      <w:pPr>
        <w:pStyle w:val="ListBullet"/>
        <w:spacing w:after="40" w:line="288" w:lineRule="auto"/>
      </w:pPr>
      <w:r>
        <w:rPr>
          <w:rFonts w:ascii="Aptos" w:hAnsi="Aptos" w:cs="Aptos"/>
          <w:b w:val="0"/>
          <w:i w:val="0"/>
          <w:sz w:val="22"/>
        </w:rPr>
        <w:t>Pagamento alle scadenze concordate nelle modalità della sezione 7</w:t>
      </w:r>
    </w:p>
    <w:p>
      <w:pPr>
        <w:keepNext/>
        <w:spacing w:before="360" w:after="160"/>
        <w:jc w:val="left"/>
        <w:pBdr>
          <w:bottom w:val="single" w:sz="12" w:space="1" w:color="2A6B7A"/>
        </w:pBdr>
      </w:pPr>
      <w:r>
        <w:rPr>
          <w:rFonts w:ascii="Aptos" w:hAnsi="Aptos" w:cs="Aptos"/>
          <w:b/>
          <w:i w:val="0"/>
          <w:color w:val="1F3A5F"/>
          <w:sz w:val="28"/>
        </w:rPr>
        <w:t>12. Validità e Accettazione</w:t>
      </w:r>
    </w:p>
    <w:p>
      <w:pPr>
        <w:spacing w:after="120" w:before="0" w:line="288" w:lineRule="auto"/>
      </w:pPr>
      <w:r>
        <w:rPr>
          <w:rFonts w:ascii="Aptos" w:hAnsi="Aptos" w:cs="Aptos"/>
          <w:b w:val="0"/>
          <w:i w:val="0"/>
          <w:sz w:val="22"/>
        </w:rPr>
        <w:t>La presente proposta è valida 30 giorni dalla data di emissione. L'accettazione avviene tramite restituzione del documento firmato per accettazione, alla quale segue la formalizzazione del contratto e l'apertura della Fase 0 (kick-off).</w:t>
      </w:r>
    </w:p>
    <w:p>
      <w:pPr>
        <w:spacing w:after="120" w:before="240" w:line="288" w:lineRule="auto"/>
      </w:pPr>
      <w:r>
        <w:rPr>
          <w:rFonts w:ascii="Aptos" w:hAnsi="Aptos" w:cs="Aptos"/>
          <w:b w:val="0"/>
          <w:i w:val="0"/>
          <w:sz w:val="22"/>
        </w:rPr>
        <w:t>Restiamo a disposizione per qualsiasi chiarimento o approfondimento.</w:t>
      </w:r>
    </w:p>
    <w:p>
      <w:pPr>
        <w:spacing w:after="120" w:before="0" w:line="288" w:lineRule="auto"/>
      </w:pPr>
    </w:p>
    <w:p>
      <w:pPr>
        <w:spacing w:after="120" w:before="0" w:line="288" w:lineRule="auto"/>
      </w:pPr>
    </w:p>
    <w:tbl>
      <w:tblPr>
        <w:tblW w:type="auto" w:w="0"/>
        <w:jc w:val="left"/>
        <w:tblLook w:firstColumn="1" w:firstRow="1" w:lastColumn="0" w:lastRow="0" w:noHBand="0" w:noVBand="1" w:val="04A0"/>
      </w:tblPr>
      <w:tblGrid>
        <w:gridCol w:w="4703"/>
        <w:gridCol w:w="4703"/>
      </w:tblGrid>
      <w:tr>
        <w:tc>
          <w:tcPr>
            <w:tcW w:type="dxa" w:w="4535"/>
          </w:tcPr>
          <w:p>
            <w:r>
              <w:rPr>
                <w:rFonts w:ascii="Aptos" w:hAnsi="Aptos" w:cs="Aptos"/>
                <w:b/>
                <w:i w:val="0"/>
                <w:color w:val="1F3A5F"/>
                <w:sz w:val="20"/>
              </w:rPr>
              <w:t>Per HeyAI S.r.l.</w:t>
            </w:r>
          </w:p>
          <w:p>
            <w:r>
              <w:br/>
            </w:r>
          </w:p>
          <w:p>
            <w:r>
              <w:rPr>
                <w:rFonts w:ascii="Aptos" w:hAnsi="Aptos" w:cs="Aptos"/>
                <w:b w:val="0"/>
                <w:i w:val="0"/>
                <w:sz w:val="20"/>
              </w:rPr>
              <w:t>Ing. Bruno Mattucci</w:t>
              <w:br/>
              <w:t>Amministratore Unico</w:t>
            </w:r>
          </w:p>
        </w:tc>
        <w:tc>
          <w:tcPr>
            <w:tcW w:type="dxa" w:w="4535"/>
          </w:tcPr>
          <w:p>
            <w:r>
              <w:rPr>
                <w:rFonts w:ascii="Aptos" w:hAnsi="Aptos" w:cs="Aptos"/>
                <w:b/>
                <w:i w:val="0"/>
                <w:color w:val="1F3A5F"/>
                <w:sz w:val="20"/>
              </w:rPr>
              <w:t>Per Achipoint S.r.l.</w:t>
            </w:r>
          </w:p>
          <w:p>
            <w:r>
              <w:br/>
            </w:r>
          </w:p>
          <w:p>
            <w:r>
              <w:rPr>
                <w:rFonts w:ascii="Aptos" w:hAnsi="Aptos" w:cs="Aptos"/>
                <w:b w:val="0"/>
                <w:i w:val="0"/>
                <w:sz w:val="20"/>
              </w:rPr>
              <w:t>Firma per accettazione</w:t>
              <w:br/>
              <w:br/>
              <w:t>_____________________________________</w:t>
            </w:r>
          </w:p>
        </w:tc>
      </w:tr>
    </w:tbl>
    <w:p>
      <w:pPr>
        <w:spacing w:after="120" w:before="0" w:line="288" w:lineRule="auto"/>
      </w:pPr>
    </w:p>
    <w:p>
      <w:pPr>
        <w:spacing w:after="120" w:before="0" w:line="288" w:lineRule="auto"/>
        <w:jc w:val="center"/>
      </w:pPr>
      <w:r>
        <w:rPr>
          <w:rFonts w:ascii="Aptos" w:hAnsi="Aptos" w:cs="Aptos"/>
          <w:b w:val="0"/>
          <w:i/>
          <w:color w:val="606060"/>
          <w:sz w:val="16"/>
        </w:rPr>
        <w:t>Documento riservato. Le informazioni contenute sono destinate esclusivamente al destinatario e non possono essere divulgate a terzi senza autorizzazione scritta di HeyAI S.r.l.</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