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13E5" w14:textId="77777777" w:rsidR="00F05B11" w:rsidRDefault="00F05B11" w:rsidP="00601A47"/>
    <w:p w14:paraId="71DCE931" w14:textId="77777777" w:rsidR="0026273A" w:rsidRDefault="0026273A" w:rsidP="0026273A">
      <w:pPr>
        <w:spacing w:before="200"/>
      </w:pPr>
      <w:r>
        <w:rPr>
          <w:rFonts w:ascii="Aptos" w:eastAsia="Aptos" w:hAnsi="Aptos" w:cs="Aptos"/>
          <w:b/>
          <w:bCs/>
          <w:color w:val="074F6A"/>
          <w:sz w:val="44"/>
          <w:szCs w:val="44"/>
        </w:rPr>
        <w:t>Business Case</w:t>
      </w:r>
    </w:p>
    <w:p w14:paraId="42EAF510" w14:textId="77777777" w:rsidR="0026273A" w:rsidRDefault="0026273A" w:rsidP="0026273A">
      <w:pPr>
        <w:spacing w:after="120"/>
      </w:pPr>
      <w:r>
        <w:rPr>
          <w:rFonts w:ascii="Aptos" w:eastAsia="Aptos" w:hAnsi="Aptos" w:cs="Aptos"/>
          <w:color w:val="1F3864"/>
          <w:sz w:val="28"/>
          <w:szCs w:val="28"/>
        </w:rPr>
        <w:t>Piattaforma di ricerca automatizzata di opportunità pubbliche</w:t>
      </w:r>
    </w:p>
    <w:p w14:paraId="4AC82ED1" w14:textId="77777777" w:rsidR="0026273A" w:rsidRDefault="0026273A" w:rsidP="0026273A">
      <w:pPr>
        <w:spacing w:after="80"/>
      </w:pPr>
      <w:r>
        <w:rPr>
          <w:rFonts w:ascii="Aptos" w:eastAsia="Aptos" w:hAnsi="Aptos" w:cs="Aptos"/>
          <w:i/>
          <w:iCs/>
          <w:color w:val="595959"/>
          <w:sz w:val="22"/>
          <w:szCs w:val="22"/>
        </w:rPr>
        <w:t xml:space="preserve">Cliente: </w:t>
      </w:r>
      <w:proofErr w:type="spellStart"/>
      <w:r>
        <w:rPr>
          <w:rFonts w:ascii="Aptos" w:eastAsia="Aptos" w:hAnsi="Aptos" w:cs="Aptos"/>
          <w:i/>
          <w:iCs/>
          <w:color w:val="595959"/>
          <w:sz w:val="22"/>
          <w:szCs w:val="22"/>
        </w:rPr>
        <w:t>Achipont</w:t>
      </w:r>
      <w:proofErr w:type="spellEnd"/>
      <w:r>
        <w:rPr>
          <w:rFonts w:ascii="Aptos" w:eastAsia="Aptos" w:hAnsi="Aptos" w:cs="Aptos"/>
          <w:i/>
          <w:iCs/>
          <w:color w:val="595959"/>
          <w:sz w:val="22"/>
          <w:szCs w:val="22"/>
        </w:rPr>
        <w:t xml:space="preserve"> S.r.l.</w:t>
      </w:r>
    </w:p>
    <w:p w14:paraId="7CB8F71E" w14:textId="77777777" w:rsidR="0026273A" w:rsidRDefault="0026273A" w:rsidP="0026273A">
      <w:pPr>
        <w:spacing w:after="360"/>
      </w:pPr>
      <w:r>
        <w:rPr>
          <w:rFonts w:ascii="Aptos" w:eastAsia="Aptos" w:hAnsi="Aptos" w:cs="Aptos"/>
          <w:i/>
          <w:iCs/>
          <w:color w:val="595959"/>
          <w:sz w:val="20"/>
          <w:szCs w:val="20"/>
        </w:rPr>
        <w:t>Maggio 2026 — Documento riservato</w:t>
      </w:r>
    </w:p>
    <w:p w14:paraId="5EED2904" w14:textId="77777777" w:rsidR="0026273A" w:rsidRDefault="0026273A" w:rsidP="0026273A">
      <w:pPr>
        <w:pStyle w:val="Titolo1"/>
      </w:pPr>
      <w:r>
        <w:rPr>
          <w:rFonts w:ascii="Aptos" w:eastAsia="Aptos" w:hAnsi="Aptos" w:cs="Aptos"/>
          <w:b/>
          <w:bCs/>
          <w:color w:val="074F6A"/>
          <w:sz w:val="32"/>
          <w:szCs w:val="32"/>
        </w:rPr>
        <w:t>1. Premessa metodologica</w:t>
      </w:r>
    </w:p>
    <w:p w14:paraId="4B4B66AE" w14:textId="77777777" w:rsidR="0026273A" w:rsidRDefault="0026273A" w:rsidP="0026273A">
      <w:pPr>
        <w:spacing w:after="120" w:line="300" w:lineRule="auto"/>
        <w:jc w:val="both"/>
      </w:pPr>
      <w:r>
        <w:rPr>
          <w:rFonts w:ascii="Aptos" w:eastAsia="Aptos" w:hAnsi="Aptos" w:cs="Aptos"/>
          <w:sz w:val="22"/>
          <w:szCs w:val="22"/>
        </w:rPr>
        <w:t xml:space="preserve">Il presente documento illustra il ritorno atteso sull'investimento per la realizzazione della piattaforma di ricerca automatizzata di opportunità pubbliche oggetto della proposta tecnico-economica. L'obiettivo è fornire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un quadro quantitativo trasparente del valore generato dalla soluzione, su un orizzonte di tre anni.</w:t>
      </w:r>
    </w:p>
    <w:p w14:paraId="26AEEE17" w14:textId="77777777" w:rsidR="0026273A" w:rsidRDefault="0026273A" w:rsidP="0026273A">
      <w:pPr>
        <w:pStyle w:val="Titolo2"/>
      </w:pPr>
      <w:proofErr w:type="gramStart"/>
      <w:r>
        <w:rPr>
          <w:rFonts w:ascii="Aptos" w:eastAsia="Aptos" w:hAnsi="Aptos" w:cs="Aptos"/>
          <w:b/>
          <w:bCs/>
          <w:color w:val="1F3864"/>
          <w:sz w:val="26"/>
          <w:szCs w:val="26"/>
        </w:rPr>
        <w:t>1.1  Approccio</w:t>
      </w:r>
      <w:proofErr w:type="gramEnd"/>
      <w:r>
        <w:rPr>
          <w:rFonts w:ascii="Aptos" w:eastAsia="Aptos" w:hAnsi="Aptos" w:cs="Aptos"/>
          <w:b/>
          <w:bCs/>
          <w:color w:val="1F3864"/>
          <w:sz w:val="26"/>
          <w:szCs w:val="26"/>
        </w:rPr>
        <w:t xml:space="preserve"> a due componenti</w:t>
      </w:r>
    </w:p>
    <w:p w14:paraId="1FF0A9C5" w14:textId="77777777" w:rsidR="0026273A" w:rsidRDefault="0026273A" w:rsidP="0026273A">
      <w:pPr>
        <w:spacing w:after="120" w:line="300" w:lineRule="auto"/>
        <w:jc w:val="both"/>
      </w:pPr>
      <w:r>
        <w:rPr>
          <w:rFonts w:ascii="Aptos" w:eastAsia="Aptos" w:hAnsi="Aptos" w:cs="Aptos"/>
          <w:sz w:val="22"/>
          <w:szCs w:val="22"/>
        </w:rPr>
        <w:t xml:space="preserve">Il modello tradizionale di calcolo del ritorno per soluzioni di automazione si fonda sul risparmio in equivalenti di tempo persona (FTE) — ovvero sulla quantificazione del tempo che il personale aziendale non dovrà più dedicare ad attività ora svolte dallo strumento. Nel caso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questo approccio non è applicabile in modo diretto: l'azienda non dispone oggi di una risorsa interna dedicata alla ricerca e gestione delle opportunità pubbliche, come emerso dal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Lo strumento non sostituisce un'attività esistente: ne abilita una nuova.</w:t>
      </w:r>
    </w:p>
    <w:p w14:paraId="6EADB3FE" w14:textId="77777777" w:rsidR="0026273A" w:rsidRDefault="0026273A" w:rsidP="0026273A">
      <w:pPr>
        <w:spacing w:after="120" w:line="300" w:lineRule="auto"/>
        <w:jc w:val="both"/>
      </w:pPr>
      <w:r>
        <w:rPr>
          <w:rFonts w:ascii="Aptos" w:eastAsia="Aptos" w:hAnsi="Aptos" w:cs="Aptos"/>
          <w:sz w:val="22"/>
          <w:szCs w:val="22"/>
        </w:rPr>
        <w:t>Per riflettere correttamente questa specificità, il business case è costruito su due componenti di valore distinte e cumulabili:</w:t>
      </w:r>
    </w:p>
    <w:p w14:paraId="18DF17C7" w14:textId="77777777" w:rsidR="0026273A" w:rsidRDefault="0026273A" w:rsidP="0026273A">
      <w:pPr>
        <w:spacing w:after="120" w:line="300" w:lineRule="auto"/>
        <w:jc w:val="both"/>
      </w:pPr>
      <w:r>
        <w:rPr>
          <w:rFonts w:ascii="Aptos" w:eastAsia="Aptos" w:hAnsi="Aptos" w:cs="Aptos"/>
          <w:b/>
          <w:bCs/>
          <w:color w:val="1F3864"/>
          <w:sz w:val="22"/>
          <w:szCs w:val="22"/>
        </w:rPr>
        <w:t>Componente A — Costo evitato. Il valore generato dal non dover assumere e mantenere una risorsa dedicata allo scouting e alla gestione iniziale dei bandi pubblici. Questa componente costituisce il pavimento garantito del business case e si basa su parametri retributivi pubblici e contrattualmente determinati.</w:t>
      </w:r>
    </w:p>
    <w:p w14:paraId="542217CF" w14:textId="77777777" w:rsidR="001A1AB3" w:rsidRDefault="0026273A" w:rsidP="0026273A">
      <w:pPr>
        <w:spacing w:after="120" w:line="300" w:lineRule="auto"/>
        <w:jc w:val="both"/>
        <w:rPr>
          <w:rFonts w:ascii="Aptos" w:eastAsia="Aptos" w:hAnsi="Aptos" w:cs="Aptos"/>
          <w:b/>
          <w:bCs/>
          <w:color w:val="1F3864"/>
          <w:sz w:val="22"/>
          <w:szCs w:val="22"/>
        </w:rPr>
      </w:pPr>
      <w:r>
        <w:rPr>
          <w:rFonts w:ascii="Aptos" w:eastAsia="Aptos" w:hAnsi="Aptos" w:cs="Aptos"/>
          <w:b/>
          <w:bCs/>
          <w:color w:val="1F3864"/>
          <w:sz w:val="22"/>
          <w:szCs w:val="22"/>
        </w:rPr>
        <w:t xml:space="preserve">Componente B — Margine incrementale. Il margine incrementale generato dall'aggiudicazione di nuovi contratti pubblici resi accessibili dallo strumento. Questa componente costituisce il valore </w:t>
      </w:r>
    </w:p>
    <w:p w14:paraId="506C2ACC" w14:textId="77777777" w:rsidR="001A1AB3" w:rsidRDefault="001A1AB3" w:rsidP="0026273A">
      <w:pPr>
        <w:spacing w:after="120" w:line="300" w:lineRule="auto"/>
        <w:jc w:val="both"/>
        <w:rPr>
          <w:rFonts w:ascii="Aptos" w:eastAsia="Aptos" w:hAnsi="Aptos" w:cs="Aptos"/>
          <w:b/>
          <w:bCs/>
          <w:color w:val="1F3864"/>
          <w:sz w:val="22"/>
          <w:szCs w:val="22"/>
        </w:rPr>
      </w:pPr>
    </w:p>
    <w:p w14:paraId="419FF48D" w14:textId="52E5AEB5" w:rsidR="0026273A" w:rsidRDefault="0026273A" w:rsidP="0026273A">
      <w:pPr>
        <w:spacing w:after="120" w:line="300" w:lineRule="auto"/>
        <w:jc w:val="both"/>
      </w:pPr>
      <w:r>
        <w:rPr>
          <w:rFonts w:ascii="Aptos" w:eastAsia="Aptos" w:hAnsi="Aptos" w:cs="Aptos"/>
          <w:b/>
          <w:bCs/>
          <w:color w:val="1F3864"/>
          <w:sz w:val="22"/>
          <w:szCs w:val="22"/>
        </w:rPr>
        <w:t>strategico dell'investimento ed è strutturata in tre scenari (conservativo, base, ottimistico) per riflettere la naturale variabilità delle previsioni commerciali.</w:t>
      </w:r>
    </w:p>
    <w:p w14:paraId="30759519" w14:textId="77777777" w:rsidR="0026273A" w:rsidRDefault="0026273A" w:rsidP="0026273A">
      <w:pPr>
        <w:pStyle w:val="Titolo2"/>
      </w:pPr>
      <w:proofErr w:type="gramStart"/>
      <w:r>
        <w:rPr>
          <w:rFonts w:ascii="Aptos" w:eastAsia="Aptos" w:hAnsi="Aptos" w:cs="Aptos"/>
          <w:b/>
          <w:bCs/>
          <w:color w:val="1F3864"/>
          <w:sz w:val="26"/>
          <w:szCs w:val="26"/>
        </w:rPr>
        <w:lastRenderedPageBreak/>
        <w:t>1.2  Parametri</w:t>
      </w:r>
      <w:proofErr w:type="gramEnd"/>
      <w:r>
        <w:rPr>
          <w:rFonts w:ascii="Aptos" w:eastAsia="Aptos" w:hAnsi="Aptos" w:cs="Aptos"/>
          <w:b/>
          <w:bCs/>
          <w:color w:val="1F3864"/>
          <w:sz w:val="26"/>
          <w:szCs w:val="26"/>
        </w:rPr>
        <w:t xml:space="preserve"> operativi di riferimento</w:t>
      </w:r>
    </w:p>
    <w:p w14:paraId="29E5ABB0" w14:textId="77777777" w:rsidR="0026273A" w:rsidRDefault="0026273A" w:rsidP="0026273A">
      <w:pPr>
        <w:spacing w:after="120" w:line="300" w:lineRule="auto"/>
        <w:jc w:val="both"/>
      </w:pPr>
      <w:r>
        <w:rPr>
          <w:rFonts w:ascii="Aptos" w:eastAsia="Aptos" w:hAnsi="Aptos" w:cs="Aptos"/>
          <w:sz w:val="22"/>
          <w:szCs w:val="22"/>
        </w:rPr>
        <w:t>Il modello si fonda su due parametri operativi specifici del segmento di mercato di Achipont, ancorati al profilo aziendale rilevato in fase di discovery e a benchmark di settore. Si tratta delle due variabili a maggiore impatto sul risultato finale del business case: importo medio commessa pubblica e capacità annua di preparazione bandi. Entrambi verranno consolidati puntualmente nella sessione di avvio congiunta sulla base dell'esperienza operativa di Achipont, e l'analisi di sensibilità in sezione 5 mostra come la conclusione del modello sia robusta a variazioni significative di entrambi.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7BCAB6C1" w14:textId="77777777" w:rsidTr="006E1A48">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E8F4EC"/>
            <w:tcMar>
              <w:top w:w="200" w:type="dxa"/>
              <w:left w:w="240" w:type="dxa"/>
              <w:bottom w:w="200" w:type="dxa"/>
              <w:right w:w="240" w:type="dxa"/>
            </w:tcMar>
          </w:tcPr>
          <w:p w14:paraId="6AF83CFA" w14:textId="77777777" w:rsidR="00006565" w:rsidRDefault="00000000">
            <w:r>
              <w:t>Parametro 1 — Importo medio commessa pubblica: valore netto effettivamente fatturato per ogni aggiudicazione, dopo applicazione del ribasso d'asta.</w:t>
            </w:r>
          </w:p>
          <w:p w14:paraId="50482BF2" w14:textId="77777777" w:rsidR="00006565" w:rsidRDefault="00000000">
            <w:r>
              <w:t>Parametro 2 — Capacità annua di preparazione bandi: numero massimo di partecipazioni a gara sostenibili in un anno con la struttura attuale, considerato il tempo necessario alla preparazione di ciascuna offerta.</w:t>
            </w:r>
          </w:p>
        </w:tc>
      </w:tr>
    </w:tbl>
    <w:p w14:paraId="2AD21422" w14:textId="77777777" w:rsidR="0026273A" w:rsidRDefault="0026273A" w:rsidP="0026273A">
      <w:pPr>
        <w:spacing w:after="100"/>
      </w:pPr>
    </w:p>
    <w:p w14:paraId="3BD3A326" w14:textId="60B2B42A" w:rsidR="0026273A" w:rsidRDefault="0026273A" w:rsidP="001A1AB3">
      <w:pPr>
        <w:spacing w:after="120" w:line="300" w:lineRule="auto"/>
        <w:jc w:val="both"/>
      </w:pPr>
      <w:r>
        <w:rPr>
          <w:rFonts w:ascii="Aptos" w:eastAsia="Aptos" w:hAnsi="Aptos" w:cs="Aptos"/>
          <w:sz w:val="22"/>
          <w:szCs w:val="22"/>
        </w:rPr>
        <w:t>Tutti gli altri parametri del modello sono ancorati a dati esterni verificabili: rapporti annuali ANAC sul mercato dei contratti pubblici, tabelle salariali del CCNL Edilizia Industria, regole di affidamento del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Le fonti sono indicate puntualmente nelle sezioni dedicate.</w:t>
      </w:r>
    </w:p>
    <w:p w14:paraId="4126C1BF" w14:textId="77777777" w:rsidR="0026273A" w:rsidRDefault="0026273A" w:rsidP="0026273A">
      <w:pPr>
        <w:pStyle w:val="Titolo1"/>
      </w:pPr>
      <w:r>
        <w:rPr>
          <w:rFonts w:ascii="Aptos" w:eastAsia="Aptos" w:hAnsi="Aptos" w:cs="Aptos"/>
          <w:b/>
          <w:bCs/>
          <w:color w:val="074F6A"/>
          <w:sz w:val="32"/>
          <w:szCs w:val="32"/>
        </w:rPr>
        <w:t>2. Componente A — Costo evitato</w:t>
      </w:r>
    </w:p>
    <w:p w14:paraId="06E3872B" w14:textId="77777777" w:rsidR="0026273A" w:rsidRDefault="0026273A" w:rsidP="0026273A">
      <w:pPr>
        <w:spacing w:after="120" w:line="300" w:lineRule="auto"/>
        <w:jc w:val="both"/>
      </w:pPr>
      <w:r>
        <w:rPr>
          <w:rFonts w:ascii="Aptos" w:eastAsia="Aptos" w:hAnsi="Aptos" w:cs="Aptos"/>
          <w:sz w:val="22"/>
          <w:szCs w:val="22"/>
        </w:rPr>
        <w:t xml:space="preserve">La risposta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alla sezione 5.2 del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xml:space="preserve"> è esplicita: in assenza dello strumento, l'attività di ricerca e gestione iniziale dei bandi pubblici sarebbe affidata a una risorsa interna da assumere appositamente, con riferimento a un profilo di apprendista a inquadramento iniziale. Il costo aziendale di questa figura rappresenta quindi il costo evitato grazie all'adozione della soluzione.</w:t>
      </w:r>
    </w:p>
    <w:p w14:paraId="74ACDC97" w14:textId="77777777" w:rsidR="001A1AB3" w:rsidRDefault="001A1AB3" w:rsidP="0026273A">
      <w:pPr>
        <w:pStyle w:val="Titolo2"/>
        <w:rPr>
          <w:rFonts w:ascii="Aptos" w:eastAsia="Aptos" w:hAnsi="Aptos" w:cs="Aptos"/>
          <w:b/>
          <w:bCs/>
          <w:color w:val="1F3864"/>
          <w:sz w:val="26"/>
          <w:szCs w:val="26"/>
        </w:rPr>
      </w:pPr>
    </w:p>
    <w:p w14:paraId="61C53ABC" w14:textId="42B6AA37" w:rsidR="0026273A" w:rsidRDefault="0026273A" w:rsidP="0026273A">
      <w:pPr>
        <w:pStyle w:val="Titolo2"/>
      </w:pPr>
      <w:proofErr w:type="gramStart"/>
      <w:r>
        <w:rPr>
          <w:rFonts w:ascii="Aptos" w:eastAsia="Aptos" w:hAnsi="Aptos" w:cs="Aptos"/>
          <w:b/>
          <w:bCs/>
          <w:color w:val="1F3864"/>
          <w:sz w:val="26"/>
          <w:szCs w:val="26"/>
        </w:rPr>
        <w:t>2.1  Profilo</w:t>
      </w:r>
      <w:proofErr w:type="gramEnd"/>
      <w:r>
        <w:rPr>
          <w:rFonts w:ascii="Aptos" w:eastAsia="Aptos" w:hAnsi="Aptos" w:cs="Aptos"/>
          <w:b/>
          <w:bCs/>
          <w:color w:val="1F3864"/>
          <w:sz w:val="26"/>
          <w:szCs w:val="26"/>
        </w:rPr>
        <w:t xml:space="preserve"> di riferimento</w:t>
      </w:r>
    </w:p>
    <w:p w14:paraId="666B2E63" w14:textId="77777777" w:rsidR="0026273A" w:rsidRDefault="0026273A" w:rsidP="0026273A">
      <w:pPr>
        <w:spacing w:after="120" w:line="300" w:lineRule="auto"/>
        <w:jc w:val="both"/>
      </w:pPr>
      <w:r>
        <w:rPr>
          <w:rFonts w:ascii="Aptos" w:eastAsia="Aptos" w:hAnsi="Aptos" w:cs="Aptos"/>
          <w:sz w:val="22"/>
          <w:szCs w:val="22"/>
        </w:rPr>
        <w:t>Il profilo assunto è quello di un apprendista professionalizzante inquadrato secondo il CCNL Edilizia Industria, primo livello di ingresso, con un orizzonte triennale di formazione (durata standard del contratto di apprendistato per mansioni tecnico-amministrative). Le aliquote contributive applicate sono quelle agevolate previste per il contratto di apprendistato per giovani 15-29 anni: 11,31% a carico del datore di lavoro, contro il 31% del contratto ordinario.</w:t>
      </w:r>
    </w:p>
    <w:p w14:paraId="38DF81FA" w14:textId="77777777" w:rsidR="0026273A" w:rsidRDefault="0026273A" w:rsidP="0026273A">
      <w:pPr>
        <w:pStyle w:val="Titolo2"/>
      </w:pPr>
      <w:proofErr w:type="gramStart"/>
      <w:r>
        <w:rPr>
          <w:rFonts w:ascii="Aptos" w:eastAsia="Aptos" w:hAnsi="Aptos" w:cs="Aptos"/>
          <w:b/>
          <w:bCs/>
          <w:color w:val="1F3864"/>
          <w:sz w:val="26"/>
          <w:szCs w:val="26"/>
        </w:rPr>
        <w:lastRenderedPageBreak/>
        <w:t>2.2  Calcolo</w:t>
      </w:r>
      <w:proofErr w:type="gramEnd"/>
      <w:r>
        <w:rPr>
          <w:rFonts w:ascii="Aptos" w:eastAsia="Aptos" w:hAnsi="Aptos" w:cs="Aptos"/>
          <w:b/>
          <w:bCs/>
          <w:color w:val="1F3864"/>
          <w:sz w:val="26"/>
          <w:szCs w:val="26"/>
        </w:rPr>
        <w:t xml:space="preserve"> del costo aziendale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26273A" w14:paraId="62F2F4F0" w14:textId="77777777" w:rsidTr="006E1A48">
        <w:trPr>
          <w:cantSplit/>
          <w:tblHeader/>
        </w:trPr>
        <w:tc>
          <w:tcPr>
            <w:tcW w:w="5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18A30E1" w14:textId="77777777" w:rsidR="0026273A" w:rsidRDefault="0026273A" w:rsidP="006E1A48">
            <w:pPr>
              <w:spacing w:line="260" w:lineRule="auto"/>
            </w:pPr>
            <w:r>
              <w:rPr>
                <w:rFonts w:ascii="Aptos" w:eastAsia="Aptos" w:hAnsi="Aptos" w:cs="Aptos"/>
                <w:b/>
                <w:bCs/>
                <w:color w:val="1F3864"/>
                <w:sz w:val="20"/>
                <w:szCs w:val="20"/>
              </w:rPr>
              <w:t>Voce</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D821881" w14:textId="77777777" w:rsidR="0026273A" w:rsidRDefault="0026273A" w:rsidP="006E1A48">
            <w:pPr>
              <w:spacing w:line="260" w:lineRule="auto"/>
              <w:jc w:val="center"/>
            </w:pPr>
            <w:r>
              <w:rPr>
                <w:rFonts w:ascii="Aptos" w:eastAsia="Aptos" w:hAnsi="Aptos" w:cs="Aptos"/>
                <w:b/>
                <w:bCs/>
                <w:color w:val="1F3864"/>
                <w:sz w:val="20"/>
                <w:szCs w:val="20"/>
              </w:rPr>
              <w:t>Importo annuo</w:t>
            </w:r>
          </w:p>
        </w:tc>
      </w:tr>
      <w:tr w:rsidR="0026273A" w14:paraId="1227E3A5"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AB807E" w14:textId="77777777" w:rsidR="0026273A" w:rsidRDefault="0026273A" w:rsidP="006E1A48">
            <w:pPr>
              <w:spacing w:line="260" w:lineRule="auto"/>
            </w:pPr>
            <w:r>
              <w:rPr>
                <w:rFonts w:ascii="Aptos" w:eastAsia="Aptos" w:hAnsi="Aptos" w:cs="Aptos"/>
                <w:color w:val="000000"/>
                <w:sz w:val="20"/>
                <w:szCs w:val="20"/>
              </w:rPr>
              <w:t>Retribuzione lorda (RAL)</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6D2B6D" w14:textId="77777777" w:rsidR="0026273A" w:rsidRDefault="0026273A" w:rsidP="006E1A48">
            <w:pPr>
              <w:spacing w:line="260" w:lineRule="auto"/>
              <w:jc w:val="right"/>
            </w:pPr>
            <w:r>
              <w:rPr>
                <w:rFonts w:ascii="Aptos" w:eastAsia="Aptos" w:hAnsi="Aptos" w:cs="Aptos"/>
                <w:color w:val="000000"/>
                <w:sz w:val="20"/>
                <w:szCs w:val="20"/>
              </w:rPr>
              <w:t>€ 17.500</w:t>
            </w:r>
          </w:p>
        </w:tc>
      </w:tr>
      <w:tr w:rsidR="0026273A" w14:paraId="55E86D2B"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54EBC3" w14:textId="77777777" w:rsidR="0026273A" w:rsidRDefault="0026273A" w:rsidP="006E1A48">
            <w:pPr>
              <w:spacing w:line="260" w:lineRule="auto"/>
            </w:pPr>
            <w:r>
              <w:rPr>
                <w:rFonts w:ascii="Aptos" w:eastAsia="Aptos" w:hAnsi="Aptos" w:cs="Aptos"/>
                <w:color w:val="000000"/>
                <w:sz w:val="20"/>
                <w:szCs w:val="20"/>
              </w:rPr>
              <w:t>Contributi INPS a carico azienda (11,31%)</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E561DF" w14:textId="77777777" w:rsidR="0026273A" w:rsidRDefault="0026273A" w:rsidP="006E1A48">
            <w:pPr>
              <w:spacing w:line="260" w:lineRule="auto"/>
              <w:jc w:val="right"/>
            </w:pPr>
            <w:r>
              <w:rPr>
                <w:rFonts w:ascii="Aptos" w:eastAsia="Aptos" w:hAnsi="Aptos" w:cs="Aptos"/>
                <w:color w:val="000000"/>
                <w:sz w:val="20"/>
                <w:szCs w:val="20"/>
              </w:rPr>
              <w:t>€ 1.980</w:t>
            </w:r>
          </w:p>
        </w:tc>
      </w:tr>
      <w:tr w:rsidR="0026273A" w14:paraId="59919CE5"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B0FD8F" w14:textId="77777777" w:rsidR="0026273A" w:rsidRDefault="0026273A" w:rsidP="006E1A48">
            <w:pPr>
              <w:spacing w:line="260" w:lineRule="auto"/>
            </w:pPr>
            <w:r>
              <w:rPr>
                <w:rFonts w:ascii="Aptos" w:eastAsia="Aptos" w:hAnsi="Aptos" w:cs="Aptos"/>
                <w:color w:val="000000"/>
                <w:sz w:val="20"/>
                <w:szCs w:val="20"/>
              </w:rPr>
              <w:t>Accantonamento TFR (RAL / 13,5)</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FC4937" w14:textId="77777777" w:rsidR="0026273A" w:rsidRDefault="0026273A" w:rsidP="006E1A48">
            <w:pPr>
              <w:spacing w:line="260" w:lineRule="auto"/>
              <w:jc w:val="right"/>
            </w:pPr>
            <w:r>
              <w:rPr>
                <w:rFonts w:ascii="Aptos" w:eastAsia="Aptos" w:hAnsi="Aptos" w:cs="Aptos"/>
                <w:color w:val="000000"/>
                <w:sz w:val="20"/>
                <w:szCs w:val="20"/>
              </w:rPr>
              <w:t>€ 1.300</w:t>
            </w:r>
          </w:p>
        </w:tc>
      </w:tr>
      <w:tr w:rsidR="0026273A" w14:paraId="74EBABE7"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3CD5D5" w14:textId="77777777" w:rsidR="0026273A" w:rsidRDefault="0026273A" w:rsidP="006E1A48">
            <w:pPr>
              <w:spacing w:line="260" w:lineRule="auto"/>
            </w:pPr>
            <w:r>
              <w:rPr>
                <w:rFonts w:ascii="Aptos" w:eastAsia="Aptos" w:hAnsi="Aptos" w:cs="Aptos"/>
                <w:color w:val="000000"/>
                <w:sz w:val="20"/>
                <w:szCs w:val="20"/>
              </w:rPr>
              <w:t>INAIL e altri oneri (stima 3,5% RAL)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E421A6" w14:textId="77777777" w:rsidR="0026273A" w:rsidRDefault="0026273A" w:rsidP="006E1A48">
            <w:pPr>
              <w:spacing w:line="260" w:lineRule="auto"/>
              <w:jc w:val="right"/>
            </w:pPr>
            <w:r>
              <w:rPr>
                <w:rFonts w:ascii="Aptos" w:eastAsia="Aptos" w:hAnsi="Aptos" w:cs="Aptos"/>
                <w:color w:val="000000"/>
                <w:sz w:val="20"/>
                <w:szCs w:val="20"/>
              </w:rPr>
              <w:t>€ 615</w:t>
            </w:r>
          </w:p>
        </w:tc>
      </w:tr>
      <w:tr w:rsidR="0026273A" w14:paraId="06A4B8E9"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EAB84" w14:textId="77777777" w:rsidR="0026273A" w:rsidRDefault="0026273A" w:rsidP="006E1A48">
            <w:pPr>
              <w:spacing w:line="260" w:lineRule="auto"/>
            </w:pPr>
            <w:r>
              <w:rPr>
                <w:rFonts w:ascii="Aptos" w:eastAsia="Aptos" w:hAnsi="Aptos" w:cs="Aptos"/>
                <w:color w:val="000000"/>
                <w:sz w:val="20"/>
                <w:szCs w:val="20"/>
              </w:rPr>
              <w:t>Cassa Edile e contributi territoriali (stima)</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769E53" w14:textId="77777777" w:rsidR="0026273A" w:rsidRDefault="0026273A" w:rsidP="006E1A48">
            <w:pPr>
              <w:spacing w:line="260" w:lineRule="auto"/>
              <w:jc w:val="right"/>
            </w:pPr>
            <w:r>
              <w:rPr>
                <w:rFonts w:ascii="Aptos" w:eastAsia="Aptos" w:hAnsi="Aptos" w:cs="Aptos"/>
                <w:color w:val="000000"/>
                <w:sz w:val="20"/>
                <w:szCs w:val="20"/>
              </w:rPr>
              <w:t>€ 1.605</w:t>
            </w:r>
          </w:p>
        </w:tc>
      </w:tr>
      <w:tr w:rsidR="0026273A" w14:paraId="1FB663B1" w14:textId="77777777" w:rsidTr="006E1A48">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56858D" w14:textId="77777777" w:rsidR="0026273A" w:rsidRDefault="0026273A" w:rsidP="006E1A48">
            <w:pPr>
              <w:spacing w:line="260" w:lineRule="auto"/>
            </w:pPr>
            <w:r>
              <w:rPr>
                <w:rFonts w:ascii="Aptos" w:eastAsia="Aptos" w:hAnsi="Aptos" w:cs="Aptos"/>
                <w:color w:val="000000"/>
                <w:sz w:val="20"/>
                <w:szCs w:val="20"/>
              </w:rPr>
              <w:t>Costo aziendale annuo totale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4E7A4B" w14:textId="77777777" w:rsidR="0026273A" w:rsidRDefault="0026273A" w:rsidP="006E1A48">
            <w:pPr>
              <w:spacing w:line="260" w:lineRule="auto"/>
              <w:jc w:val="right"/>
            </w:pPr>
            <w:r>
              <w:rPr>
                <w:rFonts w:ascii="Aptos" w:eastAsia="Aptos" w:hAnsi="Aptos" w:cs="Aptos"/>
                <w:color w:val="000000"/>
                <w:sz w:val="20"/>
                <w:szCs w:val="20"/>
              </w:rPr>
              <w:t>€ 23.000</w:t>
            </w:r>
          </w:p>
        </w:tc>
      </w:tr>
    </w:tbl>
    <w:p w14:paraId="393E8505" w14:textId="77777777" w:rsidR="0026273A" w:rsidRPr="001A1AB3" w:rsidRDefault="0026273A" w:rsidP="0026273A">
      <w:pPr>
        <w:spacing w:after="100"/>
        <w:rPr>
          <w:sz w:val="22"/>
          <w:szCs w:val="22"/>
        </w:rPr>
      </w:pPr>
    </w:p>
    <w:p w14:paraId="2E81EA6F" w14:textId="77777777" w:rsidR="0026273A" w:rsidRPr="001A1AB3" w:rsidRDefault="0026273A" w:rsidP="0026273A">
      <w:pPr>
        <w:spacing w:after="100"/>
        <w:rPr>
          <w:sz w:val="22"/>
          <w:szCs w:val="22"/>
        </w:rPr>
      </w:pPr>
      <w:r w:rsidRPr="001A1AB3">
        <w:rPr>
          <w:i/>
          <w:sz w:val="22"/>
          <w:szCs w:val="22"/>
        </w:rPr>
        <w:t>Nota metodologica sul livello salariale apprendista. La RAL di €17.500 è ancorata alle tabelle CCNL Edilizia Industria primo livello 2025, che situano la paga base mensile dell'apprendista professionalizzante di ingresso intorno a €1.350-€1.500/mese a seconda dell'indennità territoriale applicabile (12-13 mensilità). Eventuali stime sommarie più contenute riferite in fase di discovery non riflettono l'aggiornamento contrattuale a regime ma rappresentano una proiezione di massima del costo a budget. Il valore €17.500 è il riferimento tabellare attualizzato; il consolidamento puntuale in fase di avvio potrà aggiustare la stima sulla base del profilo specifico assunto da Achipont.</w:t>
      </w:r>
    </w:p>
    <w:p w14:paraId="4587C827" w14:textId="77777777" w:rsidR="001A1AB3" w:rsidRDefault="001A1AB3" w:rsidP="0026273A">
      <w:pPr>
        <w:spacing w:after="120" w:line="300" w:lineRule="auto"/>
        <w:jc w:val="both"/>
        <w:rPr>
          <w:rFonts w:ascii="Aptos" w:eastAsia="Aptos" w:hAnsi="Aptos" w:cs="Aptos"/>
          <w:sz w:val="22"/>
          <w:szCs w:val="22"/>
        </w:rPr>
      </w:pPr>
    </w:p>
    <w:p w14:paraId="2A79A045" w14:textId="77777777" w:rsidR="001A1AB3" w:rsidRDefault="001A1AB3" w:rsidP="0026273A">
      <w:pPr>
        <w:spacing w:after="120" w:line="300" w:lineRule="auto"/>
        <w:jc w:val="both"/>
        <w:rPr>
          <w:rFonts w:ascii="Aptos" w:eastAsia="Aptos" w:hAnsi="Aptos" w:cs="Aptos"/>
          <w:sz w:val="22"/>
          <w:szCs w:val="22"/>
        </w:rPr>
      </w:pPr>
    </w:p>
    <w:p w14:paraId="490B6117" w14:textId="6C2A367F" w:rsidR="0026273A" w:rsidRDefault="0026273A" w:rsidP="0026273A">
      <w:pPr>
        <w:spacing w:after="120" w:line="300" w:lineRule="auto"/>
        <w:jc w:val="both"/>
      </w:pPr>
      <w:r>
        <w:rPr>
          <w:rFonts w:ascii="Aptos" w:eastAsia="Aptos" w:hAnsi="Aptos" w:cs="Aptos"/>
          <w:sz w:val="22"/>
          <w:szCs w:val="22"/>
        </w:rPr>
        <w:t>Il valore di €23.000 è coerente con i benchmark di mercato per il profilo indicato e si colloca in modo prudenziale all'interno del range €21.000-€24.000 tipico per apprendisti di primo livello in PMI con meno di 15 dipendenti. La cifra è inferiore al costo di un dipendente ordinario allo stesso livello (€32.000-€35.000) grazie alle agevolazioni contributive del contratto di apprendistato.</w:t>
      </w:r>
    </w:p>
    <w:p w14:paraId="5498951B" w14:textId="77777777" w:rsidR="0026273A" w:rsidRDefault="0026273A" w:rsidP="0026273A">
      <w:pPr>
        <w:pStyle w:val="Titolo2"/>
      </w:pPr>
      <w:proofErr w:type="gramStart"/>
      <w:r>
        <w:rPr>
          <w:rFonts w:ascii="Aptos" w:eastAsia="Aptos" w:hAnsi="Aptos" w:cs="Aptos"/>
          <w:b/>
          <w:bCs/>
          <w:color w:val="1F3864"/>
          <w:sz w:val="26"/>
          <w:szCs w:val="26"/>
        </w:rPr>
        <w:t>2.3  Risultato</w:t>
      </w:r>
      <w:proofErr w:type="gramEnd"/>
      <w:r>
        <w:rPr>
          <w:rFonts w:ascii="Aptos" w:eastAsia="Aptos" w:hAnsi="Aptos" w:cs="Aptos"/>
          <w:b/>
          <w:bCs/>
          <w:color w:val="1F3864"/>
          <w:sz w:val="26"/>
          <w:szCs w:val="26"/>
        </w:rPr>
        <w:t xml:space="preserve"> Componente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32EBF3C0" w14:textId="77777777" w:rsidTr="006E1A48">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C9D2045" w14:textId="77777777" w:rsidR="0026273A" w:rsidRDefault="0026273A" w:rsidP="006E1A48">
            <w:pPr>
              <w:spacing w:line="300" w:lineRule="auto"/>
            </w:pPr>
            <w:r>
              <w:rPr>
                <w:rFonts w:ascii="Aptos" w:eastAsia="Aptos" w:hAnsi="Aptos" w:cs="Aptos"/>
                <w:b/>
                <w:bCs/>
                <w:color w:val="074F6A"/>
                <w:sz w:val="22"/>
                <w:szCs w:val="22"/>
              </w:rPr>
              <w:t>Costo evitato annuo: € 23.000</w:t>
            </w:r>
            <w:r>
              <w:rPr>
                <w:rFonts w:ascii="Aptos" w:eastAsia="Aptos" w:hAnsi="Aptos" w:cs="Aptos"/>
                <w:b/>
                <w:bCs/>
                <w:color w:val="074F6A"/>
                <w:sz w:val="22"/>
                <w:szCs w:val="22"/>
              </w:rPr>
              <w:br/>
              <w:t>Valore consolidato e indipendente dai risultati commerciali generati dallo strumento. Costituisce il pavimento garantito del business case.</w:t>
            </w:r>
          </w:p>
        </w:tc>
      </w:tr>
    </w:tbl>
    <w:p w14:paraId="1D353231" w14:textId="77777777" w:rsidR="0026273A" w:rsidRDefault="0026273A" w:rsidP="0026273A">
      <w:pPr>
        <w:pStyle w:val="Titolo1"/>
      </w:pPr>
      <w:r>
        <w:rPr>
          <w:rFonts w:ascii="Aptos" w:eastAsia="Aptos" w:hAnsi="Aptos" w:cs="Aptos"/>
          <w:b/>
          <w:bCs/>
          <w:color w:val="074F6A"/>
          <w:sz w:val="32"/>
          <w:szCs w:val="32"/>
        </w:rPr>
        <w:lastRenderedPageBreak/>
        <w:t>3. Componente B — Margine incrementale</w:t>
      </w:r>
    </w:p>
    <w:p w14:paraId="1CD33E6C" w14:textId="77777777" w:rsidR="0026273A" w:rsidRDefault="0026273A" w:rsidP="0026273A">
      <w:pPr>
        <w:spacing w:after="120" w:line="300" w:lineRule="auto"/>
        <w:jc w:val="both"/>
      </w:pPr>
      <w:r>
        <w:rPr>
          <w:rFonts w:ascii="Aptos" w:eastAsia="Aptos" w:hAnsi="Aptos" w:cs="Aptos"/>
          <w:sz w:val="22"/>
          <w:szCs w:val="22"/>
        </w:rPr>
        <w:t xml:space="preserve">La componente B quantifica il margine incrementale generato dall'aggiudicazione di nuovi contratti pubblici resi accessibili dallo strumento. Il calcolo segue una logica a imbuto, applicando in sequenza una serie di tassi di conversione a partire dal volume di gare disponibili sul mercato target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6F0E66AF" w14:textId="77777777" w:rsidR="0026273A" w:rsidRDefault="0026273A" w:rsidP="0026273A">
      <w:pPr>
        <w:pStyle w:val="Titolo2"/>
      </w:pPr>
      <w:proofErr w:type="gramStart"/>
      <w:r>
        <w:rPr>
          <w:rFonts w:ascii="Aptos" w:eastAsia="Aptos" w:hAnsi="Aptos" w:cs="Aptos"/>
          <w:b/>
          <w:bCs/>
          <w:color w:val="1F3864"/>
          <w:sz w:val="26"/>
          <w:szCs w:val="26"/>
        </w:rPr>
        <w:t>3.1  Mercato</w:t>
      </w:r>
      <w:proofErr w:type="gramEnd"/>
      <w:r>
        <w:rPr>
          <w:rFonts w:ascii="Aptos" w:eastAsia="Aptos" w:hAnsi="Aptos" w:cs="Aptos"/>
          <w:b/>
          <w:bCs/>
          <w:color w:val="1F3864"/>
          <w:sz w:val="26"/>
          <w:szCs w:val="26"/>
        </w:rPr>
        <w:t xml:space="preserve"> di riferimento</w:t>
      </w:r>
    </w:p>
    <w:p w14:paraId="16864349" w14:textId="77777777" w:rsidR="0026273A" w:rsidRDefault="0026273A" w:rsidP="0026273A">
      <w:pPr>
        <w:spacing w:after="120" w:line="300" w:lineRule="auto"/>
        <w:jc w:val="both"/>
      </w:pPr>
      <w:r>
        <w:rPr>
          <w:rFonts w:ascii="Aptos" w:eastAsia="Aptos" w:hAnsi="Aptos" w:cs="Aptos"/>
          <w:sz w:val="22"/>
          <w:szCs w:val="22"/>
        </w:rPr>
        <w:t>Il mercato pubblico italiano nel 2024 ha generato 267.000 procedure di gara per un valore complessivo di €271,8 miliardi (fonte: Relazione Annuale ANAC al Parlamento, maggio 2025). Il Lazio rappresenta una delle regioni a maggior intensità di spesa per appalti di lavori, con il 5,4% del valore nazionale (circa €15,3 miliardi) e tra gli importi medi più elevati a livello nazionale.</w:t>
      </w:r>
    </w:p>
    <w:p w14:paraId="37CFF6CD" w14:textId="77777777" w:rsidR="0026273A" w:rsidRDefault="0026273A" w:rsidP="0026273A">
      <w:pPr>
        <w:spacing w:after="120" w:line="300" w:lineRule="auto"/>
        <w:jc w:val="both"/>
      </w:pPr>
      <w:r>
        <w:rPr>
          <w:rFonts w:ascii="Aptos" w:eastAsia="Aptos" w:hAnsi="Aptos" w:cs="Aptos"/>
          <w:sz w:val="22"/>
          <w:szCs w:val="22"/>
        </w:rPr>
        <w:t xml:space="preserve">Per </w:t>
      </w:r>
      <w:proofErr w:type="spellStart"/>
      <w:r>
        <w:rPr>
          <w:rFonts w:ascii="Aptos" w:eastAsia="Aptos" w:hAnsi="Aptos" w:cs="Aptos"/>
          <w:sz w:val="22"/>
          <w:szCs w:val="22"/>
        </w:rPr>
        <w:t>Achipont</w:t>
      </w:r>
      <w:proofErr w:type="spellEnd"/>
      <w:r>
        <w:rPr>
          <w:rFonts w:ascii="Aptos" w:eastAsia="Aptos" w:hAnsi="Aptos" w:cs="Aptos"/>
          <w:sz w:val="22"/>
          <w:szCs w:val="22"/>
        </w:rPr>
        <w:t xml:space="preserve"> il perimetro di riferimento è dato dalle cinque regioni dichiarate (Lazio, Abruzzo, Marche, Toscana, </w:t>
      </w:r>
      <w:proofErr w:type="gramStart"/>
      <w:r>
        <w:rPr>
          <w:rFonts w:ascii="Aptos" w:eastAsia="Aptos" w:hAnsi="Aptos" w:cs="Aptos"/>
          <w:sz w:val="22"/>
          <w:szCs w:val="22"/>
        </w:rPr>
        <w:t>Emilia Romagna</w:t>
      </w:r>
      <w:proofErr w:type="gramEnd"/>
      <w:r>
        <w:rPr>
          <w:rFonts w:ascii="Aptos" w:eastAsia="Aptos" w:hAnsi="Aptos" w:cs="Aptos"/>
          <w:sz w:val="22"/>
          <w:szCs w:val="22"/>
        </w:rPr>
        <w:t>) e dal segmento merceologico di competenza (ponteggi, opere provvisionali, montacarichi, monoblocchi e relative attività di noleggio, montaggio e manutenzione). All'interno di tale perimetro il modello distingue tra:</w:t>
      </w:r>
    </w:p>
    <w:p w14:paraId="403BE18D"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 xml:space="preserve">Lavori sotto €150.000 (limite oltre il quale è richiesta attestazione SOA, non posseduta da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5448B836"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 xml:space="preserve">Servizi e forniture senza limite di importo (categoria che include il noleggio ponteggi e affini, prestazioni che costituiscono il core business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4CFCF3B" w14:textId="77777777" w:rsidR="0026273A" w:rsidRDefault="0026273A" w:rsidP="0026273A">
      <w:pPr>
        <w:spacing w:after="100"/>
      </w:pPr>
    </w:p>
    <w:p w14:paraId="334DB538" w14:textId="77777777" w:rsidR="0026273A" w:rsidRDefault="0026273A" w:rsidP="0026273A">
      <w:pPr>
        <w:pStyle w:val="Titolo2"/>
      </w:pPr>
      <w:proofErr w:type="gramStart"/>
      <w:r>
        <w:rPr>
          <w:rFonts w:ascii="Aptos" w:eastAsia="Aptos" w:hAnsi="Aptos" w:cs="Aptos"/>
          <w:b/>
          <w:bCs/>
          <w:color w:val="1F3864"/>
          <w:sz w:val="26"/>
          <w:szCs w:val="26"/>
        </w:rPr>
        <w:t>3.2  Parametri</w:t>
      </w:r>
      <w:proofErr w:type="gramEnd"/>
      <w:r>
        <w:rPr>
          <w:rFonts w:ascii="Aptos" w:eastAsia="Aptos" w:hAnsi="Aptos" w:cs="Aptos"/>
          <w:b/>
          <w:bCs/>
          <w:color w:val="1F3864"/>
          <w:sz w:val="26"/>
          <w:szCs w:val="26"/>
        </w:rPr>
        <w:t xml:space="preserve">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62D39090" w14:textId="77777777" w:rsidTr="006E1A48">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72DF451" w14:textId="77777777" w:rsidR="0026273A" w:rsidRDefault="0026273A" w:rsidP="006E1A48">
            <w:pPr>
              <w:spacing w:line="260" w:lineRule="auto"/>
            </w:pPr>
            <w:r>
              <w:rPr>
                <w:rFonts w:ascii="Aptos" w:eastAsia="Aptos" w:hAnsi="Aptos" w:cs="Aptos"/>
                <w:b/>
                <w:bCs/>
                <w:color w:val="1F3864"/>
                <w:sz w:val="20"/>
                <w:szCs w:val="20"/>
              </w:rPr>
              <w:t>Parametro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902B280"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0786A1A2"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2F3821E"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40DE05B1"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5DD215" w14:textId="77777777" w:rsidR="0026273A" w:rsidRDefault="0026273A" w:rsidP="006E1A48">
            <w:pPr>
              <w:spacing w:line="260" w:lineRule="auto"/>
            </w:pPr>
            <w:r>
              <w:rPr>
                <w:rFonts w:ascii="Aptos" w:eastAsia="Aptos" w:hAnsi="Aptos" w:cs="Aptos"/>
                <w:color w:val="000000"/>
                <w:sz w:val="20"/>
                <w:szCs w:val="20"/>
              </w:rPr>
              <w:t>Bandi/anno mercato target (5 regioni)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514D70"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14AB68"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00C04D"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041ACC2F"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8D283A" w14:textId="77777777" w:rsidR="0026273A" w:rsidRDefault="0026273A" w:rsidP="006E1A48">
            <w:pPr>
              <w:spacing w:line="260" w:lineRule="auto"/>
            </w:pPr>
            <w:r>
              <w:rPr>
                <w:rFonts w:ascii="Aptos" w:eastAsia="Aptos" w:hAnsi="Aptos" w:cs="Aptos"/>
                <w:color w:val="000000"/>
                <w:sz w:val="20"/>
                <w:szCs w:val="20"/>
              </w:rPr>
              <w:t xml:space="preserve">Compatibili con profilo </w:t>
            </w:r>
            <w:proofErr w:type="spellStart"/>
            <w:r>
              <w:rPr>
                <w:rFonts w:ascii="Aptos" w:eastAsia="Aptos" w:hAnsi="Aptos" w:cs="Aptos"/>
                <w:color w:val="000000"/>
                <w:sz w:val="20"/>
                <w:szCs w:val="20"/>
              </w:rPr>
              <w:t>Achipont</w:t>
            </w:r>
            <w:proofErr w:type="spellEnd"/>
            <w:r>
              <w:rPr>
                <w:rFonts w:ascii="Aptos" w:eastAsia="Aptos" w:hAnsi="Aptos" w:cs="Aptos"/>
                <w:color w:val="000000"/>
                <w:sz w:val="20"/>
                <w:szCs w:val="20"/>
              </w:rPr>
              <w:t xml:space="preserve"> (post-filtro AI)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4CF323" w14:textId="77777777" w:rsidR="0026273A" w:rsidRDefault="0026273A" w:rsidP="006E1A48">
            <w:pPr>
              <w:spacing w:line="260" w:lineRule="auto"/>
              <w:jc w:val="right"/>
            </w:pPr>
            <w:r>
              <w:rPr>
                <w:rFonts w:ascii="Aptos" w:eastAsia="Aptos" w:hAnsi="Aptos" w:cs="Aptos"/>
                <w:color w:val="000000"/>
                <w:sz w:val="20"/>
                <w:szCs w:val="20"/>
              </w:rPr>
              <w:t>55%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187D27" w14:textId="77777777" w:rsidR="0026273A" w:rsidRDefault="0026273A" w:rsidP="006E1A48">
            <w:pPr>
              <w:spacing w:line="260" w:lineRule="auto"/>
              <w:jc w:val="right"/>
            </w:pPr>
            <w:r>
              <w:rPr>
                <w:rFonts w:ascii="Aptos" w:eastAsia="Aptos" w:hAnsi="Aptos" w:cs="Aptos"/>
                <w:color w:val="000000"/>
                <w:sz w:val="20"/>
                <w:szCs w:val="20"/>
              </w:rPr>
              <w:t>60%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86092C" w14:textId="77777777" w:rsidR="0026273A" w:rsidRDefault="0026273A" w:rsidP="006E1A48">
            <w:pPr>
              <w:spacing w:line="260" w:lineRule="auto"/>
              <w:jc w:val="right"/>
            </w:pPr>
            <w:r>
              <w:rPr>
                <w:rFonts w:ascii="Aptos" w:eastAsia="Aptos" w:hAnsi="Aptos" w:cs="Aptos"/>
                <w:color w:val="000000"/>
                <w:sz w:val="20"/>
                <w:szCs w:val="20"/>
              </w:rPr>
              <w:t>65%</w:t>
            </w:r>
          </w:p>
        </w:tc>
      </w:tr>
      <w:tr w:rsidR="0026273A" w14:paraId="389CA6AE"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17C978"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dichiarata)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98C262"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65EF83"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A23A20"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5BDB1105"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B33EDE" w14:textId="77777777" w:rsidR="0026273A" w:rsidRDefault="0026273A" w:rsidP="006E1A48">
            <w:pPr>
              <w:spacing w:line="260" w:lineRule="auto"/>
            </w:pPr>
            <w:r>
              <w:rPr>
                <w:rFonts w:ascii="Aptos" w:eastAsia="Aptos" w:hAnsi="Aptos" w:cs="Aptos"/>
                <w:color w:val="000000"/>
                <w:sz w:val="20"/>
                <w:szCs w:val="20"/>
              </w:rPr>
              <w:t>Tasso di aggiudicazione su partecipato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7FCCCD" w14:textId="77777777" w:rsidR="0026273A" w:rsidRDefault="0026273A" w:rsidP="006E1A48">
            <w:pPr>
              <w:spacing w:line="260" w:lineRule="auto"/>
              <w:jc w:val="right"/>
            </w:pPr>
            <w:r>
              <w:rPr>
                <w:rFonts w:ascii="Aptos" w:eastAsia="Aptos" w:hAnsi="Aptos" w:cs="Aptos"/>
                <w:color w:val="000000"/>
                <w:sz w:val="20"/>
                <w:szCs w:val="20"/>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E09B94" w14:textId="77777777" w:rsidR="0026273A" w:rsidRDefault="0026273A" w:rsidP="006E1A48">
            <w:pPr>
              <w:spacing w:line="260" w:lineRule="auto"/>
              <w:jc w:val="right"/>
            </w:pPr>
            <w:r>
              <w:rPr>
                <w:rFonts w:ascii="Aptos" w:eastAsia="Aptos" w:hAnsi="Aptos" w:cs="Aptos"/>
                <w:color w:val="000000"/>
                <w:sz w:val="20"/>
                <w:szCs w:val="20"/>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BD6510" w14:textId="77777777" w:rsidR="0026273A" w:rsidRDefault="0026273A" w:rsidP="006E1A48">
            <w:pPr>
              <w:spacing w:line="260" w:lineRule="auto"/>
              <w:jc w:val="right"/>
            </w:pPr>
            <w:r>
              <w:rPr>
                <w:rFonts w:ascii="Aptos" w:eastAsia="Aptos" w:hAnsi="Aptos" w:cs="Aptos"/>
                <w:color w:val="000000"/>
                <w:sz w:val="20"/>
                <w:szCs w:val="20"/>
              </w:rPr>
              <w:t>18%</w:t>
            </w:r>
          </w:p>
        </w:tc>
      </w:tr>
      <w:tr w:rsidR="0026273A" w14:paraId="5B7E026E"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28D08B" w14:textId="77777777" w:rsidR="0026273A" w:rsidRDefault="0026273A" w:rsidP="006E1A48">
            <w:pPr>
              <w:spacing w:line="260" w:lineRule="auto"/>
            </w:pPr>
            <w:r>
              <w:rPr>
                <w:rFonts w:ascii="Aptos" w:eastAsia="Aptos" w:hAnsi="Aptos" w:cs="Aptos"/>
                <w:color w:val="000000"/>
                <w:sz w:val="20"/>
                <w:szCs w:val="20"/>
              </w:rPr>
              <w:t>Importo medio commessa aggiudicata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D55BA1" w14:textId="77777777" w:rsidR="0026273A" w:rsidRDefault="0026273A" w:rsidP="006E1A48">
            <w:pPr>
              <w:spacing w:line="260" w:lineRule="auto"/>
              <w:jc w:val="right"/>
            </w:pPr>
            <w:r>
              <w:rPr>
                <w:rFonts w:ascii="Aptos" w:eastAsia="Aptos" w:hAnsi="Aptos" w:cs="Aptos"/>
                <w:color w:val="000000"/>
                <w:sz w:val="20"/>
                <w:szCs w:val="20"/>
              </w:rPr>
              <w:t>€ 25.000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292859" w14:textId="77777777" w:rsidR="0026273A" w:rsidRDefault="0026273A" w:rsidP="006E1A48">
            <w:pPr>
              <w:spacing w:line="260" w:lineRule="auto"/>
              <w:jc w:val="right"/>
            </w:pPr>
            <w:r>
              <w:rPr>
                <w:rFonts w:ascii="Aptos" w:eastAsia="Aptos" w:hAnsi="Aptos" w:cs="Aptos"/>
                <w:color w:val="000000"/>
                <w:sz w:val="20"/>
                <w:szCs w:val="20"/>
              </w:rPr>
              <w:t>€ 30.000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FDB7B8" w14:textId="77777777" w:rsidR="0026273A" w:rsidRDefault="0026273A" w:rsidP="006E1A48">
            <w:pPr>
              <w:spacing w:line="260" w:lineRule="auto"/>
              <w:jc w:val="right"/>
            </w:pPr>
            <w:r>
              <w:rPr>
                <w:rFonts w:ascii="Aptos" w:eastAsia="Aptos" w:hAnsi="Aptos" w:cs="Aptos"/>
                <w:color w:val="000000"/>
                <w:sz w:val="20"/>
                <w:szCs w:val="20"/>
              </w:rPr>
              <w:t>€ 35.000</w:t>
            </w:r>
          </w:p>
        </w:tc>
      </w:tr>
      <w:tr w:rsidR="0026273A" w14:paraId="659D439D"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02815" w14:textId="77777777" w:rsidR="0026273A" w:rsidRDefault="0026273A" w:rsidP="006E1A48">
            <w:pPr>
              <w:spacing w:line="260" w:lineRule="auto"/>
            </w:pPr>
            <w:r>
              <w:rPr>
                <w:rFonts w:ascii="Aptos" w:eastAsia="Aptos" w:hAnsi="Aptos" w:cs="Aptos"/>
                <w:color w:val="000000"/>
                <w:sz w:val="20"/>
                <w:szCs w:val="20"/>
              </w:rPr>
              <w:t>Margine medio ponderato sul fatturato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7E533F" w14:textId="77777777" w:rsidR="0026273A" w:rsidRDefault="0026273A" w:rsidP="006E1A48">
            <w:pPr>
              <w:spacing w:line="260" w:lineRule="auto"/>
              <w:jc w:val="right"/>
            </w:pPr>
            <w:r>
              <w:rPr>
                <w:rFonts w:ascii="Aptos" w:eastAsia="Aptos" w:hAnsi="Aptos" w:cs="Aptos"/>
                <w:color w:val="000000"/>
                <w:sz w:val="20"/>
                <w:szCs w:val="20"/>
              </w:rPr>
              <w:t>18%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4C5268" w14:textId="77777777" w:rsidR="0026273A" w:rsidRDefault="0026273A" w:rsidP="006E1A48">
            <w:pPr>
              <w:spacing w:line="260" w:lineRule="auto"/>
              <w:jc w:val="right"/>
            </w:pPr>
            <w:r>
              <w:rPr>
                <w:rFonts w:ascii="Aptos" w:eastAsia="Aptos" w:hAnsi="Aptos" w:cs="Aptos"/>
                <w:color w:val="000000"/>
                <w:sz w:val="20"/>
                <w:szCs w:val="20"/>
              </w:rPr>
              <w:t>21%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2344C" w14:textId="77777777" w:rsidR="0026273A" w:rsidRDefault="0026273A" w:rsidP="006E1A48">
            <w:pPr>
              <w:spacing w:line="260" w:lineRule="auto"/>
              <w:jc w:val="right"/>
            </w:pPr>
            <w:r>
              <w:rPr>
                <w:rFonts w:ascii="Aptos" w:eastAsia="Aptos" w:hAnsi="Aptos" w:cs="Aptos"/>
                <w:color w:val="000000"/>
                <w:sz w:val="20"/>
                <w:szCs w:val="20"/>
              </w:rPr>
              <w:t>23%</w:t>
            </w:r>
          </w:p>
        </w:tc>
      </w:tr>
    </w:tbl>
    <w:p w14:paraId="5D37CF8D" w14:textId="77777777" w:rsidR="0026273A" w:rsidRDefault="0026273A" w:rsidP="0026273A">
      <w:pPr>
        <w:spacing w:after="100"/>
      </w:pPr>
    </w:p>
    <w:p w14:paraId="4122352E" w14:textId="77777777" w:rsidR="0026273A" w:rsidRDefault="0026273A" w:rsidP="0026273A">
      <w:pPr>
        <w:spacing w:before="200" w:after="120"/>
      </w:pPr>
      <w:r>
        <w:rPr>
          <w:rFonts w:ascii="Aptos" w:eastAsia="Aptos" w:hAnsi="Aptos" w:cs="Aptos"/>
          <w:b/>
          <w:bCs/>
          <w:color w:val="1F3864"/>
          <w:sz w:val="22"/>
          <w:szCs w:val="22"/>
        </w:rPr>
        <w:lastRenderedPageBreak/>
        <w:t>Note metodologiche sui parametri</w:t>
      </w:r>
    </w:p>
    <w:p w14:paraId="585F0132" w14:textId="77777777" w:rsidR="0026273A" w:rsidRDefault="0026273A" w:rsidP="0026273A">
      <w:pPr>
        <w:spacing w:after="120" w:line="300" w:lineRule="auto"/>
        <w:jc w:val="both"/>
      </w:pPr>
      <w:r>
        <w:rPr>
          <w:rFonts w:ascii="Aptos" w:eastAsia="Aptos" w:hAnsi="Aptos" w:cs="Aptos"/>
          <w:b/>
          <w:bCs/>
          <w:color w:val="1F3864"/>
          <w:sz w:val="22"/>
          <w:szCs w:val="22"/>
        </w:rPr>
        <w:t xml:space="preserve">Volume di mercato. </w:t>
      </w:r>
      <w:r>
        <w:rPr>
          <w:rFonts w:ascii="Aptos" w:eastAsia="Aptos" w:hAnsi="Aptos" w:cs="Aptos"/>
          <w:sz w:val="22"/>
          <w:szCs w:val="22"/>
        </w:rPr>
        <w:t>Stima triangolata partendo dal peso delle 5 regioni target sul totale appalti italiani (circa 18-22%) e dall'incidenza della nicchia ponteggi/opere provvisionali sul totale lavori (stima 0,5-1,0%). Range coerente con i volumi tipici di settori di nicchia all'interno del mercato pubblico nazionale.</w:t>
      </w:r>
    </w:p>
    <w:p w14:paraId="4FBDD30C" w14:textId="77777777" w:rsidR="0026273A" w:rsidRDefault="0026273A" w:rsidP="0026273A">
      <w:pPr>
        <w:spacing w:after="120" w:line="300" w:lineRule="auto"/>
        <w:jc w:val="both"/>
      </w:pPr>
      <w:r>
        <w:rPr>
          <w:rFonts w:ascii="Aptos" w:eastAsia="Aptos" w:hAnsi="Aptos" w:cs="Aptos"/>
          <w:b/>
          <w:bCs/>
          <w:color w:val="1F3864"/>
          <w:sz w:val="22"/>
          <w:szCs w:val="22"/>
        </w:rPr>
        <w:t xml:space="preserve">Compatibilità post-filtro. </w:t>
      </w:r>
      <w:r>
        <w:rPr>
          <w:rFonts w:ascii="Aptos" w:eastAsia="Aptos" w:hAnsi="Aptos" w:cs="Aptos"/>
          <w:sz w:val="22"/>
          <w:szCs w:val="22"/>
        </w:rPr>
        <w:t>Riflette la promessa di valore dello strumento: il motore AI rimuove dal flusso il 35-45% dei bandi non pertinenti (per categoria, geografia, requisiti SOA non posseduti), restituendo solo opportunità effettivamente aggredibili.</w:t>
      </w:r>
    </w:p>
    <w:p w14:paraId="4056652D" w14:textId="6D7E547F" w:rsidR="0026273A" w:rsidRPr="001A1AB3" w:rsidRDefault="0026273A" w:rsidP="0026273A">
      <w:pPr>
        <w:spacing w:after="120" w:line="300" w:lineRule="auto"/>
        <w:jc w:val="both"/>
        <w:rPr>
          <w:rFonts w:ascii="Aptos" w:eastAsia="Aptos" w:hAnsi="Aptos" w:cs="Aptos"/>
          <w:b/>
          <w:bCs/>
          <w:color w:val="1F3864"/>
          <w:sz w:val="22"/>
          <w:szCs w:val="22"/>
        </w:rPr>
      </w:pPr>
      <w:r>
        <w:rPr>
          <w:rFonts w:ascii="Aptos" w:eastAsia="Aptos" w:hAnsi="Aptos" w:cs="Aptos"/>
          <w:b/>
          <w:bCs/>
          <w:color w:val="1F3864"/>
          <w:sz w:val="22"/>
          <w:szCs w:val="22"/>
        </w:rPr>
        <w:t>Partecipazioni effettive. Target operativo di 24 bandi/anno, corrispondenti a circa 2 partecipazioni al mese, considerato ragionevolmente sostenibile dalla struttura attuale Achipont con l'efficienza abilitata dallo strumento. Costituisce un vincolo operativo strutturale che agisce come tetto al numero di partecipazioni indipendentemente dal volume di gare intercettate dallo strumento. Si tratta del parametro singolo a maggiore impatto sul risultato del modello: la sezione 4.2 illustra come un eventuale futuro ampliamento di questa capacità si rifletterebbe sul ritorno generato.</w:t>
      </w:r>
    </w:p>
    <w:p w14:paraId="4D7445D0" w14:textId="77777777" w:rsidR="0026273A" w:rsidRDefault="0026273A" w:rsidP="0026273A">
      <w:pPr>
        <w:spacing w:after="120" w:line="300" w:lineRule="auto"/>
        <w:jc w:val="both"/>
      </w:pPr>
      <w:r>
        <w:rPr>
          <w:rFonts w:ascii="Aptos" w:eastAsia="Aptos" w:hAnsi="Aptos" w:cs="Aptos"/>
          <w:b/>
          <w:bCs/>
          <w:color w:val="1F3864"/>
          <w:sz w:val="22"/>
          <w:szCs w:val="22"/>
        </w:rPr>
        <w:t xml:space="preserve">Tasso di aggiudicazione. </w:t>
      </w:r>
      <w:r>
        <w:rPr>
          <w:rFonts w:ascii="Aptos" w:eastAsia="Aptos" w:hAnsi="Aptos" w:cs="Aptos"/>
          <w:sz w:val="22"/>
          <w:szCs w:val="22"/>
        </w:rPr>
        <w:t>Ancorato alla struttura procedurale prevista dal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per procedure negoziate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sono invitati 5 operatori (tasso teorico 20%), mentre per le procedure aperte la concorrenza è più ampia (tasso tipico 5-15%). Il range scelto è prudenziale rispetto al teorico massimo.</w:t>
      </w:r>
    </w:p>
    <w:p w14:paraId="00A72DEF" w14:textId="77777777" w:rsidR="0026273A" w:rsidRDefault="0026273A" w:rsidP="0026273A">
      <w:pPr>
        <w:spacing w:after="120" w:line="300" w:lineRule="auto"/>
        <w:jc w:val="both"/>
      </w:pPr>
      <w:r>
        <w:rPr>
          <w:rFonts w:ascii="Aptos" w:eastAsia="Aptos" w:hAnsi="Aptos" w:cs="Aptos"/>
          <w:b/>
          <w:bCs/>
          <w:color w:val="1F3864"/>
          <w:sz w:val="22"/>
          <w:szCs w:val="22"/>
        </w:rPr>
        <w:t>Importo medio commessa. €30.000 nello scenario base, stima di ordine di grandezza coerente con il segmento di mercato Achipont (ponteggi, noleggio, opere provvisionali), con un range di ±€5.000 negli scenari laterali per coprire la naturale variabilità delle commesse pubbliche del segmento. L'importo medio commessa rappresenta il valore netto effettivamente fatturato per ogni aggiudicazione, dopo applicazione del ribasso d'asta; può quindi collocarsi al di sotto della soglia di pubblicazione BDNCP di €40.000 nei bandi vicini al limite o con offerte particolarmente competitive (ribassi 20-50% sono comuni nelle gare di noleggio ponteggi e opere provvisionali).</w:t>
      </w:r>
    </w:p>
    <w:p w14:paraId="2899D67C" w14:textId="77777777" w:rsidR="0026273A" w:rsidRDefault="0026273A" w:rsidP="0026273A">
      <w:pPr>
        <w:spacing w:after="120" w:line="300" w:lineRule="auto"/>
        <w:jc w:val="both"/>
      </w:pPr>
      <w:r>
        <w:rPr>
          <w:rFonts w:ascii="Aptos" w:eastAsia="Aptos" w:hAnsi="Aptos" w:cs="Aptos"/>
          <w:b/>
          <w:bCs/>
          <w:color w:val="1F3864"/>
          <w:sz w:val="22"/>
          <w:szCs w:val="22"/>
        </w:rPr>
        <w:t xml:space="preserve">Margine medio ponderato. </w:t>
      </w:r>
      <w:r>
        <w:rPr>
          <w:rFonts w:ascii="Aptos" w:eastAsia="Aptos" w:hAnsi="Aptos" w:cs="Aptos"/>
          <w:sz w:val="22"/>
          <w:szCs w:val="22"/>
        </w:rPr>
        <w:t>Calcolato come media ponderata sui margini per categoria dichiarati dal cliente nella sezione 5.1 del questionario: 20-30% per ponteggi standard, 20% per pronti interventi, 10-20% per opere monumentali, 20-30% per monoblocchi. Il valore base 21% riflette un mix prudente con prevalenza di ponteggi standard.</w:t>
      </w:r>
    </w:p>
    <w:p w14:paraId="30C6106A" w14:textId="77777777" w:rsidR="0026273A" w:rsidRDefault="0026273A" w:rsidP="0026273A">
      <w:pPr>
        <w:pStyle w:val="Titolo2"/>
      </w:pPr>
      <w:proofErr w:type="gramStart"/>
      <w:r>
        <w:rPr>
          <w:rFonts w:ascii="Aptos" w:eastAsia="Aptos" w:hAnsi="Aptos" w:cs="Aptos"/>
          <w:b/>
          <w:bCs/>
          <w:color w:val="1F3864"/>
          <w:sz w:val="26"/>
          <w:szCs w:val="26"/>
        </w:rPr>
        <w:t>3.3  Calcolo</w:t>
      </w:r>
      <w:proofErr w:type="gramEnd"/>
      <w:r>
        <w:rPr>
          <w:rFonts w:ascii="Aptos" w:eastAsia="Aptos" w:hAnsi="Aptos" w:cs="Aptos"/>
          <w:b/>
          <w:bCs/>
          <w:color w:val="1F3864"/>
          <w:sz w:val="26"/>
          <w:szCs w:val="26"/>
        </w:rPr>
        <w:t xml:space="preserve"> a imbuto e risultati per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6BDD3EDE" w14:textId="77777777" w:rsidTr="006E1A48">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9708EC8"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E226FCD"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A27E53C"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7921FDD"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245042F4"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C1C5D5" w14:textId="77777777" w:rsidR="0026273A" w:rsidRDefault="0026273A" w:rsidP="006E1A48">
            <w:pPr>
              <w:spacing w:line="260" w:lineRule="auto"/>
            </w:pPr>
            <w:r>
              <w:rPr>
                <w:rFonts w:ascii="Aptos" w:eastAsia="Aptos" w:hAnsi="Aptos" w:cs="Aptos"/>
                <w:color w:val="000000"/>
                <w:sz w:val="20"/>
                <w:szCs w:val="20"/>
              </w:rPr>
              <w:t>Bandi visti (mercato target)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CF4789"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F80D5E"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258445"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3C874D45"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255618" w14:textId="77777777" w:rsidR="0026273A" w:rsidRDefault="0026273A" w:rsidP="006E1A48">
            <w:pPr>
              <w:spacing w:line="260" w:lineRule="auto"/>
            </w:pPr>
            <w:r>
              <w:rPr>
                <w:rFonts w:ascii="Aptos" w:eastAsia="Aptos" w:hAnsi="Aptos" w:cs="Aptos"/>
                <w:color w:val="000000"/>
                <w:sz w:val="20"/>
                <w:szCs w:val="20"/>
              </w:rPr>
              <w:t>Bandi compatibili (post-filtro)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64AD2F" w14:textId="77777777" w:rsidR="0026273A" w:rsidRDefault="0026273A" w:rsidP="006E1A48">
            <w:pPr>
              <w:spacing w:line="260" w:lineRule="auto"/>
              <w:jc w:val="right"/>
            </w:pPr>
            <w:r>
              <w:rPr>
                <w:rFonts w:ascii="Aptos" w:eastAsia="Aptos" w:hAnsi="Aptos" w:cs="Aptos"/>
                <w:color w:val="000000"/>
                <w:sz w:val="20"/>
                <w:szCs w:val="20"/>
              </w:rPr>
              <w:t>138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54D571" w14:textId="77777777" w:rsidR="0026273A" w:rsidRDefault="0026273A" w:rsidP="006E1A48">
            <w:pPr>
              <w:spacing w:line="260" w:lineRule="auto"/>
              <w:jc w:val="right"/>
            </w:pPr>
            <w:r>
              <w:rPr>
                <w:rFonts w:ascii="Aptos" w:eastAsia="Aptos" w:hAnsi="Aptos" w:cs="Aptos"/>
                <w:color w:val="000000"/>
                <w:sz w:val="20"/>
                <w:szCs w:val="20"/>
              </w:rPr>
              <w:t>195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8D2312" w14:textId="77777777" w:rsidR="0026273A" w:rsidRDefault="0026273A" w:rsidP="006E1A48">
            <w:pPr>
              <w:spacing w:line="260" w:lineRule="auto"/>
              <w:jc w:val="right"/>
            </w:pPr>
            <w:r>
              <w:rPr>
                <w:rFonts w:ascii="Aptos" w:eastAsia="Aptos" w:hAnsi="Aptos" w:cs="Aptos"/>
                <w:color w:val="000000"/>
                <w:sz w:val="20"/>
                <w:szCs w:val="20"/>
              </w:rPr>
              <w:t>260</w:t>
            </w:r>
          </w:p>
        </w:tc>
      </w:tr>
      <w:tr w:rsidR="0026273A" w14:paraId="7DB91187"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AC20D7" w14:textId="77777777" w:rsidR="0026273A" w:rsidRDefault="0026273A" w:rsidP="006E1A48">
            <w:pPr>
              <w:spacing w:line="260" w:lineRule="auto"/>
            </w:pPr>
            <w:r>
              <w:rPr>
                <w:rFonts w:ascii="Aptos" w:eastAsia="Aptos" w:hAnsi="Aptos" w:cs="Aptos"/>
                <w:color w:val="000000"/>
                <w:sz w:val="20"/>
                <w:szCs w:val="20"/>
              </w:rPr>
              <w:lastRenderedPageBreak/>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cap</w:t>
            </w:r>
            <w:proofErr w:type="spellEnd"/>
            <w:r>
              <w:rPr>
                <w:rFonts w:ascii="Aptos" w:eastAsia="Aptos" w:hAnsi="Aptos" w:cs="Aptos"/>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74AA9A"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C1AF42"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6D6499"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6C8B2856"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E260FA" w14:textId="77777777" w:rsidR="0026273A" w:rsidRDefault="0026273A" w:rsidP="006E1A48">
            <w:pPr>
              <w:spacing w:line="260" w:lineRule="auto"/>
            </w:pPr>
            <w:r>
              <w:rPr>
                <w:rFonts w:ascii="Aptos" w:eastAsia="Aptos" w:hAnsi="Aptos" w:cs="Aptos"/>
                <w:color w:val="000000"/>
                <w:sz w:val="20"/>
                <w:szCs w:val="20"/>
              </w:rPr>
              <w:t>Aggiudicazioni stimate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AF371A" w14:textId="77777777" w:rsidR="0026273A" w:rsidRDefault="0026273A" w:rsidP="006E1A48">
            <w:pPr>
              <w:spacing w:line="260" w:lineRule="auto"/>
              <w:jc w:val="right"/>
            </w:pPr>
            <w:r>
              <w:rPr>
                <w:rFonts w:ascii="Aptos" w:eastAsia="Aptos" w:hAnsi="Aptos" w:cs="Aptos"/>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E1C9F1" w14:textId="77777777" w:rsidR="0026273A" w:rsidRDefault="0026273A" w:rsidP="006E1A48">
            <w:pPr>
              <w:spacing w:line="260" w:lineRule="auto"/>
              <w:jc w:val="right"/>
            </w:pPr>
            <w:r>
              <w:rPr>
                <w:rFonts w:ascii="Aptos" w:eastAsia="Aptos" w:hAnsi="Aptos" w:cs="Aptos"/>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0D192A" w14:textId="77777777" w:rsidR="0026273A" w:rsidRDefault="0026273A" w:rsidP="006E1A48">
            <w:pPr>
              <w:spacing w:line="260" w:lineRule="auto"/>
              <w:jc w:val="right"/>
            </w:pPr>
            <w:r>
              <w:rPr>
                <w:rFonts w:ascii="Aptos" w:eastAsia="Aptos" w:hAnsi="Aptos" w:cs="Aptos"/>
                <w:color w:val="000000"/>
                <w:sz w:val="20"/>
                <w:szCs w:val="20"/>
              </w:rPr>
              <w:t>4</w:t>
            </w:r>
          </w:p>
        </w:tc>
      </w:tr>
      <w:tr w:rsidR="0026273A" w14:paraId="6B897986"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976168" w14:textId="77777777" w:rsidR="0026273A" w:rsidRDefault="0026273A" w:rsidP="006E1A48">
            <w:pPr>
              <w:spacing w:line="260" w:lineRule="auto"/>
            </w:pPr>
            <w:r>
              <w:rPr>
                <w:rFonts w:ascii="Aptos" w:eastAsia="Aptos" w:hAnsi="Aptos" w:cs="Aptos"/>
                <w:color w:val="000000"/>
                <w:sz w:val="20"/>
                <w:szCs w:val="20"/>
              </w:rPr>
              <w:t>Fatturato incrementale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80977E" w14:textId="77777777" w:rsidR="0026273A" w:rsidRDefault="0026273A" w:rsidP="006E1A48">
            <w:pPr>
              <w:spacing w:line="260" w:lineRule="auto"/>
              <w:jc w:val="right"/>
            </w:pPr>
            <w:r>
              <w:rPr>
                <w:rFonts w:ascii="Aptos" w:eastAsia="Aptos" w:hAnsi="Aptos" w:cs="Aptos"/>
                <w:color w:val="000000"/>
                <w:sz w:val="20"/>
                <w:szCs w:val="20"/>
              </w:rPr>
              <w:t>€ 75.000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4085E7" w14:textId="77777777" w:rsidR="0026273A" w:rsidRDefault="0026273A" w:rsidP="006E1A48">
            <w:pPr>
              <w:spacing w:line="260" w:lineRule="auto"/>
              <w:jc w:val="right"/>
            </w:pPr>
            <w:r>
              <w:rPr>
                <w:rFonts w:ascii="Aptos" w:eastAsia="Aptos" w:hAnsi="Aptos" w:cs="Aptos"/>
                <w:color w:val="000000"/>
                <w:sz w:val="20"/>
                <w:szCs w:val="20"/>
              </w:rPr>
              <w:t>€ 120.000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5DD38C" w14:textId="77777777" w:rsidR="0026273A" w:rsidRDefault="0026273A" w:rsidP="006E1A48">
            <w:pPr>
              <w:spacing w:line="260" w:lineRule="auto"/>
              <w:jc w:val="right"/>
            </w:pPr>
            <w:r>
              <w:rPr>
                <w:rFonts w:ascii="Aptos" w:eastAsia="Aptos" w:hAnsi="Aptos" w:cs="Aptos"/>
                <w:color w:val="000000"/>
                <w:sz w:val="20"/>
                <w:szCs w:val="20"/>
              </w:rPr>
              <w:t>€ 140.000</w:t>
            </w:r>
          </w:p>
        </w:tc>
      </w:tr>
      <w:tr w:rsidR="0026273A" w14:paraId="38DBA9A3"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7F774"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ACD4AA"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674816"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455507" w14:textId="77777777" w:rsidR="0026273A" w:rsidRDefault="0026273A" w:rsidP="006E1A48">
            <w:pPr>
              <w:spacing w:line="260" w:lineRule="auto"/>
              <w:jc w:val="right"/>
            </w:pPr>
            <w:r>
              <w:rPr>
                <w:rFonts w:ascii="Aptos" w:eastAsia="Aptos" w:hAnsi="Aptos" w:cs="Aptos"/>
                <w:color w:val="000000"/>
                <w:sz w:val="20"/>
                <w:szCs w:val="20"/>
              </w:rPr>
              <w:t>€ 32.200</w:t>
            </w:r>
          </w:p>
        </w:tc>
      </w:tr>
    </w:tbl>
    <w:p w14:paraId="5E079F9E" w14:textId="77777777" w:rsidR="0026273A" w:rsidRDefault="0026273A" w:rsidP="0026273A">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7A1CC84F" w14:textId="77777777" w:rsidTr="006E1A48">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6583533A" w14:textId="77777777" w:rsidR="0026273A" w:rsidRDefault="0026273A" w:rsidP="006E1A48">
            <w:pPr>
              <w:spacing w:line="300" w:lineRule="auto"/>
            </w:pPr>
            <w:r>
              <w:rPr>
                <w:rFonts w:ascii="Aptos" w:eastAsia="Aptos" w:hAnsi="Aptos" w:cs="Aptos"/>
                <w:b/>
                <w:bCs/>
                <w:color w:val="074F6A"/>
                <w:sz w:val="22"/>
                <w:szCs w:val="22"/>
              </w:rPr>
              <w:t>Margine incrementale annuo (range): € 13.500 — € 32.200</w:t>
            </w:r>
            <w:r>
              <w:rPr>
                <w:rFonts w:ascii="Aptos" w:eastAsia="Aptos" w:hAnsi="Aptos" w:cs="Aptos"/>
                <w:b/>
                <w:bCs/>
                <w:color w:val="074F6A"/>
                <w:sz w:val="22"/>
                <w:szCs w:val="22"/>
              </w:rPr>
              <w:br/>
              <w:t>Scenario base di riferimento: € 25.200.</w:t>
            </w:r>
          </w:p>
        </w:tc>
      </w:tr>
    </w:tbl>
    <w:p w14:paraId="3D3D82A6" w14:textId="77777777" w:rsidR="0026273A" w:rsidRDefault="0026273A" w:rsidP="0026273A">
      <w:pPr>
        <w:spacing w:after="100"/>
      </w:pPr>
    </w:p>
    <w:p w14:paraId="7BC9EF32" w14:textId="77777777" w:rsidR="0026273A" w:rsidRDefault="0026273A" w:rsidP="0026273A">
      <w:pPr>
        <w:pStyle w:val="Titolo1"/>
      </w:pPr>
      <w:r>
        <w:rPr>
          <w:rFonts w:ascii="Aptos" w:eastAsia="Aptos" w:hAnsi="Aptos" w:cs="Aptos"/>
          <w:b/>
          <w:bCs/>
          <w:color w:val="074F6A"/>
          <w:sz w:val="32"/>
          <w:szCs w:val="32"/>
        </w:rPr>
        <w:t>4. Sintesi ROI e Rientro</w:t>
      </w:r>
    </w:p>
    <w:p w14:paraId="0CEA49A7" w14:textId="77777777" w:rsidR="0026273A" w:rsidRDefault="0026273A" w:rsidP="0026273A">
      <w:pPr>
        <w:spacing w:after="120" w:line="300" w:lineRule="auto"/>
        <w:jc w:val="both"/>
      </w:pPr>
      <w:r>
        <w:rPr>
          <w:rFonts w:ascii="Aptos" w:eastAsia="Aptos" w:hAnsi="Aptos" w:cs="Aptos"/>
          <w:sz w:val="22"/>
          <w:szCs w:val="22"/>
        </w:rPr>
        <w:t>Aggregando le due componenti di valore e ponendole a confronto con l'investimento iniziale di €50.000 una tantum (proposta tecnico-economica HeyAI), si ottengono i seguenti indicatori sintetici. Il calcolo è effettuato su un orizzonte triennale e non include i costi ricorrenti per hosting cloud, servizi LLM e manutenzione, dimensionati nella proposta tecnico-economica in un range indicativo di €250–€400/mese (€3.000–€4.800/anno). L'integrazione di questi costi nel modello riduce il beneficio annuo netto in misura contenuta e non altera la conclusione qualitativa del business case: il rientro resta sostenibile entro l'orizzonte testato in tutti gli scenari.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70C965A9" w14:textId="77777777" w:rsidTr="006E1A48">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3184225"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4AE3AF1"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B17FD8D"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266E76E"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4855A639"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4E0A97" w14:textId="77777777" w:rsidR="0026273A" w:rsidRDefault="0026273A" w:rsidP="006E1A48">
            <w:pPr>
              <w:spacing w:line="260" w:lineRule="auto"/>
            </w:pPr>
            <w:r>
              <w:rPr>
                <w:rFonts w:ascii="Aptos" w:eastAsia="Aptos" w:hAnsi="Aptos" w:cs="Aptos"/>
                <w:color w:val="000000"/>
                <w:sz w:val="20"/>
                <w:szCs w:val="20"/>
              </w:rPr>
              <w:t>Componente A — Costo evitato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F928FC"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A61534"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83493" w14:textId="77777777" w:rsidR="0026273A" w:rsidRDefault="0026273A" w:rsidP="006E1A48">
            <w:pPr>
              <w:spacing w:line="260" w:lineRule="auto"/>
              <w:jc w:val="right"/>
            </w:pPr>
            <w:r>
              <w:rPr>
                <w:rFonts w:ascii="Aptos" w:eastAsia="Aptos" w:hAnsi="Aptos" w:cs="Aptos"/>
                <w:color w:val="000000"/>
                <w:sz w:val="20"/>
                <w:szCs w:val="20"/>
              </w:rPr>
              <w:t>€ 23.000</w:t>
            </w:r>
          </w:p>
        </w:tc>
      </w:tr>
      <w:tr w:rsidR="0026273A" w14:paraId="0A60E424"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D6A2BD" w14:textId="77777777" w:rsidR="0026273A" w:rsidRDefault="0026273A" w:rsidP="006E1A48">
            <w:pPr>
              <w:spacing w:line="260" w:lineRule="auto"/>
            </w:pPr>
            <w:r>
              <w:rPr>
                <w:rFonts w:ascii="Aptos" w:eastAsia="Aptos" w:hAnsi="Aptos" w:cs="Aptos"/>
                <w:color w:val="000000"/>
                <w:sz w:val="20"/>
                <w:szCs w:val="20"/>
              </w:rPr>
              <w:t>Componente B — Margine incrementale annuo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2DF1D1"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2D1DD"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59FD8E" w14:textId="77777777" w:rsidR="0026273A" w:rsidRDefault="0026273A" w:rsidP="006E1A48">
            <w:pPr>
              <w:spacing w:line="260" w:lineRule="auto"/>
              <w:jc w:val="right"/>
            </w:pPr>
            <w:r>
              <w:rPr>
                <w:rFonts w:ascii="Aptos" w:eastAsia="Aptos" w:hAnsi="Aptos" w:cs="Aptos"/>
                <w:color w:val="000000"/>
                <w:sz w:val="20"/>
                <w:szCs w:val="20"/>
              </w:rPr>
              <w:t>€ 32.200</w:t>
            </w:r>
          </w:p>
        </w:tc>
      </w:tr>
      <w:tr w:rsidR="0026273A" w14:paraId="7BD11AB8"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1CEB5B" w14:textId="77777777" w:rsidR="0026273A" w:rsidRDefault="0026273A" w:rsidP="006E1A48">
            <w:pPr>
              <w:spacing w:line="260" w:lineRule="auto"/>
            </w:pPr>
            <w:r>
              <w:rPr>
                <w:rFonts w:ascii="Aptos" w:eastAsia="Aptos" w:hAnsi="Aptos" w:cs="Aptos"/>
                <w:color w:val="000000"/>
                <w:sz w:val="20"/>
                <w:szCs w:val="20"/>
              </w:rPr>
              <w:t>Beneficio totale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7DD753" w14:textId="77777777" w:rsidR="0026273A" w:rsidRDefault="0026273A" w:rsidP="006E1A48">
            <w:pPr>
              <w:spacing w:line="260" w:lineRule="auto"/>
              <w:jc w:val="right"/>
            </w:pPr>
            <w:r>
              <w:rPr>
                <w:rFonts w:ascii="Aptos" w:eastAsia="Aptos" w:hAnsi="Aptos" w:cs="Aptos"/>
                <w:color w:val="000000"/>
                <w:sz w:val="20"/>
                <w:szCs w:val="20"/>
              </w:rPr>
              <w:t>€ 36.500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BA801D" w14:textId="77777777" w:rsidR="0026273A" w:rsidRDefault="0026273A" w:rsidP="006E1A48">
            <w:pPr>
              <w:spacing w:line="260" w:lineRule="auto"/>
              <w:jc w:val="right"/>
            </w:pPr>
            <w:r>
              <w:rPr>
                <w:rFonts w:ascii="Aptos" w:eastAsia="Aptos" w:hAnsi="Aptos" w:cs="Aptos"/>
                <w:color w:val="000000"/>
                <w:sz w:val="20"/>
                <w:szCs w:val="20"/>
              </w:rPr>
              <w:t>€ 48.200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1C722" w14:textId="77777777" w:rsidR="0026273A" w:rsidRDefault="0026273A" w:rsidP="006E1A48">
            <w:pPr>
              <w:spacing w:line="260" w:lineRule="auto"/>
              <w:jc w:val="right"/>
            </w:pPr>
            <w:r>
              <w:rPr>
                <w:rFonts w:ascii="Aptos" w:eastAsia="Aptos" w:hAnsi="Aptos" w:cs="Aptos"/>
                <w:color w:val="000000"/>
                <w:sz w:val="20"/>
                <w:szCs w:val="20"/>
              </w:rPr>
              <w:t>€ 55.200</w:t>
            </w:r>
          </w:p>
        </w:tc>
      </w:tr>
      <w:tr w:rsidR="0026273A" w14:paraId="178F5E68"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FB0DF7" w14:textId="77777777" w:rsidR="0026273A" w:rsidRDefault="0026273A" w:rsidP="006E1A48">
            <w:pPr>
              <w:spacing w:line="260" w:lineRule="auto"/>
            </w:pPr>
            <w:r>
              <w:rPr>
                <w:rFonts w:ascii="Aptos" w:eastAsia="Aptos" w:hAnsi="Aptos" w:cs="Aptos"/>
                <w:color w:val="000000"/>
                <w:sz w:val="20"/>
                <w:szCs w:val="20"/>
              </w:rPr>
              <w:t xml:space="preserve">Beneficio cumulato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537FA3" w14:textId="77777777" w:rsidR="0026273A" w:rsidRDefault="0026273A" w:rsidP="006E1A48">
            <w:pPr>
              <w:spacing w:line="260" w:lineRule="auto"/>
              <w:jc w:val="right"/>
            </w:pPr>
            <w:r>
              <w:rPr>
                <w:rFonts w:ascii="Aptos" w:eastAsia="Aptos" w:hAnsi="Aptos" w:cs="Aptos"/>
                <w:color w:val="000000"/>
                <w:sz w:val="20"/>
                <w:szCs w:val="20"/>
              </w:rPr>
              <w:t>€ 109.500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54984A" w14:textId="77777777" w:rsidR="0026273A" w:rsidRDefault="0026273A" w:rsidP="006E1A48">
            <w:pPr>
              <w:spacing w:line="260" w:lineRule="auto"/>
              <w:jc w:val="right"/>
            </w:pPr>
            <w:r>
              <w:rPr>
                <w:rFonts w:ascii="Aptos" w:eastAsia="Aptos" w:hAnsi="Aptos" w:cs="Aptos"/>
                <w:color w:val="000000"/>
                <w:sz w:val="20"/>
                <w:szCs w:val="20"/>
              </w:rPr>
              <w:t>€ 144.600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62FCF6" w14:textId="77777777" w:rsidR="0026273A" w:rsidRDefault="0026273A" w:rsidP="006E1A48">
            <w:pPr>
              <w:spacing w:line="260" w:lineRule="auto"/>
              <w:jc w:val="right"/>
            </w:pPr>
            <w:r>
              <w:rPr>
                <w:rFonts w:ascii="Aptos" w:eastAsia="Aptos" w:hAnsi="Aptos" w:cs="Aptos"/>
                <w:color w:val="000000"/>
                <w:sz w:val="20"/>
                <w:szCs w:val="20"/>
              </w:rPr>
              <w:t>€ 165.600</w:t>
            </w:r>
          </w:p>
        </w:tc>
      </w:tr>
      <w:tr w:rsidR="0026273A" w14:paraId="2E5EF81C"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258AFA" w14:textId="77777777" w:rsidR="0026273A" w:rsidRDefault="0026273A" w:rsidP="006E1A48">
            <w:pPr>
              <w:spacing w:line="260" w:lineRule="auto"/>
            </w:pPr>
            <w:r>
              <w:rPr>
                <w:rFonts w:ascii="Aptos" w:eastAsia="Aptos" w:hAnsi="Aptos" w:cs="Aptos"/>
                <w:color w:val="000000"/>
                <w:sz w:val="20"/>
                <w:szCs w:val="20"/>
              </w:rPr>
              <w:t>Investimento iniziale (una tantum)</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5198CD"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5FAD3D"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85E2E9" w14:textId="77777777" w:rsidR="0026273A" w:rsidRDefault="0026273A" w:rsidP="006E1A48">
            <w:pPr>
              <w:spacing w:line="260" w:lineRule="auto"/>
              <w:jc w:val="right"/>
            </w:pPr>
            <w:r>
              <w:rPr>
                <w:rFonts w:ascii="Aptos" w:eastAsia="Aptos" w:hAnsi="Aptos" w:cs="Aptos"/>
                <w:color w:val="000000"/>
                <w:sz w:val="20"/>
                <w:szCs w:val="20"/>
              </w:rPr>
              <w:t>€ 50.000</w:t>
            </w:r>
          </w:p>
        </w:tc>
      </w:tr>
      <w:tr w:rsidR="0026273A" w14:paraId="63785FE1"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61207E" w14:textId="77777777" w:rsidR="0026273A" w:rsidRDefault="0026273A" w:rsidP="006E1A48">
            <w:pPr>
              <w:spacing w:line="260" w:lineRule="auto"/>
            </w:pPr>
            <w:r>
              <w:rPr>
                <w:rFonts w:ascii="Aptos" w:eastAsia="Aptos" w:hAnsi="Aptos" w:cs="Aptos"/>
                <w:color w:val="000000"/>
                <w:sz w:val="20"/>
                <w:szCs w:val="20"/>
              </w:rPr>
              <w:lastRenderedPageBreak/>
              <w:t>Tempo di rientro stimato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283ED8" w14:textId="77777777" w:rsidR="0026273A" w:rsidRDefault="0026273A" w:rsidP="006E1A48">
            <w:pPr>
              <w:spacing w:line="260" w:lineRule="auto"/>
              <w:jc w:val="center"/>
            </w:pPr>
            <w:r>
              <w:rPr>
                <w:rFonts w:ascii="Aptos" w:eastAsia="Aptos" w:hAnsi="Aptos" w:cs="Aptos"/>
                <w:color w:val="000000"/>
                <w:sz w:val="20"/>
                <w:szCs w:val="20"/>
              </w:rPr>
              <w:t>~ 16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FF995E"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AB8E21" w14:textId="77777777" w:rsidR="0026273A" w:rsidRDefault="0026273A" w:rsidP="006E1A48">
            <w:pPr>
              <w:spacing w:line="260" w:lineRule="auto"/>
              <w:jc w:val="center"/>
            </w:pPr>
            <w:r>
              <w:rPr>
                <w:rFonts w:ascii="Aptos" w:eastAsia="Aptos" w:hAnsi="Aptos" w:cs="Aptos"/>
                <w:color w:val="000000"/>
                <w:sz w:val="20"/>
                <w:szCs w:val="20"/>
              </w:rPr>
              <w:t>~ 11 mesi</w:t>
            </w:r>
          </w:p>
        </w:tc>
      </w:tr>
      <w:tr w:rsidR="0026273A" w14:paraId="535B6AB4" w14:textId="77777777" w:rsidTr="006E1A48">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03170D" w14:textId="77777777" w:rsidR="0026273A" w:rsidRDefault="0026273A" w:rsidP="006E1A48">
            <w:pPr>
              <w:spacing w:line="260" w:lineRule="auto"/>
            </w:pPr>
            <w:r>
              <w:rPr>
                <w:rFonts w:ascii="Aptos" w:eastAsia="Aptos" w:hAnsi="Aptos" w:cs="Aptos"/>
                <w:color w:val="000000"/>
                <w:sz w:val="20"/>
                <w:szCs w:val="20"/>
              </w:rPr>
              <w:t xml:space="preserve">ROI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981F2C" w14:textId="77777777" w:rsidR="0026273A" w:rsidRDefault="0026273A" w:rsidP="006E1A48">
            <w:pPr>
              <w:spacing w:line="260" w:lineRule="auto"/>
              <w:jc w:val="right"/>
            </w:pPr>
            <w:r>
              <w:rPr>
                <w:rFonts w:ascii="Aptos" w:eastAsia="Aptos" w:hAnsi="Aptos" w:cs="Aptos"/>
                <w:color w:val="000000"/>
                <w:sz w:val="20"/>
                <w:szCs w:val="20"/>
              </w:rPr>
              <w:t>119%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F09F79" w14:textId="77777777" w:rsidR="0026273A" w:rsidRDefault="0026273A" w:rsidP="006E1A48">
            <w:pPr>
              <w:spacing w:line="260" w:lineRule="auto"/>
              <w:jc w:val="right"/>
            </w:pPr>
            <w:r>
              <w:rPr>
                <w:rFonts w:ascii="Aptos" w:eastAsia="Aptos" w:hAnsi="Aptos" w:cs="Aptos"/>
                <w:color w:val="000000"/>
                <w:sz w:val="20"/>
                <w:szCs w:val="20"/>
              </w:rPr>
              <w:t>189%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22992F" w14:textId="77777777" w:rsidR="0026273A" w:rsidRDefault="0026273A" w:rsidP="006E1A48">
            <w:pPr>
              <w:spacing w:line="260" w:lineRule="auto"/>
              <w:jc w:val="right"/>
            </w:pPr>
            <w:r>
              <w:rPr>
                <w:rFonts w:ascii="Aptos" w:eastAsia="Aptos" w:hAnsi="Aptos" w:cs="Aptos"/>
                <w:color w:val="000000"/>
                <w:sz w:val="20"/>
                <w:szCs w:val="20"/>
              </w:rPr>
              <w:t>231%</w:t>
            </w:r>
          </w:p>
        </w:tc>
      </w:tr>
    </w:tbl>
    <w:p w14:paraId="751951EE" w14:textId="77777777" w:rsidR="0026273A" w:rsidRDefault="0026273A" w:rsidP="0026273A">
      <w:pPr>
        <w:spacing w:after="100"/>
      </w:pPr>
    </w:p>
    <w:p w14:paraId="67690FCB" w14:textId="77777777" w:rsidR="0026273A" w:rsidRDefault="0026273A" w:rsidP="0026273A">
      <w:pPr>
        <w:pStyle w:val="Titolo2"/>
      </w:pPr>
      <w:proofErr w:type="gramStart"/>
      <w:r>
        <w:rPr>
          <w:rFonts w:ascii="Aptos" w:eastAsia="Aptos" w:hAnsi="Aptos" w:cs="Aptos"/>
          <w:b/>
          <w:bCs/>
          <w:color w:val="1F3864"/>
          <w:sz w:val="26"/>
          <w:szCs w:val="26"/>
        </w:rPr>
        <w:t>4.1  Lettura</w:t>
      </w:r>
      <w:proofErr w:type="gramEnd"/>
      <w:r>
        <w:rPr>
          <w:rFonts w:ascii="Aptos" w:eastAsia="Aptos" w:hAnsi="Aptos" w:cs="Aptos"/>
          <w:b/>
          <w:bCs/>
          <w:color w:val="1F3864"/>
          <w:sz w:val="26"/>
          <w:szCs w:val="26"/>
        </w:rPr>
        <w:t xml:space="preserve"> del risultato</w:t>
      </w:r>
    </w:p>
    <w:p w14:paraId="448FD402" w14:textId="77777777" w:rsidR="0026273A" w:rsidRDefault="0026273A" w:rsidP="0026273A">
      <w:pPr>
        <w:spacing w:after="120" w:line="300" w:lineRule="auto"/>
        <w:jc w:val="both"/>
      </w:pPr>
      <w:r>
        <w:rPr>
          <w:rFonts w:ascii="Aptos" w:eastAsia="Aptos" w:hAnsi="Aptos" w:cs="Aptos"/>
          <w:sz w:val="22"/>
          <w:szCs w:val="22"/>
        </w:rPr>
        <w:t>I tre scenari restituiscono un quadro coerente e positivo. Lo scenario base, costruito su parametri operativi prudenziali ancorati al profilo Achipont, indica un rientro intorno ai dodici mesi e un beneficio cumulato a tre anni di oltre €144.000 — quasi triplo rispetto all'investimento iniziale. La componente di costo evitato da sola, indipendente dai risultati commerciali, ripaga l'investimento in circa 26 mesi anche in totale assenza di nuove aggiudicazioni.</w:t>
      </w:r>
    </w:p>
    <w:p w14:paraId="5CC534D4" w14:textId="77777777" w:rsidR="0026273A" w:rsidRDefault="0026273A" w:rsidP="0026273A">
      <w:pPr>
        <w:spacing w:after="120" w:line="300" w:lineRule="auto"/>
        <w:jc w:val="both"/>
      </w:pPr>
      <w:r>
        <w:rPr>
          <w:rFonts w:ascii="Aptos" w:eastAsia="Aptos" w:hAnsi="Aptos" w:cs="Aptos"/>
          <w:sz w:val="22"/>
          <w:szCs w:val="22"/>
        </w:rPr>
        <w:t>Lo scenario conservativo resta in rientro positivo entro il sedicesimo mese di operatività, anche con tasso di aggiudicazione del 12% (in linea con il teorico di una procedura aperta competitiva) e importo medio inferiore al valore base. Lo scenario ottimistico, raggiungibile in caso di particolare efficacia commerciale di Achipont sulle gare intercettate, porta il rientro a circa undici mesi.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57EDB0BE" w14:textId="77777777" w:rsidTr="006E1A48">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14889CA2" w14:textId="77777777" w:rsidR="0026273A" w:rsidRDefault="0026273A" w:rsidP="006E1A48">
            <w:pPr>
              <w:spacing w:line="300" w:lineRule="auto"/>
            </w:pPr>
            <w:r>
              <w:rPr>
                <w:rFonts w:ascii="Aptos" w:eastAsia="Aptos" w:hAnsi="Aptos" w:cs="Aptos"/>
                <w:b/>
                <w:bCs/>
                <w:color w:val="074F6A"/>
                <w:sz w:val="22"/>
                <w:szCs w:val="22"/>
              </w:rPr>
              <w:t>In tutti e tre gli scenari l'investimento è in rientro positivo entro il sedicesimo mese di operatività. Il differenziale tra scenari è determinato dalla performance commerciale di Achipont sulle gare intercettate e dall'importo medio delle commesse aggiudicate, a parità di volume di partecipazioni.</w:t>
            </w:r>
          </w:p>
        </w:tc>
      </w:tr>
    </w:tbl>
    <w:p w14:paraId="54A24436" w14:textId="77777777" w:rsidR="0026273A" w:rsidRDefault="0026273A" w:rsidP="0026273A">
      <w:pPr>
        <w:pStyle w:val="Titolo2"/>
      </w:pPr>
      <w:proofErr w:type="gramStart"/>
      <w:r>
        <w:rPr>
          <w:rFonts w:ascii="Aptos" w:eastAsia="Aptos" w:hAnsi="Aptos" w:cs="Aptos"/>
          <w:b/>
          <w:bCs/>
          <w:color w:val="1F3864"/>
          <w:sz w:val="26"/>
          <w:szCs w:val="26"/>
        </w:rPr>
        <w:t>4.2  Prospettive</w:t>
      </w:r>
      <w:proofErr w:type="gramEnd"/>
      <w:r>
        <w:rPr>
          <w:rFonts w:ascii="Aptos" w:eastAsia="Aptos" w:hAnsi="Aptos" w:cs="Aptos"/>
          <w:b/>
          <w:bCs/>
          <w:color w:val="1F3864"/>
          <w:sz w:val="26"/>
          <w:szCs w:val="26"/>
        </w:rPr>
        <w:t xml:space="preserve"> di amplificazione del ritorno</w:t>
      </w:r>
    </w:p>
    <w:p w14:paraId="701FA7A0" w14:textId="3B3C97B9" w:rsidR="0026273A" w:rsidRPr="001A1AB3" w:rsidRDefault="0026273A" w:rsidP="0026273A">
      <w:pPr>
        <w:spacing w:after="120" w:line="300" w:lineRule="auto"/>
        <w:jc w:val="both"/>
        <w:rPr>
          <w:rFonts w:ascii="Aptos" w:eastAsia="Aptos" w:hAnsi="Aptos" w:cs="Aptos"/>
          <w:sz w:val="22"/>
          <w:szCs w:val="22"/>
        </w:rPr>
      </w:pPr>
      <w:r>
        <w:rPr>
          <w:rFonts w:ascii="Aptos" w:eastAsia="Aptos" w:hAnsi="Aptos" w:cs="Aptos"/>
          <w:sz w:val="22"/>
          <w:szCs w:val="22"/>
        </w:rPr>
        <w:t xml:space="preserve">I risultati illustrati nelle pagine precedenti riflettono fedelmente l'attuale configurazione operativa di Achipont, e in particolare il target di capacità di 24 partecipazioni annue assunto come </w:t>
      </w:r>
      <w:proofErr w:type="gramStart"/>
      <w:r>
        <w:rPr>
          <w:rFonts w:ascii="Aptos" w:eastAsia="Aptos" w:hAnsi="Aptos" w:cs="Aptos"/>
          <w:sz w:val="22"/>
          <w:szCs w:val="22"/>
        </w:rPr>
        <w:t xml:space="preserve">riferimento </w:t>
      </w:r>
      <w:r w:rsidR="001A1AB3">
        <w:rPr>
          <w:rFonts w:ascii="Aptos" w:eastAsia="Aptos" w:hAnsi="Aptos" w:cs="Aptos"/>
          <w:sz w:val="22"/>
          <w:szCs w:val="22"/>
        </w:rPr>
        <w:t xml:space="preserve"> </w:t>
      </w:r>
      <w:r>
        <w:rPr>
          <w:rFonts w:ascii="Aptos" w:eastAsia="Aptos" w:hAnsi="Aptos" w:cs="Aptos"/>
          <w:sz w:val="22"/>
          <w:szCs w:val="22"/>
        </w:rPr>
        <w:t>prudenziale</w:t>
      </w:r>
      <w:proofErr w:type="gramEnd"/>
      <w:r>
        <w:rPr>
          <w:rFonts w:ascii="Aptos" w:eastAsia="Aptos" w:hAnsi="Aptos" w:cs="Aptos"/>
          <w:sz w:val="22"/>
          <w:szCs w:val="22"/>
        </w:rPr>
        <w:t>. Questo vincolo opera come tetto sul ritorno generato dalla Componente B: pur intercettando lo strumento un volume di gare significativamente superiore (138-260 bandi compatibili l'anno secondo lo scenario), Achipont è in grado di lavorarne effettivamente meno del 20%.</w:t>
      </w:r>
    </w:p>
    <w:p w14:paraId="096EA76E" w14:textId="77777777" w:rsidR="0026273A" w:rsidRDefault="0026273A" w:rsidP="0026273A">
      <w:pPr>
        <w:spacing w:after="120" w:line="300" w:lineRule="auto"/>
        <w:jc w:val="both"/>
      </w:pPr>
      <w:r>
        <w:rPr>
          <w:rFonts w:ascii="Aptos" w:eastAsia="Aptos" w:hAnsi="Aptos" w:cs="Aptos"/>
          <w:sz w:val="22"/>
          <w:szCs w:val="22"/>
        </w:rPr>
        <w:t>Due direttrici evolutive, indipendenti tra loro ma cumulabili, agirebbero direttamente sull'attenuazione di questo vincolo, amplificando il ritorno dell'investimento:</w:t>
      </w:r>
    </w:p>
    <w:p w14:paraId="7519D5A3" w14:textId="77777777" w:rsidR="0026273A" w:rsidRDefault="0026273A" w:rsidP="0026273A">
      <w:pPr>
        <w:spacing w:after="120" w:line="300" w:lineRule="auto"/>
        <w:jc w:val="both"/>
      </w:pPr>
      <w:r>
        <w:rPr>
          <w:rFonts w:ascii="Aptos" w:eastAsia="Aptos" w:hAnsi="Aptos" w:cs="Aptos"/>
          <w:b/>
          <w:bCs/>
          <w:color w:val="1F3864"/>
          <w:sz w:val="22"/>
          <w:szCs w:val="22"/>
        </w:rPr>
        <w:t xml:space="preserve">Espansione </w:t>
      </w:r>
      <w:proofErr w:type="gramStart"/>
      <w:r>
        <w:rPr>
          <w:rFonts w:ascii="Aptos" w:eastAsia="Aptos" w:hAnsi="Aptos" w:cs="Aptos"/>
          <w:b/>
          <w:bCs/>
          <w:color w:val="1F3864"/>
          <w:sz w:val="22"/>
          <w:szCs w:val="22"/>
        </w:rPr>
        <w:t>del team</w:t>
      </w:r>
      <w:proofErr w:type="gramEnd"/>
      <w:r>
        <w:rPr>
          <w:rFonts w:ascii="Aptos" w:eastAsia="Aptos" w:hAnsi="Aptos" w:cs="Aptos"/>
          <w:b/>
          <w:bCs/>
          <w:color w:val="1F3864"/>
          <w:sz w:val="22"/>
          <w:szCs w:val="22"/>
        </w:rPr>
        <w:t xml:space="preserve"> di analisi </w:t>
      </w:r>
      <w:proofErr w:type="spellStart"/>
      <w:r>
        <w:rPr>
          <w:rFonts w:ascii="Aptos" w:eastAsia="Aptos" w:hAnsi="Aptos" w:cs="Aptos"/>
          <w:b/>
          <w:bCs/>
          <w:color w:val="1F3864"/>
          <w:sz w:val="22"/>
          <w:szCs w:val="22"/>
        </w:rPr>
        <w:t>pre</w:t>
      </w:r>
      <w:proofErr w:type="spellEnd"/>
      <w:r>
        <w:rPr>
          <w:rFonts w:ascii="Aptos" w:eastAsia="Aptos" w:hAnsi="Aptos" w:cs="Aptos"/>
          <w:b/>
          <w:bCs/>
          <w:color w:val="1F3864"/>
          <w:sz w:val="22"/>
          <w:szCs w:val="22"/>
        </w:rPr>
        <w:t xml:space="preserve">-gara. </w:t>
      </w:r>
      <w:r>
        <w:rPr>
          <w:rFonts w:ascii="Aptos" w:eastAsia="Aptos" w:hAnsi="Aptos" w:cs="Aptos"/>
          <w:sz w:val="22"/>
          <w:szCs w:val="22"/>
        </w:rPr>
        <w:t xml:space="preserve">Il passaggio da 24 a 36 o 48 partecipazioni annue, ottenibile attraverso l'inserimento di una seconda risorsa dedicata o l'estensione del coinvolgimento di figure interne, produrrebbe un incremento proporzionale del fatturato incrementale e del margine generato </w:t>
      </w:r>
      <w:r>
        <w:rPr>
          <w:rFonts w:ascii="Aptos" w:eastAsia="Aptos" w:hAnsi="Aptos" w:cs="Aptos"/>
          <w:sz w:val="22"/>
          <w:szCs w:val="22"/>
        </w:rPr>
        <w:lastRenderedPageBreak/>
        <w:t>dalla Componente B. A parità di tasso di aggiudicazione e importo medio, ogni 12 partecipazioni aggiuntive nell'anno il margine incrementale annuo cresce di circa €11.000-€13.000.</w:t>
      </w:r>
    </w:p>
    <w:p w14:paraId="7B25D4A2" w14:textId="77777777" w:rsidR="0026273A" w:rsidRDefault="0026273A" w:rsidP="0026273A">
      <w:pPr>
        <w:spacing w:after="120" w:line="300" w:lineRule="auto"/>
        <w:jc w:val="both"/>
      </w:pPr>
      <w:r>
        <w:rPr>
          <w:rFonts w:ascii="Aptos" w:eastAsia="Aptos" w:hAnsi="Aptos" w:cs="Aptos"/>
          <w:b/>
          <w:bCs/>
          <w:color w:val="1F3864"/>
          <w:sz w:val="22"/>
          <w:szCs w:val="22"/>
        </w:rPr>
        <w:t xml:space="preserve">Attivazione dei moduli evolutivi C e D (Fase 2). </w:t>
      </w:r>
      <w:r>
        <w:rPr>
          <w:rFonts w:ascii="Aptos" w:eastAsia="Aptos" w:hAnsi="Aptos" w:cs="Aptos"/>
          <w:sz w:val="22"/>
          <w:szCs w:val="22"/>
        </w:rPr>
        <w:t xml:space="preserve">I moduli di analisi automatica dei capitolati (C) e di generazione assistita della documentazione di risposta (D), già previsti nel perimetro contrattuale e quotabili in fase successiva, agirebbero direttamente sul vincolo di </w:t>
      </w:r>
      <w:proofErr w:type="spellStart"/>
      <w:r>
        <w:rPr>
          <w:rFonts w:ascii="Aptos" w:eastAsia="Aptos" w:hAnsi="Aptos" w:cs="Aptos"/>
          <w:sz w:val="22"/>
          <w:szCs w:val="22"/>
        </w:rPr>
        <w:t>capacity</w:t>
      </w:r>
      <w:proofErr w:type="spellEnd"/>
      <w:r>
        <w:rPr>
          <w:rFonts w:ascii="Aptos" w:eastAsia="Aptos" w:hAnsi="Aptos" w:cs="Aptos"/>
          <w:sz w:val="22"/>
          <w:szCs w:val="22"/>
        </w:rPr>
        <w:t xml:space="preserve"> riducendo il tempo necessario alla preparazione di ciascuna offerta. A regime, l'effetto combinato potrebbe consentire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di gestire un volume significativamente superiore di partecipazioni con la stessa configurazione di </w:t>
      </w:r>
      <w:proofErr w:type="gramStart"/>
      <w:r>
        <w:rPr>
          <w:rFonts w:ascii="Aptos" w:eastAsia="Aptos" w:hAnsi="Aptos" w:cs="Aptos"/>
          <w:sz w:val="22"/>
          <w:szCs w:val="22"/>
        </w:rPr>
        <w:t>team</w:t>
      </w:r>
      <w:proofErr w:type="gramEnd"/>
      <w:r>
        <w:rPr>
          <w:rFonts w:ascii="Aptos" w:eastAsia="Aptos" w:hAnsi="Aptos" w:cs="Aptos"/>
          <w:sz w:val="22"/>
          <w:szCs w:val="22"/>
        </w:rPr>
        <w:t>.</w:t>
      </w:r>
    </w:p>
    <w:p w14:paraId="4991F2E3" w14:textId="227C709E" w:rsidR="0026273A" w:rsidRDefault="0026273A" w:rsidP="001A1AB3">
      <w:pPr>
        <w:spacing w:after="120" w:line="300" w:lineRule="auto"/>
        <w:jc w:val="both"/>
      </w:pPr>
      <w:r>
        <w:rPr>
          <w:rFonts w:ascii="Aptos" w:eastAsia="Aptos" w:hAnsi="Aptos" w:cs="Aptos"/>
          <w:sz w:val="22"/>
          <w:szCs w:val="22"/>
        </w:rPr>
        <w:t>Lo strumento allo stato attuale di proposta (Componenti A e B in configurazione MVP) genera già il ritorno positivo illustrato in questa sezione. Le evoluzioni descritte rappresentano opportunità di amplificazione progressiva del valore, da valutare nel tempo sulla base dell'esperienza d'uso effettiva.</w:t>
      </w:r>
    </w:p>
    <w:p w14:paraId="7F1FBC76" w14:textId="77777777" w:rsidR="0026273A" w:rsidRDefault="0026273A" w:rsidP="0026273A">
      <w:pPr>
        <w:pStyle w:val="Titolo1"/>
      </w:pPr>
      <w:r>
        <w:rPr>
          <w:rFonts w:ascii="Aptos" w:eastAsia="Aptos" w:hAnsi="Aptos" w:cs="Aptos"/>
          <w:b/>
          <w:bCs/>
          <w:color w:val="074F6A"/>
          <w:sz w:val="32"/>
          <w:szCs w:val="32"/>
        </w:rPr>
        <w:t>5. Analisi di sensibilità</w:t>
      </w:r>
    </w:p>
    <w:p w14:paraId="7F8DFE70" w14:textId="5D9EF67F" w:rsidR="0026273A" w:rsidRPr="001A1AB3" w:rsidRDefault="0026273A" w:rsidP="0026273A">
      <w:pPr>
        <w:spacing w:after="120" w:line="300" w:lineRule="auto"/>
        <w:jc w:val="both"/>
        <w:rPr>
          <w:rFonts w:ascii="Aptos" w:eastAsia="Aptos" w:hAnsi="Aptos" w:cs="Aptos"/>
          <w:sz w:val="22"/>
          <w:szCs w:val="22"/>
        </w:rPr>
      </w:pPr>
      <w:r>
        <w:rPr>
          <w:rFonts w:ascii="Aptos" w:eastAsia="Aptos" w:hAnsi="Aptos" w:cs="Aptos"/>
          <w:sz w:val="22"/>
          <w:szCs w:val="22"/>
        </w:rPr>
        <w:t xml:space="preserve">I due parametri operativi di riferimento (importo medio commessa e capacità annua di preparazione bandi) sono ancorati al profilo Achipont rilevato in discovery e da consolidare in avvio; in questa sezione ne testiamo la robustezza, mostrando come l'esito del modello regga a variazioni significative di entrambi. L'importo medio effettivo delle commesse aggiudicate, pur partendo dal valore base di €30.000, può oscillare a seconda della tipologia di lavoro; il tasso di aggiudicazione di Achipont rappresenta la performance commerciale sulle gare effettivamente partecipate. Le tabelle </w:t>
      </w:r>
      <w:proofErr w:type="gramStart"/>
      <w:r>
        <w:rPr>
          <w:rFonts w:ascii="Aptos" w:eastAsia="Aptos" w:hAnsi="Aptos" w:cs="Aptos"/>
          <w:sz w:val="22"/>
          <w:szCs w:val="22"/>
        </w:rPr>
        <w:t xml:space="preserve">seguenti </w:t>
      </w:r>
      <w:r w:rsidR="001A1AB3">
        <w:rPr>
          <w:rFonts w:ascii="Aptos" w:eastAsia="Aptos" w:hAnsi="Aptos" w:cs="Aptos"/>
          <w:sz w:val="22"/>
          <w:szCs w:val="22"/>
        </w:rPr>
        <w:t xml:space="preserve"> </w:t>
      </w:r>
      <w:r>
        <w:rPr>
          <w:rFonts w:ascii="Aptos" w:eastAsia="Aptos" w:hAnsi="Aptos" w:cs="Aptos"/>
          <w:sz w:val="22"/>
          <w:szCs w:val="22"/>
        </w:rPr>
        <w:t>mostrano</w:t>
      </w:r>
      <w:proofErr w:type="gramEnd"/>
      <w:r>
        <w:rPr>
          <w:rFonts w:ascii="Aptos" w:eastAsia="Aptos" w:hAnsi="Aptos" w:cs="Aptos"/>
          <w:sz w:val="22"/>
          <w:szCs w:val="22"/>
        </w:rPr>
        <w:t xml:space="preserve"> come si modifica il risultato dello scenario base al variare di ciascuno dei due parametri, a parità di tutti gli altri.</w:t>
      </w:r>
    </w:p>
    <w:p w14:paraId="05670D65" w14:textId="77777777" w:rsidR="0026273A" w:rsidRDefault="0026273A" w:rsidP="0026273A">
      <w:pPr>
        <w:pStyle w:val="Titolo2"/>
      </w:pPr>
      <w:proofErr w:type="gramStart"/>
      <w:r>
        <w:rPr>
          <w:rFonts w:ascii="Aptos" w:eastAsia="Aptos" w:hAnsi="Aptos" w:cs="Aptos"/>
          <w:b/>
          <w:bCs/>
          <w:color w:val="1F3864"/>
          <w:sz w:val="26"/>
          <w:szCs w:val="26"/>
        </w:rPr>
        <w:t>5.1  Sensibilità</w:t>
      </w:r>
      <w:proofErr w:type="gramEnd"/>
      <w:r>
        <w:rPr>
          <w:rFonts w:ascii="Aptos" w:eastAsia="Aptos" w:hAnsi="Aptos" w:cs="Aptos"/>
          <w:b/>
          <w:bCs/>
          <w:color w:val="1F3864"/>
          <w:sz w:val="26"/>
          <w:szCs w:val="26"/>
        </w:rPr>
        <w:t xml:space="preserve"> all'importo medio commessa</w:t>
      </w:r>
    </w:p>
    <w:p w14:paraId="5D799529" w14:textId="77777777" w:rsidR="0026273A" w:rsidRDefault="0026273A" w:rsidP="0026273A">
      <w:pPr>
        <w:spacing w:after="120" w:line="300" w:lineRule="auto"/>
        <w:jc w:val="both"/>
      </w:pPr>
      <w:r>
        <w:rPr>
          <w:rFonts w:ascii="Aptos" w:eastAsia="Aptos" w:hAnsi="Aptos" w:cs="Aptos"/>
          <w:sz w:val="22"/>
          <w:szCs w:val="22"/>
        </w:rPr>
        <w:t>Si esamina cosa accade allo scenario base se l'importo medio commessa effettivo si discosta dal valore di riferimento di €30.000, in un range che copre sia commesse di taglio inferiore (€20.000) sia commesse di taglio superiore (€40.000).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500"/>
        <w:gridCol w:w="1400"/>
        <w:gridCol w:w="1400"/>
      </w:tblGrid>
      <w:tr w:rsidR="0026273A" w14:paraId="757D3AC7" w14:textId="77777777" w:rsidTr="006E1A48">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C5C2BF3" w14:textId="77777777" w:rsidR="0026273A" w:rsidRDefault="0026273A" w:rsidP="006E1A48">
            <w:pPr>
              <w:spacing w:line="260" w:lineRule="auto"/>
            </w:pPr>
            <w:r>
              <w:rPr>
                <w:rFonts w:ascii="Aptos" w:eastAsia="Aptos" w:hAnsi="Aptos" w:cs="Aptos"/>
                <w:b/>
                <w:bCs/>
                <w:color w:val="1F3864"/>
                <w:sz w:val="20"/>
                <w:szCs w:val="20"/>
              </w:rPr>
              <w:t>Importo medio commessa</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70ECBE4" w14:textId="77777777" w:rsidR="0026273A" w:rsidRDefault="0026273A" w:rsidP="006E1A48">
            <w:pPr>
              <w:spacing w:line="260" w:lineRule="auto"/>
              <w:jc w:val="right"/>
            </w:pPr>
            <w:r>
              <w:rPr>
                <w:rFonts w:ascii="Aptos" w:eastAsia="Aptos" w:hAnsi="Aptos" w:cs="Aptos"/>
                <w:b/>
                <w:bCs/>
                <w:color w:val="1F3864"/>
                <w:sz w:val="20"/>
                <w:szCs w:val="20"/>
              </w:rPr>
              <w:t>€ 25.000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DB0AFAA" w14:textId="77777777" w:rsidR="0026273A" w:rsidRDefault="0026273A" w:rsidP="006E1A48">
            <w:pPr>
              <w:spacing w:line="260" w:lineRule="auto"/>
              <w:jc w:val="right"/>
            </w:pPr>
            <w:r>
              <w:rPr>
                <w:rFonts w:ascii="Aptos" w:eastAsia="Aptos" w:hAnsi="Aptos" w:cs="Aptos"/>
                <w:b/>
                <w:bCs/>
                <w:color w:val="1F3864"/>
                <w:sz w:val="20"/>
                <w:szCs w:val="20"/>
              </w:rPr>
              <w:t>€ 30.000 (base)</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E4FCB52" w14:textId="77777777" w:rsidR="0026273A" w:rsidRDefault="0026273A" w:rsidP="006E1A48">
            <w:pPr>
              <w:spacing w:line="260" w:lineRule="auto"/>
              <w:jc w:val="right"/>
            </w:pPr>
            <w:r>
              <w:rPr>
                <w:rFonts w:ascii="Aptos" w:eastAsia="Aptos" w:hAnsi="Aptos" w:cs="Aptos"/>
                <w:b/>
                <w:bCs/>
                <w:color w:val="1F3864"/>
                <w:sz w:val="20"/>
                <w:szCs w:val="20"/>
              </w:rPr>
              <w:t>€ 35.000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0637FC55" w14:textId="77777777" w:rsidR="0026273A" w:rsidRDefault="0026273A" w:rsidP="006E1A48">
            <w:pPr>
              <w:spacing w:line="260" w:lineRule="auto"/>
              <w:jc w:val="right"/>
            </w:pPr>
            <w:r>
              <w:rPr>
                <w:rFonts w:ascii="Aptos" w:eastAsia="Aptos" w:hAnsi="Aptos" w:cs="Aptos"/>
                <w:b/>
                <w:bCs/>
                <w:color w:val="1F3864"/>
                <w:sz w:val="20"/>
                <w:szCs w:val="20"/>
              </w:rPr>
              <w:t>€ 40.000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CD7FFCE" w14:textId="77777777" w:rsidR="0026273A" w:rsidRDefault="0026273A" w:rsidP="006E1A48">
            <w:pPr>
              <w:spacing w:line="260" w:lineRule="auto"/>
              <w:jc w:val="right"/>
            </w:pPr>
            <w:r>
              <w:rPr>
                <w:rFonts w:ascii="Aptos" w:eastAsia="Aptos" w:hAnsi="Aptos" w:cs="Aptos"/>
                <w:b/>
                <w:bCs/>
                <w:color w:val="1F3864"/>
                <w:sz w:val="20"/>
                <w:szCs w:val="20"/>
              </w:rPr>
              <w:t>€ 45.000</w:t>
            </w:r>
          </w:p>
        </w:tc>
      </w:tr>
      <w:tr w:rsidR="0026273A" w14:paraId="4887CF43"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44E64B"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43AAC7" w14:textId="77777777" w:rsidR="0026273A" w:rsidRDefault="0026273A" w:rsidP="006E1A48">
            <w:pPr>
              <w:spacing w:line="260" w:lineRule="auto"/>
              <w:jc w:val="right"/>
            </w:pPr>
            <w:r>
              <w:rPr>
                <w:rFonts w:ascii="Aptos" w:eastAsia="Aptos" w:hAnsi="Aptos" w:cs="Aptos"/>
                <w:color w:val="000000"/>
                <w:sz w:val="20"/>
                <w:szCs w:val="20"/>
              </w:rPr>
              <w:t>€ 21.000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FB84D7" w14:textId="77777777" w:rsidR="0026273A" w:rsidRDefault="0026273A" w:rsidP="006E1A48">
            <w:pPr>
              <w:spacing w:line="260" w:lineRule="auto"/>
              <w:jc w:val="right"/>
            </w:pPr>
            <w:r>
              <w:rPr>
                <w:rFonts w:ascii="Aptos" w:eastAsia="Aptos" w:hAnsi="Aptos" w:cs="Aptos"/>
                <w:color w:val="000000"/>
                <w:sz w:val="20"/>
                <w:szCs w:val="20"/>
              </w:rPr>
              <w:t>€ 25.200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23D8D7" w14:textId="77777777" w:rsidR="0026273A" w:rsidRDefault="0026273A" w:rsidP="006E1A48">
            <w:pPr>
              <w:spacing w:line="260" w:lineRule="auto"/>
              <w:jc w:val="right"/>
            </w:pPr>
            <w:r>
              <w:rPr>
                <w:rFonts w:ascii="Aptos" w:eastAsia="Aptos" w:hAnsi="Aptos" w:cs="Aptos"/>
                <w:color w:val="000000"/>
                <w:sz w:val="20"/>
                <w:szCs w:val="20"/>
              </w:rPr>
              <w:t>€ 29.400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427471" w14:textId="77777777" w:rsidR="0026273A" w:rsidRDefault="0026273A" w:rsidP="006E1A48">
            <w:pPr>
              <w:spacing w:line="260" w:lineRule="auto"/>
              <w:jc w:val="right"/>
            </w:pPr>
            <w:r>
              <w:rPr>
                <w:rFonts w:ascii="Aptos" w:eastAsia="Aptos" w:hAnsi="Aptos" w:cs="Aptos"/>
                <w:color w:val="000000"/>
                <w:sz w:val="20"/>
                <w:szCs w:val="20"/>
              </w:rPr>
              <w:t>€ 33.600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79DFB3"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074B8A9B"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271323"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15D85D" w14:textId="77777777" w:rsidR="0026273A" w:rsidRDefault="0026273A" w:rsidP="006E1A48">
            <w:pPr>
              <w:spacing w:line="260" w:lineRule="auto"/>
              <w:jc w:val="right"/>
            </w:pPr>
            <w:r>
              <w:rPr>
                <w:rFonts w:ascii="Aptos" w:eastAsia="Aptos" w:hAnsi="Aptos" w:cs="Aptos"/>
                <w:color w:val="000000"/>
                <w:sz w:val="20"/>
                <w:szCs w:val="20"/>
              </w:rPr>
              <w:t>€ 44.000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1A5FE6" w14:textId="77777777" w:rsidR="0026273A" w:rsidRDefault="0026273A" w:rsidP="006E1A48">
            <w:pPr>
              <w:spacing w:line="260" w:lineRule="auto"/>
              <w:jc w:val="right"/>
            </w:pPr>
            <w:r>
              <w:rPr>
                <w:rFonts w:ascii="Aptos" w:eastAsia="Aptos" w:hAnsi="Aptos" w:cs="Aptos"/>
                <w:color w:val="000000"/>
                <w:sz w:val="20"/>
                <w:szCs w:val="20"/>
              </w:rPr>
              <w:t>€ 48.200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DDB4A1" w14:textId="77777777" w:rsidR="0026273A" w:rsidRDefault="0026273A" w:rsidP="006E1A48">
            <w:pPr>
              <w:spacing w:line="260" w:lineRule="auto"/>
              <w:jc w:val="right"/>
            </w:pPr>
            <w:r>
              <w:rPr>
                <w:rFonts w:ascii="Aptos" w:eastAsia="Aptos" w:hAnsi="Aptos" w:cs="Aptos"/>
                <w:color w:val="000000"/>
                <w:sz w:val="20"/>
                <w:szCs w:val="20"/>
              </w:rPr>
              <w:t>€ 52.400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672F33" w14:textId="77777777" w:rsidR="0026273A" w:rsidRDefault="0026273A" w:rsidP="006E1A48">
            <w:pPr>
              <w:spacing w:line="260" w:lineRule="auto"/>
              <w:jc w:val="right"/>
            </w:pPr>
            <w:r>
              <w:rPr>
                <w:rFonts w:ascii="Aptos" w:eastAsia="Aptos" w:hAnsi="Aptos" w:cs="Aptos"/>
                <w:color w:val="000000"/>
                <w:sz w:val="20"/>
                <w:szCs w:val="20"/>
              </w:rPr>
              <w:t>€ 56.600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A7F8A"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0695136C"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111BFF" w14:textId="77777777" w:rsidR="0026273A" w:rsidRDefault="0026273A" w:rsidP="006E1A48">
            <w:pPr>
              <w:spacing w:line="260" w:lineRule="auto"/>
            </w:pPr>
            <w:r>
              <w:rPr>
                <w:rFonts w:ascii="Aptos" w:eastAsia="Aptos" w:hAnsi="Aptos" w:cs="Aptos"/>
                <w:color w:val="000000"/>
                <w:sz w:val="20"/>
                <w:szCs w:val="20"/>
              </w:rPr>
              <w:t>Tempo di rientro</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6BEE9D"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ADC2F2"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1C8373"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EB9BD5" w14:textId="77777777" w:rsidR="0026273A" w:rsidRDefault="0026273A" w:rsidP="006E1A48">
            <w:pPr>
              <w:spacing w:line="260" w:lineRule="auto"/>
              <w:jc w:val="center"/>
            </w:pPr>
            <w:r>
              <w:rPr>
                <w:rFonts w:ascii="Aptos" w:eastAsia="Aptos" w:hAnsi="Aptos" w:cs="Aptos"/>
                <w:color w:val="000000"/>
                <w:sz w:val="20"/>
                <w:szCs w:val="20"/>
              </w:rPr>
              <w:t>~ 11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C61809"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2016DD58" w14:textId="77777777" w:rsidR="0026273A" w:rsidRDefault="0026273A" w:rsidP="0026273A">
      <w:pPr>
        <w:spacing w:after="100"/>
      </w:pPr>
    </w:p>
    <w:p w14:paraId="28363AE8" w14:textId="77777777" w:rsidR="0026273A" w:rsidRDefault="0026273A" w:rsidP="0026273A">
      <w:pPr>
        <w:spacing w:after="120" w:line="300" w:lineRule="auto"/>
        <w:jc w:val="both"/>
      </w:pPr>
      <w:r>
        <w:rPr>
          <w:rFonts w:ascii="Aptos" w:eastAsia="Aptos" w:hAnsi="Aptos" w:cs="Aptos"/>
          <w:sz w:val="22"/>
          <w:szCs w:val="22"/>
        </w:rPr>
        <w:t>Anche assumendo un importo medio commessa di €25.000 (in linea con lo scenario conservativo), lo scenario base resta in rientro positivo entro il quattordicesimo mese di operatività.</w:t>
      </w:r>
    </w:p>
    <w:p w14:paraId="437EAA20" w14:textId="77777777" w:rsidR="0026273A" w:rsidRDefault="0026273A" w:rsidP="0026273A">
      <w:pPr>
        <w:pStyle w:val="Titolo2"/>
      </w:pPr>
      <w:proofErr w:type="gramStart"/>
      <w:r>
        <w:rPr>
          <w:rFonts w:ascii="Aptos" w:eastAsia="Aptos" w:hAnsi="Aptos" w:cs="Aptos"/>
          <w:b/>
          <w:bCs/>
          <w:color w:val="1F3864"/>
          <w:sz w:val="26"/>
          <w:szCs w:val="26"/>
        </w:rPr>
        <w:t>5.2  Sensibilità</w:t>
      </w:r>
      <w:proofErr w:type="gramEnd"/>
      <w:r>
        <w:rPr>
          <w:rFonts w:ascii="Aptos" w:eastAsia="Aptos" w:hAnsi="Aptos" w:cs="Aptos"/>
          <w:b/>
          <w:bCs/>
          <w:color w:val="1F3864"/>
          <w:sz w:val="26"/>
          <w:szCs w:val="26"/>
        </w:rPr>
        <w:t xml:space="preserve"> al tasso di aggiudicazione</w:t>
      </w:r>
    </w:p>
    <w:p w14:paraId="6D517147" w14:textId="77777777" w:rsidR="0026273A" w:rsidRDefault="0026273A" w:rsidP="0026273A">
      <w:pPr>
        <w:spacing w:after="120" w:line="300" w:lineRule="auto"/>
        <w:jc w:val="both"/>
      </w:pPr>
      <w:r>
        <w:rPr>
          <w:rFonts w:ascii="Aptos" w:eastAsia="Aptos" w:hAnsi="Aptos" w:cs="Aptos"/>
          <w:sz w:val="22"/>
          <w:szCs w:val="22"/>
        </w:rPr>
        <w:t xml:space="preserve">Si esamina cosa accade se il tasso effettivo di aggiudicazione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sulle gare partecipate si discosta dal 15% assunto nello scenario base. Il range esplorato va dal 9% (performance commerciale debole, tipica di procedure aperte molto competitive) al 25% (performance significativamente sopra la media, raggiungibile con specializzazione e referenze pregresse forti).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500"/>
        <w:gridCol w:w="1300"/>
        <w:gridCol w:w="1300"/>
      </w:tblGrid>
      <w:tr w:rsidR="0026273A" w14:paraId="6C772313" w14:textId="77777777" w:rsidTr="006E1A48">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873A0F5" w14:textId="77777777" w:rsidR="0026273A" w:rsidRDefault="0026273A" w:rsidP="006E1A48">
            <w:pPr>
              <w:spacing w:line="260" w:lineRule="auto"/>
            </w:pPr>
            <w:r>
              <w:rPr>
                <w:rFonts w:ascii="Aptos" w:eastAsia="Aptos" w:hAnsi="Aptos" w:cs="Aptos"/>
                <w:b/>
                <w:bCs/>
                <w:color w:val="1F3864"/>
                <w:sz w:val="20"/>
                <w:szCs w:val="20"/>
              </w:rPr>
              <w:t>Tasso di aggiudicazione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6F2D40F" w14:textId="77777777" w:rsidR="0026273A" w:rsidRDefault="0026273A" w:rsidP="006E1A48">
            <w:pPr>
              <w:spacing w:line="260" w:lineRule="auto"/>
              <w:jc w:val="right"/>
            </w:pPr>
            <w:r>
              <w:rPr>
                <w:rFonts w:ascii="Aptos" w:eastAsia="Aptos" w:hAnsi="Aptos" w:cs="Aptos"/>
                <w:b/>
                <w:bCs/>
                <w:color w:val="1F3864"/>
                <w:sz w:val="20"/>
                <w:szCs w:val="20"/>
              </w:rPr>
              <w:t>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CBE235C" w14:textId="77777777" w:rsidR="0026273A" w:rsidRDefault="0026273A" w:rsidP="006E1A48">
            <w:pPr>
              <w:spacing w:line="260" w:lineRule="auto"/>
              <w:jc w:val="right"/>
            </w:pPr>
            <w:r>
              <w:rPr>
                <w:rFonts w:ascii="Aptos" w:eastAsia="Aptos" w:hAnsi="Aptos" w:cs="Aptos"/>
                <w:b/>
                <w:bCs/>
                <w:color w:val="1F3864"/>
                <w:sz w:val="20"/>
                <w:szCs w:val="20"/>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55F4714" w14:textId="77777777" w:rsidR="0026273A" w:rsidRDefault="0026273A" w:rsidP="006E1A48">
            <w:pPr>
              <w:spacing w:line="260" w:lineRule="auto"/>
              <w:jc w:val="right"/>
            </w:pPr>
            <w:r>
              <w:rPr>
                <w:rFonts w:ascii="Aptos" w:eastAsia="Aptos" w:hAnsi="Aptos" w:cs="Aptos"/>
                <w:b/>
                <w:bCs/>
                <w:color w:val="1F3864"/>
                <w:sz w:val="20"/>
                <w:szCs w:val="20"/>
              </w:rPr>
              <w:t>15% (base)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336AF1E" w14:textId="77777777" w:rsidR="0026273A" w:rsidRDefault="0026273A" w:rsidP="006E1A48">
            <w:pPr>
              <w:spacing w:line="260" w:lineRule="auto"/>
              <w:jc w:val="right"/>
            </w:pPr>
            <w:r>
              <w:rPr>
                <w:rFonts w:ascii="Aptos" w:eastAsia="Aptos" w:hAnsi="Aptos" w:cs="Aptos"/>
                <w:b/>
                <w:bCs/>
                <w:color w:val="1F3864"/>
                <w:sz w:val="20"/>
                <w:szCs w:val="20"/>
              </w:rPr>
              <w:t>19%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3E8FE79" w14:textId="77777777" w:rsidR="0026273A" w:rsidRDefault="0026273A" w:rsidP="006E1A48">
            <w:pPr>
              <w:spacing w:line="260" w:lineRule="auto"/>
              <w:jc w:val="right"/>
            </w:pPr>
            <w:r>
              <w:rPr>
                <w:rFonts w:ascii="Aptos" w:eastAsia="Aptos" w:hAnsi="Aptos" w:cs="Aptos"/>
                <w:b/>
                <w:bCs/>
                <w:color w:val="1F3864"/>
                <w:sz w:val="20"/>
                <w:szCs w:val="20"/>
              </w:rPr>
              <w:t>25%</w:t>
            </w:r>
          </w:p>
        </w:tc>
      </w:tr>
      <w:tr w:rsidR="0026273A" w14:paraId="072582E6"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8975CE" w14:textId="77777777" w:rsidR="0026273A" w:rsidRDefault="0026273A" w:rsidP="006E1A48">
            <w:pPr>
              <w:spacing w:line="260" w:lineRule="auto"/>
            </w:pPr>
            <w:r>
              <w:rPr>
                <w:rFonts w:ascii="Aptos" w:eastAsia="Aptos" w:hAnsi="Aptos" w:cs="Aptos"/>
                <w:color w:val="000000"/>
                <w:sz w:val="20"/>
                <w:szCs w:val="20"/>
              </w:rPr>
              <w:t>Aggiudicazioni stimate/anno</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793AE1" w14:textId="77777777" w:rsidR="0026273A" w:rsidRDefault="0026273A" w:rsidP="006E1A48">
            <w:pPr>
              <w:spacing w:line="260" w:lineRule="auto"/>
              <w:jc w:val="right"/>
            </w:pPr>
            <w:r>
              <w:rPr>
                <w:rFonts w:ascii="Aptos" w:eastAsia="Aptos" w:hAnsi="Aptos" w:cs="Aptos"/>
                <w:color w:val="000000"/>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D47174" w14:textId="77777777" w:rsidR="0026273A" w:rsidRDefault="0026273A" w:rsidP="006E1A48">
            <w:pPr>
              <w:spacing w:line="260" w:lineRule="auto"/>
              <w:jc w:val="right"/>
            </w:pPr>
            <w:r>
              <w:rPr>
                <w:rFonts w:ascii="Aptos" w:eastAsia="Aptos" w:hAnsi="Aptos" w:cs="Aptos"/>
                <w:color w:val="000000"/>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12CF5" w14:textId="77777777" w:rsidR="0026273A" w:rsidRDefault="0026273A" w:rsidP="006E1A48">
            <w:pPr>
              <w:spacing w:line="260" w:lineRule="auto"/>
              <w:jc w:val="right"/>
            </w:pPr>
            <w:r>
              <w:rPr>
                <w:rFonts w:ascii="Aptos" w:eastAsia="Aptos" w:hAnsi="Aptos" w:cs="Aptos"/>
                <w:color w:val="000000"/>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F692B9" w14:textId="77777777" w:rsidR="0026273A" w:rsidRDefault="0026273A" w:rsidP="006E1A48">
            <w:pPr>
              <w:spacing w:line="260" w:lineRule="auto"/>
              <w:jc w:val="right"/>
            </w:pPr>
            <w:r>
              <w:t>5</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67B207" w14:textId="77777777" w:rsidR="0026273A" w:rsidRDefault="0026273A" w:rsidP="006E1A48">
            <w:pPr>
              <w:spacing w:line="260" w:lineRule="auto"/>
              <w:jc w:val="right"/>
            </w:pPr>
            <w:r>
              <w:rPr>
                <w:rFonts w:ascii="Aptos" w:eastAsia="Aptos" w:hAnsi="Aptos" w:cs="Aptos"/>
                <w:color w:val="000000"/>
                <w:sz w:val="20"/>
                <w:szCs w:val="20"/>
              </w:rPr>
              <w:t>6</w:t>
            </w:r>
          </w:p>
        </w:tc>
      </w:tr>
      <w:tr w:rsidR="0026273A" w14:paraId="238DAD4A"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1B688D"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86CF80" w14:textId="77777777" w:rsidR="0026273A" w:rsidRDefault="0026273A" w:rsidP="006E1A48">
            <w:pPr>
              <w:spacing w:line="260" w:lineRule="auto"/>
              <w:jc w:val="right"/>
            </w:pPr>
            <w:r>
              <w:rPr>
                <w:rFonts w:ascii="Aptos" w:eastAsia="Aptos" w:hAnsi="Aptos" w:cs="Aptos"/>
                <w:color w:val="000000"/>
                <w:sz w:val="20"/>
                <w:szCs w:val="20"/>
              </w:rPr>
              <w:t>€ 12.600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D33905" w14:textId="77777777" w:rsidR="0026273A" w:rsidRDefault="0026273A" w:rsidP="006E1A48">
            <w:pPr>
              <w:spacing w:line="260" w:lineRule="auto"/>
              <w:jc w:val="right"/>
            </w:pPr>
            <w:r>
              <w:rPr>
                <w:rFonts w:ascii="Aptos" w:eastAsia="Aptos" w:hAnsi="Aptos" w:cs="Aptos"/>
                <w:color w:val="000000"/>
                <w:sz w:val="20"/>
                <w:szCs w:val="20"/>
              </w:rPr>
              <w:t>€ 18.900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F2E49" w14:textId="77777777" w:rsidR="0026273A" w:rsidRDefault="0026273A" w:rsidP="006E1A48">
            <w:pPr>
              <w:spacing w:line="260" w:lineRule="auto"/>
              <w:jc w:val="right"/>
            </w:pPr>
            <w:r>
              <w:rPr>
                <w:rFonts w:ascii="Aptos" w:eastAsia="Aptos" w:hAnsi="Aptos" w:cs="Aptos"/>
                <w:color w:val="000000"/>
                <w:sz w:val="20"/>
                <w:szCs w:val="20"/>
              </w:rPr>
              <w:t>€ 25.200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DF8C93" w14:textId="77777777" w:rsidR="0026273A" w:rsidRDefault="0026273A" w:rsidP="006E1A48">
            <w:pPr>
              <w:spacing w:line="260" w:lineRule="auto"/>
              <w:jc w:val="right"/>
            </w:pPr>
            <w:r>
              <w:rPr>
                <w:rFonts w:ascii="Aptos" w:eastAsia="Aptos" w:hAnsi="Aptos" w:cs="Aptos"/>
                <w:color w:val="000000"/>
                <w:sz w:val="20"/>
                <w:szCs w:val="20"/>
              </w:rPr>
              <w:t>€ 31.500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20A603"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625DD316"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3DAE74"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5A3EF5" w14:textId="77777777" w:rsidR="0026273A" w:rsidRDefault="0026273A" w:rsidP="006E1A48">
            <w:pPr>
              <w:spacing w:line="260" w:lineRule="auto"/>
              <w:jc w:val="right"/>
            </w:pPr>
            <w:r>
              <w:rPr>
                <w:rFonts w:ascii="Aptos" w:eastAsia="Aptos" w:hAnsi="Aptos" w:cs="Aptos"/>
                <w:color w:val="000000"/>
                <w:sz w:val="20"/>
                <w:szCs w:val="20"/>
              </w:rPr>
              <w:t>€ 35.600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2DF3EE" w14:textId="77777777" w:rsidR="0026273A" w:rsidRDefault="0026273A" w:rsidP="006E1A48">
            <w:pPr>
              <w:spacing w:line="260" w:lineRule="auto"/>
              <w:jc w:val="right"/>
            </w:pPr>
            <w:r>
              <w:rPr>
                <w:rFonts w:ascii="Aptos" w:eastAsia="Aptos" w:hAnsi="Aptos" w:cs="Aptos"/>
                <w:color w:val="000000"/>
                <w:sz w:val="20"/>
                <w:szCs w:val="20"/>
              </w:rPr>
              <w:t>€ 41.900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F3AA69" w14:textId="77777777" w:rsidR="0026273A" w:rsidRDefault="0026273A" w:rsidP="006E1A48">
            <w:pPr>
              <w:spacing w:line="260" w:lineRule="auto"/>
              <w:jc w:val="right"/>
            </w:pPr>
            <w:r>
              <w:rPr>
                <w:rFonts w:ascii="Aptos" w:eastAsia="Aptos" w:hAnsi="Aptos" w:cs="Aptos"/>
                <w:color w:val="000000"/>
                <w:sz w:val="20"/>
                <w:szCs w:val="20"/>
              </w:rPr>
              <w:t>€ 48.200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DD336B" w14:textId="77777777" w:rsidR="0026273A" w:rsidRDefault="0026273A" w:rsidP="006E1A48">
            <w:pPr>
              <w:spacing w:line="260" w:lineRule="auto"/>
              <w:jc w:val="right"/>
            </w:pPr>
            <w:r>
              <w:rPr>
                <w:rFonts w:ascii="Aptos" w:eastAsia="Aptos" w:hAnsi="Aptos" w:cs="Aptos"/>
                <w:color w:val="000000"/>
                <w:sz w:val="20"/>
                <w:szCs w:val="20"/>
              </w:rPr>
              <w:t>€ 54.500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0A6F55"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1C8C8C9E" w14:textId="77777777" w:rsidTr="006E1A48">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77F092" w14:textId="77777777" w:rsidR="0026273A" w:rsidRDefault="0026273A" w:rsidP="006E1A48">
            <w:pPr>
              <w:spacing w:line="260" w:lineRule="auto"/>
            </w:pPr>
            <w:r>
              <w:rPr>
                <w:rFonts w:ascii="Aptos" w:eastAsia="Aptos" w:hAnsi="Aptos" w:cs="Aptos"/>
                <w:color w:val="000000"/>
                <w:sz w:val="20"/>
                <w:szCs w:val="20"/>
              </w:rPr>
              <w:t>Tempo di rientro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54FB5D" w14:textId="77777777" w:rsidR="0026273A" w:rsidRDefault="0026273A" w:rsidP="006E1A48">
            <w:pPr>
              <w:spacing w:line="260" w:lineRule="auto"/>
              <w:jc w:val="center"/>
            </w:pPr>
            <w:r>
              <w:rPr>
                <w:rFonts w:ascii="Aptos" w:eastAsia="Aptos" w:hAnsi="Aptos" w:cs="Aptos"/>
                <w:color w:val="000000"/>
                <w:sz w:val="20"/>
                <w:szCs w:val="20"/>
              </w:rPr>
              <w:t>~ 17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3BEEF4"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4B147B"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5D86AE" w14:textId="77777777" w:rsidR="0026273A" w:rsidRDefault="0026273A" w:rsidP="006E1A48">
            <w:pPr>
              <w:spacing w:line="260" w:lineRule="auto"/>
              <w:jc w:val="center"/>
            </w:pPr>
            <w:r>
              <w:rPr>
                <w:rFonts w:ascii="Aptos" w:eastAsia="Aptos" w:hAnsi="Aptos" w:cs="Aptos"/>
                <w:color w:val="000000"/>
                <w:sz w:val="20"/>
                <w:szCs w:val="20"/>
              </w:rPr>
              <w:t>~ 11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048C70"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56FB3A7A" w14:textId="77777777" w:rsidR="0026273A" w:rsidRDefault="0026273A" w:rsidP="0026273A">
      <w:pPr>
        <w:spacing w:after="100"/>
      </w:pPr>
    </w:p>
    <w:p w14:paraId="7EFF332F" w14:textId="77777777" w:rsidR="0026273A" w:rsidRDefault="0026273A" w:rsidP="0026273A">
      <w:pPr>
        <w:spacing w:after="120" w:line="300" w:lineRule="auto"/>
        <w:jc w:val="both"/>
      </w:pPr>
      <w:r>
        <w:rPr>
          <w:rFonts w:ascii="Aptos" w:eastAsia="Aptos" w:hAnsi="Aptos" w:cs="Aptos"/>
          <w:sz w:val="22"/>
          <w:szCs w:val="22"/>
        </w:rPr>
        <w:t>Anche nello scenario di performance commerciale più contenuta (9% di aggiudicazione, ovvero circa 2 sole aggiudicazioni su 24 partecipazioni l'anno), lo strumento si ripaga entro il diciassettesimo mese di operatività, con beneficio cumulato a tre anni superiore a €105.000 contro un investimento di €50.000.</w:t>
      </w:r>
    </w:p>
    <w:p w14:paraId="1F5B7C40" w14:textId="77777777" w:rsidR="0026273A" w:rsidRDefault="0026273A" w:rsidP="0026273A">
      <w:pPr>
        <w:pStyle w:val="Titolo2"/>
      </w:pPr>
      <w:proofErr w:type="gramStart"/>
      <w:r>
        <w:rPr>
          <w:rFonts w:ascii="Aptos" w:eastAsia="Aptos" w:hAnsi="Aptos" w:cs="Aptos"/>
          <w:b/>
          <w:bCs/>
          <w:color w:val="1F3864"/>
          <w:sz w:val="26"/>
          <w:szCs w:val="26"/>
        </w:rPr>
        <w:t>5.3  Sintesi</w:t>
      </w:r>
      <w:proofErr w:type="gramEnd"/>
      <w:r>
        <w:rPr>
          <w:rFonts w:ascii="Aptos" w:eastAsia="Aptos" w:hAnsi="Aptos" w:cs="Aptos"/>
          <w:b/>
          <w:bCs/>
          <w:color w:val="1F3864"/>
          <w:sz w:val="26"/>
          <w:szCs w:val="26"/>
        </w:rPr>
        <w:t xml:space="preserve"> della robustezza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70D715A2" w14:textId="77777777" w:rsidTr="006E1A48">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13BA6591" w14:textId="77777777" w:rsidR="0026273A" w:rsidRDefault="0026273A" w:rsidP="006E1A48">
            <w:pPr>
              <w:spacing w:line="300" w:lineRule="auto"/>
            </w:pPr>
            <w:r>
              <w:rPr>
                <w:rFonts w:ascii="Aptos" w:eastAsia="Aptos" w:hAnsi="Aptos" w:cs="Aptos"/>
                <w:b/>
                <w:bCs/>
                <w:color w:val="074F6A"/>
                <w:sz w:val="22"/>
                <w:szCs w:val="22"/>
              </w:rPr>
              <w:t>In nessuno degli scenari di sensibilità analizzati l'investimento si dimostra in perdita o presenta un rientro superiore ai diciassette mesi. La struttura a due componenti garantisce un pavimento di valore consolidato dalla Componente A, mentre la Componente B offre un upside positivo anche in ipotesi di performance commerciali contenute o di importi medi sensibilmente inferiori al valore dichiarato.</w:t>
            </w:r>
          </w:p>
        </w:tc>
      </w:tr>
    </w:tbl>
    <w:p w14:paraId="0CE64576" w14:textId="0BF77455" w:rsidR="0026273A" w:rsidRDefault="0026273A" w:rsidP="0026273A">
      <w:pPr>
        <w:pStyle w:val="Titolo1"/>
      </w:pPr>
      <w:r>
        <w:rPr>
          <w:rFonts w:ascii="Aptos" w:eastAsia="Aptos" w:hAnsi="Aptos" w:cs="Aptos"/>
          <w:b/>
          <w:bCs/>
          <w:color w:val="074F6A"/>
          <w:sz w:val="32"/>
          <w:szCs w:val="32"/>
        </w:rPr>
        <w:lastRenderedPageBreak/>
        <w:t>6. Note metodologiche e disclaimer</w:t>
      </w:r>
    </w:p>
    <w:p w14:paraId="7903657A" w14:textId="77777777" w:rsidR="0026273A" w:rsidRDefault="0026273A" w:rsidP="0026273A">
      <w:pPr>
        <w:pStyle w:val="Titolo2"/>
      </w:pPr>
      <w:proofErr w:type="gramStart"/>
      <w:r>
        <w:rPr>
          <w:rFonts w:ascii="Aptos" w:eastAsia="Aptos" w:hAnsi="Aptos" w:cs="Aptos"/>
          <w:b/>
          <w:bCs/>
          <w:color w:val="1F3864"/>
          <w:sz w:val="26"/>
          <w:szCs w:val="26"/>
        </w:rPr>
        <w:t>6.1  Fonti</w:t>
      </w:r>
      <w:proofErr w:type="gramEnd"/>
      <w:r>
        <w:rPr>
          <w:rFonts w:ascii="Aptos" w:eastAsia="Aptos" w:hAnsi="Aptos" w:cs="Aptos"/>
          <w:b/>
          <w:bCs/>
          <w:color w:val="1F3864"/>
          <w:sz w:val="26"/>
          <w:szCs w:val="26"/>
        </w:rPr>
        <w:t xml:space="preserve"> utilizzate</w:t>
      </w:r>
    </w:p>
    <w:p w14:paraId="12590092"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Relazione Annuale ANAC al Parlamento, anno 2024 (presentata maggio 2025): dati su volume e valore del mercato dei contratti pubblici italiani.</w:t>
      </w:r>
    </w:p>
    <w:p w14:paraId="7B778F44" w14:textId="77777777" w:rsidR="0026273A" w:rsidRDefault="0026273A" w:rsidP="0026273A">
      <w:pPr>
        <w:pStyle w:val="Paragrafoelenco"/>
        <w:numPr>
          <w:ilvl w:val="0"/>
          <w:numId w:val="19"/>
        </w:numPr>
        <w:spacing w:after="80" w:line="280" w:lineRule="auto"/>
        <w:contextualSpacing w:val="0"/>
      </w:pPr>
      <w:proofErr w:type="spellStart"/>
      <w:r>
        <w:rPr>
          <w:rFonts w:ascii="Aptos" w:eastAsia="Aptos" w:hAnsi="Aptos" w:cs="Aptos"/>
          <w:sz w:val="22"/>
          <w:szCs w:val="22"/>
        </w:rPr>
        <w:t>D.Lgs.</w:t>
      </w:r>
      <w:proofErr w:type="spellEnd"/>
      <w:r>
        <w:rPr>
          <w:rFonts w:ascii="Aptos" w:eastAsia="Aptos" w:hAnsi="Aptos" w:cs="Aptos"/>
          <w:sz w:val="22"/>
          <w:szCs w:val="22"/>
        </w:rPr>
        <w:t xml:space="preserve"> 36/2023 — Codice dei Contratti Pubblici, in vigore dal 1° gennaio 2024: regole di affidamento per procedure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e soglie di rilevanza per attestazione SOA.</w:t>
      </w:r>
    </w:p>
    <w:p w14:paraId="34C026AE"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CCNL Edilizia Industria, ultima revisione 2025: tabelle salariali e contribuzioni per profilo apprendista professionalizzante, primo livello.</w:t>
      </w:r>
    </w:p>
    <w:p w14:paraId="4A98A82B"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Tariffa Regione Lazio per le Opere Pubbliche edili e impiantistiche, edizione 2023 (validità prorogata 2024-2025): sezione opere provvisionali e ponteggi.</w:t>
      </w:r>
    </w:p>
    <w:p w14:paraId="5D7853FC" w14:textId="77777777" w:rsidR="0026273A" w:rsidRDefault="0026273A" w:rsidP="0026273A">
      <w:pPr>
        <w:pStyle w:val="Paragrafoelenco"/>
        <w:numPr>
          <w:ilvl w:val="0"/>
          <w:numId w:val="19"/>
        </w:numPr>
        <w:spacing w:after="80" w:line="280" w:lineRule="auto"/>
        <w:contextualSpacing w:val="0"/>
      </w:pPr>
      <w:r>
        <w:rPr>
          <w:rFonts w:ascii="Aptos" w:eastAsia="Aptos" w:hAnsi="Aptos" w:cs="Aptos"/>
          <w:sz w:val="22"/>
          <w:szCs w:val="22"/>
        </w:rPr>
        <w:t xml:space="preserve">Questionario di Discovery HeyAI x </w:t>
      </w:r>
      <w:proofErr w:type="spellStart"/>
      <w:r>
        <w:rPr>
          <w:rFonts w:ascii="Aptos" w:eastAsia="Aptos" w:hAnsi="Aptos" w:cs="Aptos"/>
          <w:sz w:val="22"/>
          <w:szCs w:val="22"/>
        </w:rPr>
        <w:t>Achipont</w:t>
      </w:r>
      <w:proofErr w:type="spellEnd"/>
      <w:r>
        <w:rPr>
          <w:rFonts w:ascii="Aptos" w:eastAsia="Aptos" w:hAnsi="Aptos" w:cs="Aptos"/>
          <w:sz w:val="22"/>
          <w:szCs w:val="22"/>
        </w:rPr>
        <w:t>, aprile 2026: dati cliente su perimetro di servizi, qualificazioni possedute, alternative considerate, margini per categoria di lavorazione.</w:t>
      </w:r>
    </w:p>
    <w:p w14:paraId="6C3AC6A2" w14:textId="77777777" w:rsidR="0026273A" w:rsidRDefault="0026273A" w:rsidP="0026273A">
      <w:pPr>
        <w:pStyle w:val="Titolo2"/>
      </w:pPr>
      <w:proofErr w:type="gramStart"/>
      <w:r>
        <w:rPr>
          <w:rFonts w:ascii="Aptos" w:eastAsia="Aptos" w:hAnsi="Aptos" w:cs="Aptos"/>
          <w:b/>
          <w:bCs/>
          <w:color w:val="1F3864"/>
          <w:sz w:val="26"/>
          <w:szCs w:val="26"/>
        </w:rPr>
        <w:t>6.2  Limiti</w:t>
      </w:r>
      <w:proofErr w:type="gramEnd"/>
      <w:r>
        <w:rPr>
          <w:rFonts w:ascii="Aptos" w:eastAsia="Aptos" w:hAnsi="Aptos" w:cs="Aptos"/>
          <w:b/>
          <w:bCs/>
          <w:color w:val="1F3864"/>
          <w:sz w:val="26"/>
          <w:szCs w:val="26"/>
        </w:rPr>
        <w:t xml:space="preserve"> e </w:t>
      </w:r>
      <w:proofErr w:type="spellStart"/>
      <w:r>
        <w:rPr>
          <w:rFonts w:ascii="Aptos" w:eastAsia="Aptos" w:hAnsi="Aptos" w:cs="Aptos"/>
          <w:b/>
          <w:bCs/>
          <w:color w:val="1F3864"/>
          <w:sz w:val="26"/>
          <w:szCs w:val="26"/>
        </w:rPr>
        <w:t>affinabilità</w:t>
      </w:r>
      <w:proofErr w:type="spellEnd"/>
      <w:r>
        <w:rPr>
          <w:rFonts w:ascii="Aptos" w:eastAsia="Aptos" w:hAnsi="Aptos" w:cs="Aptos"/>
          <w:b/>
          <w:bCs/>
          <w:color w:val="1F3864"/>
          <w:sz w:val="26"/>
          <w:szCs w:val="26"/>
        </w:rPr>
        <w:t xml:space="preserve"> del modello</w:t>
      </w:r>
    </w:p>
    <w:p w14:paraId="25E317C2" w14:textId="77777777" w:rsidR="0026273A" w:rsidRDefault="0026273A" w:rsidP="0026273A">
      <w:pPr>
        <w:spacing w:after="120" w:line="300" w:lineRule="auto"/>
        <w:jc w:val="both"/>
      </w:pPr>
      <w:r>
        <w:rPr>
          <w:rFonts w:ascii="Aptos" w:eastAsia="Aptos" w:hAnsi="Aptos" w:cs="Aptos"/>
          <w:sz w:val="22"/>
          <w:szCs w:val="22"/>
        </w:rPr>
        <w:t>I due parametri operativi a maggiore impatto sul risultato del business case (importo medio commessa e capacità annua di preparazione bandi) sono stati stimati a partire dal profilo Achipont rilevato in fase di discovery (questionario aprile 2026) e da benchmark di settore. Le restanti dimensioni del modello — volume di mercato disponibile, tasso di compatibilità post-filtro AI, tasso di aggiudicazione, margine ponderato — sono ancorate a dati di settore o a parametri retributivi pubblici, e sono state mantenute in range prudenziali. L'analisi di sensibilità mostra come la conclusione qualitativa del business case (investimento in rientro positivo entro i diciassette mesi in tutti gli scenari testati) sia robusta rispetto a variazioni significative dei parametri di incertezza.</w:t>
      </w:r>
    </w:p>
    <w:p w14:paraId="14133E54" w14:textId="31AEEC67" w:rsidR="0026273A" w:rsidRPr="001A1AB3" w:rsidRDefault="0026273A" w:rsidP="0026273A">
      <w:pPr>
        <w:spacing w:after="120" w:line="300" w:lineRule="auto"/>
        <w:jc w:val="both"/>
        <w:rPr>
          <w:rFonts w:ascii="Aptos" w:eastAsia="Aptos" w:hAnsi="Aptos" w:cs="Aptos"/>
          <w:sz w:val="22"/>
          <w:szCs w:val="22"/>
        </w:rPr>
      </w:pPr>
      <w:r>
        <w:rPr>
          <w:rFonts w:ascii="Aptos" w:eastAsia="Aptos" w:hAnsi="Aptos" w:cs="Aptos"/>
          <w:sz w:val="22"/>
          <w:szCs w:val="22"/>
        </w:rPr>
        <w:t xml:space="preserve">Il modello non include eventuali benefici non monetizzati ma rilevanti, quali: il posizionamento competitivo dell'azienda nei confronti di concorrenti privi di strumenti analoghi, la possibilità di entrare strutturalmente in segmenti di mercato pubblico finora non presidiati (committenze fuori area Lazio, opere monumentali su scala nazionale), il valore di apprendimento progressivo del filtro AI sulle preferenze e specializzazioni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 fronte del ritorno futuro, la sezione 4.2 descrive due direttrici di amplificazione (espansione </w:t>
      </w:r>
      <w:proofErr w:type="gramStart"/>
      <w:r>
        <w:rPr>
          <w:rFonts w:ascii="Aptos" w:eastAsia="Aptos" w:hAnsi="Aptos" w:cs="Aptos"/>
          <w:sz w:val="22"/>
          <w:szCs w:val="22"/>
        </w:rPr>
        <w:t>del team</w:t>
      </w:r>
      <w:proofErr w:type="gramEnd"/>
      <w:r>
        <w:rPr>
          <w:rFonts w:ascii="Aptos" w:eastAsia="Aptos" w:hAnsi="Aptos" w:cs="Aptos"/>
          <w:sz w:val="22"/>
          <w:szCs w:val="22"/>
        </w:rPr>
        <w:t xml:space="preserve"> di analisi </w:t>
      </w:r>
      <w:proofErr w:type="spellStart"/>
      <w:r>
        <w:rPr>
          <w:rFonts w:ascii="Aptos" w:eastAsia="Aptos" w:hAnsi="Aptos" w:cs="Aptos"/>
          <w:sz w:val="22"/>
          <w:szCs w:val="22"/>
        </w:rPr>
        <w:t>pre</w:t>
      </w:r>
      <w:proofErr w:type="spellEnd"/>
      <w:r>
        <w:rPr>
          <w:rFonts w:ascii="Aptos" w:eastAsia="Aptos" w:hAnsi="Aptos" w:cs="Aptos"/>
          <w:sz w:val="22"/>
          <w:szCs w:val="22"/>
        </w:rPr>
        <w:t>-gara e attivazione dei moduli evolutivi C</w:t>
      </w:r>
      <w:r w:rsidR="001A1AB3">
        <w:rPr>
          <w:rFonts w:ascii="Aptos" w:eastAsia="Aptos" w:hAnsi="Aptos" w:cs="Aptos"/>
          <w:sz w:val="22"/>
          <w:szCs w:val="22"/>
        </w:rPr>
        <w:t xml:space="preserve"> </w:t>
      </w:r>
      <w:r>
        <w:rPr>
          <w:rFonts w:ascii="Aptos" w:eastAsia="Aptos" w:hAnsi="Aptos" w:cs="Aptos"/>
          <w:sz w:val="22"/>
          <w:szCs w:val="22"/>
        </w:rPr>
        <w:t>e D in Fase 2) che agirebbero direttamente sul vincolo di capacità annua, incrementando il margine generato dalla Componente B.</w:t>
      </w:r>
    </w:p>
    <w:p w14:paraId="414ACF9E" w14:textId="77777777" w:rsidR="0026273A" w:rsidRDefault="0026273A" w:rsidP="0026273A">
      <w:pPr>
        <w:pStyle w:val="Titolo2"/>
      </w:pPr>
      <w:proofErr w:type="gramStart"/>
      <w:r>
        <w:rPr>
          <w:rFonts w:ascii="Aptos" w:eastAsia="Aptos" w:hAnsi="Aptos" w:cs="Aptos"/>
          <w:b/>
          <w:bCs/>
          <w:color w:val="1F3864"/>
          <w:sz w:val="26"/>
          <w:szCs w:val="26"/>
        </w:rPr>
        <w:t>6.3  Validità</w:t>
      </w:r>
      <w:proofErr w:type="gramEnd"/>
      <w:r>
        <w:rPr>
          <w:rFonts w:ascii="Aptos" w:eastAsia="Aptos" w:hAnsi="Aptos" w:cs="Aptos"/>
          <w:b/>
          <w:bCs/>
          <w:color w:val="1F3864"/>
          <w:sz w:val="26"/>
          <w:szCs w:val="26"/>
        </w:rPr>
        <w:t xml:space="preserve"> del documento</w:t>
      </w:r>
    </w:p>
    <w:p w14:paraId="3301BC9F" w14:textId="45AC4F7F" w:rsidR="0026273A" w:rsidRPr="00601A47" w:rsidRDefault="0026273A" w:rsidP="001A1AB3">
      <w:pPr>
        <w:spacing w:after="120" w:line="300" w:lineRule="auto"/>
        <w:jc w:val="both"/>
      </w:pPr>
      <w:r>
        <w:rPr>
          <w:rFonts w:ascii="Aptos" w:eastAsia="Aptos" w:hAnsi="Aptos" w:cs="Aptos"/>
          <w:sz w:val="22"/>
          <w:szCs w:val="22"/>
        </w:rPr>
        <w:t>Il presente business case è parte integrante della proposta tecnico-economica HeyAI per il progetto di piattaforma di ricerca automatizzata di opportunità pubbliche. I valori indicati hanno carattere di stima informativa e non costituiscono garanzia di risultato. La validità del documento è coerente con quella della proposta tecnico-economica di riferimento.</w:t>
      </w:r>
    </w:p>
    <w:sectPr w:rsidR="0026273A" w:rsidRPr="00601A47">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742D7" w14:textId="77777777" w:rsidR="00912E7D" w:rsidRDefault="00912E7D" w:rsidP="00830B01">
      <w:r>
        <w:separator/>
      </w:r>
    </w:p>
  </w:endnote>
  <w:endnote w:type="continuationSeparator" w:id="0">
    <w:p w14:paraId="2905E3E8" w14:textId="77777777" w:rsidR="00912E7D" w:rsidRDefault="00912E7D"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A6C5"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4558CFB8" wp14:editId="7B25A8BF">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5598B01A" w14:textId="77777777" w:rsidR="006447B6" w:rsidRDefault="006447B6" w:rsidP="006447B6">
    <w:pPr>
      <w:pStyle w:val="Pidipagina"/>
    </w:pPr>
  </w:p>
  <w:p w14:paraId="5DA8BBCC"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06CD" w14:textId="77777777" w:rsidR="00912E7D" w:rsidRDefault="00912E7D" w:rsidP="00830B01">
      <w:r>
        <w:separator/>
      </w:r>
    </w:p>
  </w:footnote>
  <w:footnote w:type="continuationSeparator" w:id="0">
    <w:p w14:paraId="7924B3FA" w14:textId="77777777" w:rsidR="00912E7D" w:rsidRDefault="00912E7D" w:rsidP="00830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BE"/>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621DE3"/>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22496E"/>
    <w:multiLevelType w:val="multilevel"/>
    <w:tmpl w:val="E3A4C408"/>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7CE7E4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A030A0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A6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A4B12A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00A79F8"/>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70370D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D9635E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E165D7F"/>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6957A3"/>
    <w:multiLevelType w:val="hybridMultilevel"/>
    <w:tmpl w:val="A6DCE6FC"/>
    <w:lvl w:ilvl="0" w:tplc="EC18FDFE">
      <w:start w:val="1"/>
      <w:numFmt w:val="bullet"/>
      <w:lvlText w:val="•"/>
      <w:lvlJc w:val="left"/>
      <w:pPr>
        <w:ind w:left="720" w:hanging="360"/>
      </w:pPr>
    </w:lvl>
    <w:lvl w:ilvl="1" w:tplc="9132C432">
      <w:numFmt w:val="decimal"/>
      <w:lvlText w:val=""/>
      <w:lvlJc w:val="left"/>
    </w:lvl>
    <w:lvl w:ilvl="2" w:tplc="44585496">
      <w:numFmt w:val="decimal"/>
      <w:lvlText w:val=""/>
      <w:lvlJc w:val="left"/>
    </w:lvl>
    <w:lvl w:ilvl="3" w:tplc="75163956">
      <w:numFmt w:val="decimal"/>
      <w:lvlText w:val=""/>
      <w:lvlJc w:val="left"/>
    </w:lvl>
    <w:lvl w:ilvl="4" w:tplc="28943864">
      <w:numFmt w:val="decimal"/>
      <w:lvlText w:val=""/>
      <w:lvlJc w:val="left"/>
    </w:lvl>
    <w:lvl w:ilvl="5" w:tplc="9F2E1908">
      <w:numFmt w:val="decimal"/>
      <w:lvlText w:val=""/>
      <w:lvlJc w:val="left"/>
    </w:lvl>
    <w:lvl w:ilvl="6" w:tplc="9D9E549E">
      <w:numFmt w:val="decimal"/>
      <w:lvlText w:val=""/>
      <w:lvlJc w:val="left"/>
    </w:lvl>
    <w:lvl w:ilvl="7" w:tplc="B5A4C564">
      <w:numFmt w:val="decimal"/>
      <w:lvlText w:val=""/>
      <w:lvlJc w:val="left"/>
    </w:lvl>
    <w:lvl w:ilvl="8" w:tplc="4A98165C">
      <w:numFmt w:val="decimal"/>
      <w:lvlText w:val=""/>
      <w:lvlJc w:val="left"/>
    </w:lvl>
  </w:abstractNum>
  <w:abstractNum w:abstractNumId="14" w15:restartNumberingAfterBreak="0">
    <w:nsid w:val="61E42DB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C3F92"/>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76A97D18"/>
    <w:multiLevelType w:val="multilevel"/>
    <w:tmpl w:val="CFE419A4"/>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115170926">
    <w:abstractNumId w:val="17"/>
  </w:num>
  <w:num w:numId="2" w16cid:durableId="782958710">
    <w:abstractNumId w:val="5"/>
  </w:num>
  <w:num w:numId="3" w16cid:durableId="447168904">
    <w:abstractNumId w:val="15"/>
  </w:num>
  <w:num w:numId="4" w16cid:durableId="1314141019">
    <w:abstractNumId w:val="12"/>
  </w:num>
  <w:num w:numId="5" w16cid:durableId="616371569">
    <w:abstractNumId w:val="7"/>
  </w:num>
  <w:num w:numId="6" w16cid:durableId="999887974">
    <w:abstractNumId w:val="9"/>
  </w:num>
  <w:num w:numId="7" w16cid:durableId="257372401">
    <w:abstractNumId w:val="8"/>
  </w:num>
  <w:num w:numId="8" w16cid:durableId="1069957941">
    <w:abstractNumId w:val="2"/>
  </w:num>
  <w:num w:numId="9" w16cid:durableId="1915704310">
    <w:abstractNumId w:val="10"/>
  </w:num>
  <w:num w:numId="10" w16cid:durableId="366755974">
    <w:abstractNumId w:val="1"/>
  </w:num>
  <w:num w:numId="11" w16cid:durableId="1231424632">
    <w:abstractNumId w:val="0"/>
  </w:num>
  <w:num w:numId="12" w16cid:durableId="366296223">
    <w:abstractNumId w:val="11"/>
  </w:num>
  <w:num w:numId="13" w16cid:durableId="1215964481">
    <w:abstractNumId w:val="18"/>
  </w:num>
  <w:num w:numId="14" w16cid:durableId="1751582795">
    <w:abstractNumId w:val="16"/>
  </w:num>
  <w:num w:numId="15" w16cid:durableId="1314721679">
    <w:abstractNumId w:val="4"/>
  </w:num>
  <w:num w:numId="16" w16cid:durableId="450132153">
    <w:abstractNumId w:val="3"/>
  </w:num>
  <w:num w:numId="17" w16cid:durableId="435440663">
    <w:abstractNumId w:val="14"/>
  </w:num>
  <w:num w:numId="18" w16cid:durableId="1006634532">
    <w:abstractNumId w:val="6"/>
  </w:num>
  <w:num w:numId="19" w16cid:durableId="9750668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9D"/>
    <w:rsid w:val="00006565"/>
    <w:rsid w:val="001A1AB3"/>
    <w:rsid w:val="0026273A"/>
    <w:rsid w:val="0027454E"/>
    <w:rsid w:val="00303AB2"/>
    <w:rsid w:val="0034799D"/>
    <w:rsid w:val="003E14AD"/>
    <w:rsid w:val="00406E09"/>
    <w:rsid w:val="00601A47"/>
    <w:rsid w:val="006447B6"/>
    <w:rsid w:val="0080750C"/>
    <w:rsid w:val="00830B01"/>
    <w:rsid w:val="00902923"/>
    <w:rsid w:val="00912E7D"/>
    <w:rsid w:val="00A424D5"/>
    <w:rsid w:val="00C479AA"/>
    <w:rsid w:val="00D13AD0"/>
    <w:rsid w:val="00D8761B"/>
    <w:rsid w:val="00DF4508"/>
    <w:rsid w:val="00F05B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46EB"/>
  <w15:chartTrackingRefBased/>
  <w15:docId w15:val="{C67A18D2-BADF-4249-A7A8-8B78F2D8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761B"/>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table" w:styleId="Grigliatabella">
    <w:name w:val="Table Grid"/>
    <w:basedOn w:val="Tabellanormale"/>
    <w:uiPriority w:val="39"/>
    <w:rsid w:val="00D87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Downloads\Carta%20Intestata%20HEYAI%20(3).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6F1640DDB8C42A6212071C7C4A940" ma:contentTypeVersion="12" ma:contentTypeDescription="Create a new document." ma:contentTypeScope="" ma:versionID="b145bfdf41c3ef02c3af4642437cf231">
  <xsd:schema xmlns:xsd="http://www.w3.org/2001/XMLSchema" xmlns:xs="http://www.w3.org/2001/XMLSchema" xmlns:p="http://schemas.microsoft.com/office/2006/metadata/properties" xmlns:ns2="8c0bdee3-8a66-4f0c-9778-92cc7c44f6dd" xmlns:ns3="99c05a7c-b170-4a8f-b98b-80a4ef490bae" targetNamespace="http://schemas.microsoft.com/office/2006/metadata/properties" ma:root="true" ma:fieldsID="15a1679b2f9020e9350c8979d1b617bf" ns2:_="" ns3:_="">
    <xsd:import namespace="8c0bdee3-8a66-4f0c-9778-92cc7c44f6dd"/>
    <xsd:import namespace="99c05a7c-b170-4a8f-b98b-80a4ef490b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bdee3-8a66-4f0c-9778-92cc7c44f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caf32a-1145-4457-bfff-ec1682b7e3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c05a7c-b170-4a8f-b98b-80a4ef490b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258b53-69d1-42b5-b2d2-ae40d4ca92db}" ma:internalName="TaxCatchAll" ma:showField="CatchAllData" ma:web="99c05a7c-b170-4a8f-b98b-80a4ef490b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c05a7c-b170-4a8f-b98b-80a4ef490bae" xsi:nil="true"/>
    <lcf76f155ced4ddcb4097134ff3c332f xmlns="8c0bdee3-8a66-4f0c-9778-92cc7c44f6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2777A1-8DA3-4177-AE9F-4E8FFD066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bdee3-8a66-4f0c-9778-92cc7c44f6dd"/>
    <ds:schemaRef ds:uri="99c05a7c-b170-4a8f-b98b-80a4ef490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9160DD-68D1-4A8F-9400-98633DE1D2AC}">
  <ds:schemaRefs>
    <ds:schemaRef ds:uri="http://schemas.microsoft.com/sharepoint/v3/contenttype/forms"/>
  </ds:schemaRefs>
</ds:datastoreItem>
</file>

<file path=customXml/itemProps3.xml><?xml version="1.0" encoding="utf-8"?>
<ds:datastoreItem xmlns:ds="http://schemas.openxmlformats.org/officeDocument/2006/customXml" ds:itemID="{0EBC1FC9-9731-44E6-8B8B-F28508ABDEB4}">
  <ds:schemaRefs>
    <ds:schemaRef ds:uri="http://schemas.microsoft.com/office/2006/metadata/properties"/>
    <ds:schemaRef ds:uri="http://schemas.microsoft.com/office/infopath/2007/PartnerControls"/>
    <ds:schemaRef ds:uri="99c05a7c-b170-4a8f-b98b-80a4ef490bae"/>
    <ds:schemaRef ds:uri="8c0bdee3-8a66-4f0c-9778-92cc7c44f6dd"/>
  </ds:schemaRefs>
</ds:datastoreItem>
</file>

<file path=docProps/app.xml><?xml version="1.0" encoding="utf-8"?>
<Properties xmlns="http://schemas.openxmlformats.org/officeDocument/2006/extended-properties" xmlns:vt="http://schemas.openxmlformats.org/officeDocument/2006/docPropsVTypes">
  <Template>C:\Users\andre\Downloads\Carta Intestata HEYAI (3).dotx</Template>
  <TotalTime>6</TotalTime>
  <Pages>10</Pages>
  <Words>3086</Words>
  <Characters>17591</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Pazienza</dc:creator>
  <cp:keywords/>
  <dc:description/>
  <cp:lastModifiedBy>Carlo Sanvoisin</cp:lastModifiedBy>
  <cp:revision>5</cp:revision>
  <dcterms:created xsi:type="dcterms:W3CDTF">2026-04-13T08:57:00Z</dcterms:created>
  <dcterms:modified xsi:type="dcterms:W3CDTF">2026-05-21T17:28:00Z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0x010100D9C6F1640DDB8C42A6212071C7C4A940</vt:lpwstr>
  </property>
</Properties>
</file>