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80"/>
      </w:pPr>
      <w:r>
        <w:rPr>
          <w:rFonts w:ascii="Aptos" w:hAnsi="Aptos" w:cs="Aptos" w:eastAsia="Aptos"/>
          <w:b/>
          <w:bCs/>
          <w:sz w:val="40"/>
          <w:szCs w:val="40"/>
          <w:color w:val="2B8C96"/>
        </w:rPr>
        <w:t xml:space="preserve">Proposta di Investimento — Achipont AI</w:t>
      </w:r>
    </w:p>
    <w:p>
      <w:pPr>
        <w:spacing w:after="300"/>
      </w:pPr>
      <w:r>
        <w:rPr>
          <w:rFonts w:ascii="Aptos" w:hAnsi="Aptos" w:cs="Aptos" w:eastAsia="Aptos"/>
          <w:i/>
          <w:iCs/>
          <w:sz w:val="22"/>
          <w:szCs w:val="22"/>
          <w:color w:val="606060"/>
        </w:rPr>
        <w:t xml:space="preserve">Motore AI di Scouting Bandi e Gare Pubbliche — Maggio 2026</w:t>
      </w:r>
    </w:p>
    <w:p>
      <w:pPr>
        <w:pStyle w:val="Heading 1"/>
        <w:spacing w:before="200" w:after="200"/>
      </w:pPr>
      <w:r>
        <w:rPr>
          <w:rFonts w:ascii="Aptos" w:hAnsi="Aptos" w:cs="Aptos" w:eastAsia="Aptos"/>
          <w:b/>
          <w:bCs/>
          <w:sz w:val="32"/>
          <w:szCs w:val="32"/>
          <w:color w:val="000000"/>
        </w:rPr>
        <w:t xml:space="preserve">1. Oggetto della Proposta</w:t>
      </w:r>
    </w:p>
    <w:p>
      <w:pPr>
        <w:spacing w:after="120"/>
      </w:pPr>
      <w:r>
        <w:rPr>
          <w:rFonts w:ascii="Aptos" w:hAnsi="Aptos" w:cs="Aptos" w:eastAsia="Aptos"/>
          <w:sz w:val="22"/>
          <w:szCs w:val="22"/>
          <w:color w:val="1A1A1A"/>
        </w:rPr>
        <w:t xml:space="preserve">La presente proposta riguarda lo sviluppo di una piattaforma di ricerca automatizzata di opportunità pubbliche dedicata ad Achipont. La soluzione identifica con continuità le gare, i bandi e gli affidamenti pubblici italiani compatibili con il profilo specifico di Achipont, presentandoli ordinati per rilevanza con un punteggio di compatibilità e una motivazione testuale per ciascuna opportunità.</w:t>
      </w:r>
    </w:p>
    <w:p>
      <w:pPr>
        <w:spacing w:after="120"/>
      </w:pPr>
      <w:r>
        <w:rPr>
          <w:rFonts w:ascii="Aptos" w:hAnsi="Aptos" w:cs="Aptos" w:eastAsia="Aptos"/>
          <w:sz w:val="22"/>
          <w:szCs w:val="22"/>
          <w:color w:val="1A1A1A"/>
        </w:rPr>
        <w:t xml:space="preserve">Lo strumento non è un aggregatore generico di bandi: è un agente AI configurato sul profilo dell'azienda — servizi erogati, qualificazioni possedute, geografia, soglie economiche — che ogni giorno raccoglie, filtra e seleziona soltanto le opportunità in linea con l'operatività Achipont.</w:t>
      </w:r>
    </w:p>
    <w:p>
      <w:pPr>
        <w:spacing w:after="120"/>
      </w:pPr>
      <w:r>
        <w:rPr>
          <w:rFonts w:ascii="Aptos" w:hAnsi="Aptos" w:cs="Aptos" w:eastAsia="Aptos"/>
          <w:sz w:val="22"/>
          <w:szCs w:val="22"/>
          <w:color w:val="1A1A1A"/>
        </w:rPr>
        <w:t xml:space="preserve">Il progetto è articolato in due fasi: un MVP (Moduli A + B più interfaccia utente minima) operativo entro 12 settimane dalla firma, e una Fase 2 evolutiva (Moduli C + D più ampliamenti) attivabile dopo la validazione del valore generato dall'MVP.</w:t>
      </w:r>
    </w:p>
    <w:p>
      <w:pPr>
        <w:spacing w:after="120"/>
      </w:pPr>
      <w:r>
        <w:rPr>
          <w:rFonts w:ascii="Aptos" w:hAnsi="Aptos" w:cs="Aptos" w:eastAsia="Aptos"/>
          <w:sz w:val="22"/>
          <w:szCs w:val="22"/>
          <w:color w:val="1A1A1A"/>
        </w:rPr>
        <w:t xml:space="preserve">Per il dettaglio funzionale completo dei requisiti si rimanda al Requirement Log allegato (Achipont_RequirementLog_v2), che costituisce parte integrante dell'offerta. La proiezione economica completa — cost avoidance, revenue uplift, payback e analisi di sensitivity — è oggetto del Business Case allegato (HeyAI_Achipont_BusinessCase_v1), parte integrante dell'offerta.</w:t>
      </w:r>
    </w:p>
    <w:p>
      <w:pPr>
        <w:pStyle w:val="Heading 1"/>
        <w:spacing w:before="200" w:after="200"/>
      </w:pPr>
      <w:r>
        <w:rPr>
          <w:rFonts w:ascii="Aptos" w:hAnsi="Aptos" w:cs="Aptos" w:eastAsia="Aptos"/>
          <w:b/>
          <w:bCs/>
          <w:sz w:val="32"/>
          <w:szCs w:val="32"/>
          <w:color w:val="000000"/>
        </w:rPr>
        <w:t xml:space="preserve">2. Aree di Business Coperte e Proposta di Valore</w:t>
      </w:r>
    </w:p>
    <w:p>
      <w:pPr>
        <w:spacing w:after="120"/>
      </w:pPr>
      <w:r>
        <w:rPr>
          <w:rFonts w:ascii="Aptos" w:hAnsi="Aptos" w:cs="Aptos" w:eastAsia="Aptos"/>
          <w:sz w:val="22"/>
          <w:szCs w:val="22"/>
          <w:color w:val="1A1A1A"/>
        </w:rPr>
        <w:t xml:space="preserve">Achipont è un'impresa romana attiva dal 1999, specializzata in montaggio, smontaggio, noleggio e vendita di ponteggi (telai misti tubi-giunti e multidirezionali), montacarichi, ponteggi autosollevanti bicolonna e monoblocchi/container, in espansione verso piccoli interventi di ristrutturazione, manutenzione e impiantistica. L'attività si svolge prevalentemente in Lazio, con estensione su Abruzzo, Marche, Toscana ed Emilia Romagna e copertura nazionale per le commesse rilevanti.</w:t>
      </w:r>
    </w:p>
    <w:p>
      <w:pPr>
        <w:spacing w:after="120"/>
      </w:pPr>
      <w:r>
        <w:rPr>
          <w:rFonts w:ascii="Aptos" w:hAnsi="Aptos" w:cs="Aptos" w:eastAsia="Aptos"/>
          <w:sz w:val="22"/>
          <w:szCs w:val="22"/>
          <w:color w:val="1A1A1A"/>
        </w:rPr>
        <w:t xml:space="preserve">Oggi Achipont è iscritta a 17 portali e albi fornitori ma non dedica tempo strutturato allo scouting: nessuno di questi canali sta generando un flusso continuativo di opportunità. La consapevolezza dell'azienda è chiara: una porzione significativa del mercato pubblico in cui si potrebbe operare passa da canali che le risorse interne non riescono a presidiare con continuità.</w:t>
      </w:r>
    </w:p>
    <w:p>
      <w:pPr>
        <w:spacing w:after="120"/>
      </w:pPr>
      <w:r>
        <w:rPr>
          <w:rFonts w:ascii="Aptos" w:hAnsi="Aptos" w:cs="Aptos" w:eastAsia="Aptos"/>
          <w:sz w:val="22"/>
          <w:szCs w:val="22"/>
          <w:color w:val="1A1A1A"/>
        </w:rPr>
        <w:t xml:space="preserve">La soluzione proposta abilita un nuovo processo: un canale commerciale strutturato e automatizzato sul mercato pubblico italiano, che oggi non è presidiato in modo sistematico.</w:t>
      </w:r>
    </w:p>
    <w:p>
      <w:pPr>
        <w:spacing w:before="200" w:after="120"/>
      </w:pPr>
      <w:r>
        <w:rPr>
          <w:rFonts w:ascii="Aptos" w:hAnsi="Aptos" w:cs="Aptos" w:eastAsia="Aptos"/>
          <w:b/>
          <w:bCs/>
          <w:sz w:val="24"/>
          <w:szCs w:val="24"/>
          <w:color w:val="000000"/>
        </w:rPr>
        <w:t xml:space="preserve">2.1 Tre dimensioni di valore</w:t>
      </w:r>
    </w:p>
    <w:p>
      <w:pPr>
        <w:spacing w:after="120"/>
      </w:pPr>
      <w:r>
        <w:rPr>
          <w:rFonts w:ascii="Aptos" w:hAnsi="Aptos" w:cs="Aptos" w:eastAsia="Aptos"/>
          <w:sz w:val="22"/>
          <w:szCs w:val="22"/>
          <w:color w:val="1A1A1A"/>
        </w:rPr>
        <w:t xml:space="preserve">Copertura. Achipont accede all'intero mercato pubblico italiano (oltre 30.000 stazioni appaltanti per obbligo di legge), non solo ai 17 portali presidiati oggi.</w:t>
      </w:r>
    </w:p>
    <w:p>
      <w:pPr>
        <w:spacing w:after="120"/>
      </w:pPr>
      <w:r>
        <w:rPr>
          <w:rFonts w:ascii="Aptos" w:hAnsi="Aptos" w:cs="Aptos" w:eastAsia="Aptos"/>
          <w:sz w:val="22"/>
          <w:szCs w:val="22"/>
          <w:color w:val="1A1A1A"/>
        </w:rPr>
        <w:t xml:space="preserve">Selezione qualitativa. L'AI presenta soltanto le opportunità realmente compatibili con il profilo Achipont, con uno score 0-100 e la motivazione del punteggio. Il tempo del cliente si concentra solo sui bandi rilevanti.</w:t>
      </w:r>
    </w:p>
    <w:p>
      <w:pPr>
        <w:spacing w:after="120"/>
      </w:pPr>
      <w:r>
        <w:rPr>
          <w:rFonts w:ascii="Aptos" w:hAnsi="Aptos" w:cs="Aptos" w:eastAsia="Aptos"/>
          <w:sz w:val="22"/>
          <w:szCs w:val="22"/>
          <w:color w:val="1A1A1A"/>
        </w:rPr>
        <w:t xml:space="preserve">Operatività semplice. Interfaccia consultabile in autonomia, senza dover monitorare manualmente portali e albi. Configurazione del profilo aziendale modificabile dall'utente in qualsiasi momento.</w:t>
      </w:r>
    </w:p>
    <w:p>
      <w:pPr>
        <w:spacing w:before="200" w:after="120"/>
      </w:pPr>
      <w:r>
        <w:rPr>
          <w:rFonts w:ascii="Aptos" w:hAnsi="Aptos" w:cs="Aptos" w:eastAsia="Aptos"/>
          <w:b/>
          <w:bCs/>
          <w:sz w:val="24"/>
          <w:szCs w:val="24"/>
          <w:color w:val="000000"/>
        </w:rPr>
        <w:t xml:space="preserve">2.2 Valore atteso vs alternativa</w:t>
      </w:r>
    </w:p>
    <w:p>
      <w:pPr>
        <w:spacing w:after="120"/>
      </w:pPr>
      <w:r>
        <w:rPr>
          <w:rFonts w:ascii="Aptos" w:hAnsi="Aptos" w:cs="Aptos" w:eastAsia="Aptos"/>
          <w:sz w:val="22"/>
          <w:szCs w:val="22"/>
          <w:color w:val="1A1A1A"/>
        </w:rPr>
        <w:t xml:space="preserve">Sulla base dei dati operativi raccolti tramite il Questionario di Discovery, Achipont opera con margini medi del 20-30% sui ponteggi standard, 20% sui pronti interventi, 10-20% sulle opere di pregio e sovrintendenze, 20-30% sui monoblocchi e container. Il margine medio ponderato di riferimento per il segmento di mercato target si colloca intorno al 21%.</w:t>
      </w:r>
    </w:p>
    <w:p>
      <w:pPr>
        <w:spacing w:after="120"/>
      </w:pPr>
      <w:r>
        <w:rPr>
          <w:rFonts w:ascii="Aptos" w:hAnsi="Aptos" w:cs="Aptos" w:eastAsia="Aptos"/>
          <w:sz w:val="22"/>
          <w:szCs w:val="22"/>
          <w:color w:val="1A1A1A"/>
        </w:rPr>
        <w:t xml:space="preserve">Il valore atteso della soluzione si articola su due componenti complementari, dettagliate nel Business Case allegato. La prima è il costo evitato per la risorsa interna dedicata allo scouting bandi che Achipont ha indicato come alternativa nel Questionario di Discovery: un apprendista profilo CCNL Edilizia primo livello, con costo aziendale annuo di circa €23.000 (€17.500 RAL più contributi INPS, accantonamento TFR, INAIL e Cassa Edile). La seconda è il margine incrementale generato dall'aggiudicazione di nuovi contratti pubblici intercettati dallo strumento, che nello scenario base del Business Case vale circa €25.200 annui (4 aggiudicazioni a €30.000 medi al 21% di margine).</w:t>
      </w:r>
    </w:p>
    <w:tbl>
      <w:tblPr>
        <w:tblW w:w="9026" w:type="dxa"/>
        <w:tblBorders>
          <w:top w:val="single" w:sz="4" w:space="0" w:color="2B8C96"/>
          <w:left w:val="single" w:sz="4" w:space="0" w:color="2B8C96"/>
          <w:bottom w:val="single" w:sz="4" w:space="0" w:color="2B8C96"/>
          <w:right w:val="single" w:sz="4" w:space="0" w:color="2B8C96"/>
        </w:tblBorders>
      </w:tblPr>
      <w:tblGrid>
        <w:gridCol w:w="9026"/>
      </w:tblGrid>
      <w:tr>
        <w:tc>
          <w:tcPr>
            <w:tcW w:w="9026" w:type="dxa"/>
            <w:shd w:val="clear" w:color="auto" w:fill="E8F4F6"/>
            <w:tcMar>
              <w:top w:w="120" w:type="dxa"/>
              <w:bottom w:w="120" w:type="dxa"/>
              <w:left w:w="200" w:type="dxa"/>
              <w:right w:w="200" w:type="dxa"/>
            </w:tcMar>
          </w:tcPr>
          <w:p>
            <w:pPr>
              <w:spacing w:after="80"/>
            </w:pPr>
            <w:r>
              <w:rPr>
                <w:rFonts w:ascii="Aptos" w:hAnsi="Aptos" w:cs="Aptos" w:eastAsia="Aptos"/>
                <w:b/>
                <w:bCs/>
                <w:sz w:val="22"/>
                <w:szCs w:val="22"/>
                <w:color w:val="2B8C96"/>
              </w:rPr>
              <w:t xml:space="preserve">Beneficio annuo dello scenario base: circa €48.000 — payback ~12 mesi</w:t>
            </w:r>
          </w:p>
          <w:p>
            <w:pPr>
              <w:spacing w:after="60"/>
            </w:pPr>
            <w:r>
              <w:rPr>
                <w:rFonts w:ascii="Aptos" w:hAnsi="Aptos" w:cs="Aptos" w:eastAsia="Aptos"/>
                <w:sz w:val="22"/>
                <w:szCs w:val="22"/>
                <w:color w:val="1A1A1A"/>
              </w:rPr>
              <w:t xml:space="preserve">I due contributi cumulati portano il beneficio annuo dello scenario base a circa €48.000, con payback dell'investimento intorno ai dodici mesi.</w:t>
            </w:r>
          </w:p>
          <w:p>
            <w:pPr>
              <w:spacing w:after="60"/>
            </w:pPr>
            <w:r>
              <w:rPr>
                <w:rFonts w:ascii="Aptos" w:hAnsi="Aptos" w:cs="Aptos" w:eastAsia="Aptos"/>
                <w:sz w:val="22"/>
                <w:szCs w:val="22"/>
                <w:color w:val="1A1A1A"/>
              </w:rPr>
              <w:t xml:space="preserve">La sensitivity analysis nel Business Case mostra che, anche negli scenari più conservativi testati (importo medio €20.000 oppure tasso di aggiudicazione 8%), il payback resta entro il diciassettesimo mese di operatività.</w:t>
            </w:r>
          </w:p>
          <w:p>
            <w:pPr>
              <w:spacing w:after="60"/>
            </w:pPr>
            <w:r>
              <w:rPr>
                <w:rFonts w:ascii="Aptos" w:hAnsi="Aptos" w:cs="Aptos" w:eastAsia="Aptos"/>
                <w:sz w:val="22"/>
                <w:szCs w:val="22"/>
                <w:color w:val="1A1A1A"/>
              </w:rPr>
              <w:t xml:space="preserve">La sola componente di cost avoidance, indipendente dai risultati commerciali, ripaga l'investimento in circa 26 mesi anche in totale assenza di nuove aggiudicazioni.</w:t>
            </w:r>
          </w:p>
        </w:tc>
      </w:tr>
    </w:tbl>
    <w:p>
      <w:pPr>
        <w:spacing w:after="120"/>
      </w:pPr>
    </w:p>
    <w:p>
      <w:pPr>
        <w:pStyle w:val="Heading 1"/>
        <w:spacing w:before="200" w:after="200"/>
      </w:pPr>
      <w:r>
        <w:rPr>
          <w:rFonts w:ascii="Aptos" w:hAnsi="Aptos" w:cs="Aptos" w:eastAsia="Aptos"/>
          <w:b/>
          <w:bCs/>
          <w:sz w:val="32"/>
          <w:szCs w:val="32"/>
          <w:color w:val="000000"/>
        </w:rPr>
        <w:t xml:space="preserve">3. Soluzione Tecnica</w:t>
      </w:r>
    </w:p>
    <w:p>
      <w:pPr>
        <w:spacing w:after="120"/>
      </w:pPr>
      <w:r>
        <w:rPr>
          <w:rFonts w:ascii="Aptos" w:hAnsi="Aptos" w:cs="Aptos" w:eastAsia="Aptos"/>
          <w:sz w:val="22"/>
          <w:szCs w:val="22"/>
          <w:color w:val="1A1A1A"/>
        </w:rPr>
        <w:t xml:space="preserve">L'architettura della soluzione si fonda su una singola integrazione dati primaria — la Banca Dati Nazionale dei Contratti Pubblici (BDNCP) di ANAC, accessibile via API ufficiali pubbliche e gratuite — che, per obbligo di legge dal 2024, contiene tutti i contratti pubblici italiani sopra €40.000 di qualsiasi stazione appaltante. Sopra questa base dati opera un motore di intelligenza artificiale per il matching semantico con il profilo Achipont e un'interfaccia web per la consultazione.</w:t>
      </w:r>
    </w:p>
    <w:p>
      <w:pPr>
        <w:spacing w:before="200" w:after="120"/>
      </w:pPr>
      <w:r>
        <w:rPr>
          <w:rFonts w:ascii="Aptos" w:hAnsi="Aptos" w:cs="Aptos" w:eastAsia="Aptos"/>
          <w:b/>
          <w:bCs/>
          <w:sz w:val="24"/>
          <w:szCs w:val="24"/>
          <w:color w:val="000000"/>
        </w:rPr>
        <w:t xml:space="preserve">3.1 Componenti funzionali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00"/>
        <w:gridCol w:w="5826"/>
      </w:tblGrid>
      <w:tr>
        <w:trPr>
          <w:tblHeader/>
        </w:trPr>
        <w:tc>
          <w:tcPr>
            <w:tcW w:w="3200"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Componente</w:t>
            </w:r>
          </w:p>
        </w:tc>
        <w:tc>
          <w:tcPr>
            <w:tcW w:w="5826"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Descrizione</w:t>
            </w:r>
          </w:p>
        </w:tc>
      </w:tr>
      <w:tr>
        <w:tc>
          <w:tcPr>
            <w:tcW w:w="3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Modulo A — Raccolta e aggregazione</w:t>
            </w:r>
          </w:p>
        </w:tc>
        <w:tc>
          <w:tcPr>
            <w:tcW w:w="5826" w:type="dxa"/>
            <w:tcMar>
              <w:top w:w="120" w:type="dxa"/>
              <w:bottom w:w="120" w:type="dxa"/>
              <w:left w:w="120" w:type="dxa"/>
              <w:right w:w="120" w:type="dxa"/>
            </w:tcMar>
          </w:tcPr>
          <w:p>
            <w:pPr>
              <w:spacing w:after="60"/>
            </w:pPr>
            <w:r>
              <w:rPr>
                <w:rFonts w:ascii="Aptos" w:hAnsi="Aptos" w:cs="Aptos" w:eastAsia="Aptos"/>
                <w:sz w:val="22"/>
                <w:szCs w:val="22"/>
                <w:color w:val="1A1A1A"/>
              </w:rPr>
              <w:t xml:space="preserve">Integrazione con le API ufficiali pubbliche e gratuite di BDNCP/ANAC, con aggiornamento giornaliero dei bandi e gestione della deduplicazione.</w:t>
            </w:r>
          </w:p>
        </w:tc>
      </w:tr>
      <w:tr>
        <w:tc>
          <w:tcPr>
            <w:tcW w:w="3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Modulo B — Filtraggio e scoring</w:t>
            </w:r>
          </w:p>
        </w:tc>
        <w:tc>
          <w:tcPr>
            <w:tcW w:w="5826" w:type="dxa"/>
            <w:tcMar>
              <w:top w:w="120" w:type="dxa"/>
              <w:bottom w:w="120" w:type="dxa"/>
              <w:left w:w="120" w:type="dxa"/>
              <w:right w:w="120" w:type="dxa"/>
            </w:tcMar>
          </w:tcPr>
          <w:p>
            <w:pPr>
              <w:spacing w:after="60"/>
            </w:pPr>
            <w:r>
              <w:rPr>
                <w:rFonts w:ascii="Aptos" w:hAnsi="Aptos" w:cs="Aptos" w:eastAsia="Aptos"/>
                <w:sz w:val="22"/>
                <w:szCs w:val="22"/>
                <w:color w:val="1A1A1A"/>
              </w:rPr>
              <w:t xml:space="preserve">Profilo aziendale configurabile (servizi, parole chiave, qualificazioni, geografia, soglie); pre-filtri deterministici; filtro qualificazioni come gate di esclusione; scoring AI 0-100 con motivazione testuale per ogni bando.</w:t>
            </w:r>
          </w:p>
        </w:tc>
      </w:tr>
      <w:tr>
        <w:tc>
          <w:tcPr>
            <w:tcW w:w="3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Interfaccia web minima</w:t>
            </w:r>
          </w:p>
        </w:tc>
        <w:tc>
          <w:tcPr>
            <w:tcW w:w="5826" w:type="dxa"/>
            <w:tcMar>
              <w:top w:w="120" w:type="dxa"/>
              <w:bottom w:w="120" w:type="dxa"/>
              <w:left w:w="120" w:type="dxa"/>
              <w:right w:w="120" w:type="dxa"/>
            </w:tcMar>
          </w:tcPr>
          <w:p>
            <w:pPr>
              <w:spacing w:after="60"/>
            </w:pPr>
            <w:r>
              <w:rPr>
                <w:rFonts w:ascii="Aptos" w:hAnsi="Aptos" w:cs="Aptos" w:eastAsia="Aptos"/>
                <w:sz w:val="22"/>
                <w:szCs w:val="22"/>
                <w:color w:val="1A1A1A"/>
              </w:rPr>
              <w:t xml:space="preserve">Autenticazione utente, elenco opportunità ordinato per score con filtri e ricerca, pagina di dettaglio con motivazione e link alla fonte ufficiale, configurazione profilo aziendale dall'UI.</w:t>
            </w:r>
          </w:p>
        </w:tc>
      </w:tr>
    </w:tbl>
    <w:p>
      <w:pPr>
        <w:spacing w:after="120"/>
      </w:pPr>
    </w:p>
    <w:p>
      <w:pPr>
        <w:spacing w:before="200" w:after="120"/>
      </w:pPr>
      <w:r>
        <w:rPr>
          <w:rFonts w:ascii="Aptos" w:hAnsi="Aptos" w:cs="Aptos" w:eastAsia="Aptos"/>
          <w:b/>
          <w:bCs/>
          <w:sz w:val="24"/>
          <w:szCs w:val="24"/>
          <w:color w:val="000000"/>
        </w:rPr>
        <w:t xml:space="preserve">3.2 Architettura model-agnostic</w:t>
      </w:r>
    </w:p>
    <w:p>
      <w:pPr>
        <w:spacing w:after="120"/>
      </w:pPr>
      <w:r>
        <w:rPr>
          <w:rFonts w:ascii="Aptos" w:hAnsi="Aptos" w:cs="Aptos" w:eastAsia="Aptos"/>
          <w:sz w:val="22"/>
          <w:szCs w:val="22"/>
          <w:color w:val="1A1A1A"/>
        </w:rPr>
        <w:t xml:space="preserve">Il motore di scoring è progettato per essere portabile tra provider LLM (OpenAI, Anthropic, Google), con possibilità di switch senza ri-sviluppo del modulo. Mitiga il rischio di degrado prestazionale dei modelli e mantiene aperte opzioni di ottimizzazione costi/qualità nel tempo.</w:t>
      </w:r>
    </w:p>
    <w:p>
      <w:pPr>
        <w:pStyle w:val="Heading 1"/>
        <w:spacing w:before="200" w:after="200"/>
      </w:pPr>
      <w:r>
        <w:rPr>
          <w:rFonts w:ascii="Aptos" w:hAnsi="Aptos" w:cs="Aptos" w:eastAsia="Aptos"/>
          <w:b/>
          <w:bCs/>
          <w:sz w:val="32"/>
          <w:szCs w:val="32"/>
          <w:color w:val="000000"/>
        </w:rPr>
        <w:t xml:space="preserve">4. Fonti Dati Ufficiali</w:t>
      </w:r>
    </w:p>
    <w:p>
      <w:pPr>
        <w:spacing w:after="120"/>
      </w:pPr>
      <w:r>
        <w:rPr>
          <w:rFonts w:ascii="Aptos" w:hAnsi="Aptos" w:cs="Aptos" w:eastAsia="Aptos"/>
          <w:sz w:val="22"/>
          <w:szCs w:val="22"/>
          <w:color w:val="1A1A1A"/>
        </w:rPr>
        <w:t xml:space="preserve">L'MVP utilizza come fonte dati primaria la BDNCP di ANAC. La scelta è coerente con due elementi: (a) obbligo normativo — dal 1° gennaio 2024 tutte le pubbliche amministrazioni e le società a controllo pubblico italiane devono pubblicare su BDNCP i contratti pubblici sopra €40.000; (b) accessibilità — ANAC espone i dati via API pubbliche gratuite, stabili e documentate, con aggiornamento periodico.</w:t>
      </w:r>
    </w:p>
    <w:p>
      <w:pPr>
        <w:spacing w:before="200" w:after="120"/>
      </w:pPr>
      <w:r>
        <w:rPr>
          <w:rFonts w:ascii="Aptos" w:hAnsi="Aptos" w:cs="Aptos" w:eastAsia="Aptos"/>
          <w:b/>
          <w:bCs/>
          <w:sz w:val="24"/>
          <w:szCs w:val="24"/>
          <w:color w:val="000000"/>
        </w:rPr>
        <w:t xml:space="preserve">4.1 Estensione oltre i 17 portali Achipont</w:t>
      </w:r>
    </w:p>
    <w:p>
      <w:pPr>
        <w:spacing w:after="120"/>
      </w:pPr>
      <w:r>
        <w:rPr>
          <w:rFonts w:ascii="Aptos" w:hAnsi="Aptos" w:cs="Aptos" w:eastAsia="Aptos"/>
          <w:sz w:val="22"/>
          <w:szCs w:val="22"/>
          <w:color w:val="1A1A1A"/>
        </w:rPr>
        <w:t xml:space="preserve">Pur partendo da una singola integrazione tecnica (BDNCP), l'MVP copre l'intero universo pubblico italiano: dei 17 portali a cui Achipont è iscritta, 10 sono soggetti pubblici o a controllo pubblico — Roma Capitale, Senato, SOGIN, EUR SpA, Zetema, Parco Archeologico del Colosseo, Sovrintendenza Speciale Roma, Sinesgy, MEPA, ANAC stessa — e rientrano per obbligo di legge nella BDNCP; 3 sono parzialmente coperti per la parte di gare sopra soglia (ANAS, ADR, Portale Stella); i restanti 4 — committenti privati strutturati (Gruppo ICM, Vaticano) e associazioni / consorzi di categoria (Assoponteggi, CCC) — restano fuori perimetro MVP e sono trattati come ampliamenti di Fase 2 o esclusi in via definitiva.</w:t>
      </w:r>
    </w:p>
    <w:p>
      <w:pPr>
        <w:spacing w:after="120"/>
      </w:pPr>
      <w:r>
        <w:rPr>
          <w:rFonts w:ascii="Aptos" w:hAnsi="Aptos" w:cs="Aptos" w:eastAsia="Aptos"/>
          <w:sz w:val="22"/>
          <w:szCs w:val="22"/>
          <w:color w:val="1A1A1A"/>
        </w:rPr>
        <w:t xml:space="preserve">Il valore aggiunto immediato è quello di passare da 17 portali presidiati saltuariamente a un mercato di riferimento di oltre 30.000 stazioni appaltanti monitorate quotidianamente con la stessa singola integrazione tecnica.</w:t>
      </w:r>
    </w:p>
    <w:p>
      <w:pPr>
        <w:spacing w:before="200" w:after="120"/>
      </w:pPr>
      <w:r>
        <w:rPr>
          <w:rFonts w:ascii="Aptos" w:hAnsi="Aptos" w:cs="Aptos" w:eastAsia="Aptos"/>
          <w:b/>
          <w:bCs/>
          <w:sz w:val="24"/>
          <w:szCs w:val="24"/>
          <w:color w:val="000000"/>
        </w:rPr>
        <w:t xml:space="preserve">4.2 Fonti escluse dall'MVP</w:t>
      </w:r>
    </w:p>
    <w:p>
      <w:pPr>
        <w:spacing w:after="120"/>
      </w:pPr>
      <w:r>
        <w:rPr>
          <w:rFonts w:ascii="Aptos" w:hAnsi="Aptos" w:cs="Aptos" w:eastAsia="Aptos"/>
          <w:sz w:val="22"/>
          <w:szCs w:val="22"/>
          <w:color w:val="1A1A1A"/>
        </w:rPr>
        <w:t xml:space="preserve">Portali proprietari di grandi committenti (ADR, ANAS proprio, Portale Stella, Gruppo ICM, Vaticano) per la parte di inviti diretti da albo: accessibili solo tramite autenticazione utente. Vedi sezione 9 — Add-on.</w:t>
      </w:r>
    </w:p>
    <w:p>
      <w:pPr>
        <w:spacing w:after="120"/>
      </w:pPr>
      <w:r>
        <w:rPr>
          <w:rFonts w:ascii="Aptos" w:hAnsi="Aptos" w:cs="Aptos" w:eastAsia="Aptos"/>
          <w:sz w:val="22"/>
          <w:szCs w:val="22"/>
          <w:color w:val="1A1A1A"/>
        </w:rPr>
        <w:t xml:space="preserve">Associazioni e consorzi (Assoponteggi, CCC): non sono stazioni appaltanti, non pubblicano bandi propri.</w:t>
      </w:r>
    </w:p>
    <w:p>
      <w:pPr>
        <w:spacing w:after="120"/>
      </w:pPr>
      <w:r>
        <w:rPr>
          <w:rFonts w:ascii="Aptos" w:hAnsi="Aptos" w:cs="Aptos" w:eastAsia="Aptos"/>
          <w:sz w:val="22"/>
          <w:szCs w:val="22"/>
          <w:color w:val="1A1A1A"/>
        </w:rPr>
        <w:t xml:space="preserve">Fonti europee TED (Tenders Electronic Daily) e finanza agevolata Incentivi.gov.it: previsti come ampliamenti di Fase 2.</w:t>
      </w:r>
    </w:p>
    <w:p>
      <w:pPr>
        <w:pStyle w:val="Heading 1"/>
        <w:spacing w:before="200" w:after="200"/>
      </w:pPr>
      <w:r>
        <w:rPr>
          <w:rFonts w:ascii="Aptos" w:hAnsi="Aptos" w:cs="Aptos" w:eastAsia="Aptos"/>
          <w:b/>
          <w:bCs/>
          <w:sz w:val="32"/>
          <w:szCs w:val="32"/>
          <w:color w:val="000000"/>
        </w:rPr>
        <w:t xml:space="preserve">5. Piano di Lavoro</w:t>
      </w:r>
    </w:p>
    <w:p>
      <w:pPr>
        <w:spacing w:after="120"/>
      </w:pPr>
      <w:r>
        <w:rPr>
          <w:rFonts w:ascii="Aptos" w:hAnsi="Aptos" w:cs="Aptos" w:eastAsia="Aptos"/>
          <w:sz w:val="22"/>
          <w:szCs w:val="22"/>
          <w:color w:val="1A1A1A"/>
        </w:rPr>
        <w:t xml:space="preserve">Lo sviluppo del MVP segue un approccio agile articolato in 4 fasi, per un totale di circa 12 settimane (3 mesi) dalla firma del contratto.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00"/>
        <w:gridCol w:w="1200"/>
        <w:gridCol w:w="5126"/>
      </w:tblGrid>
      <w:tr>
        <w:trPr>
          <w:tblHeader/>
        </w:trPr>
        <w:tc>
          <w:tcPr>
            <w:tcW w:w="2700"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Fase</w:t>
            </w:r>
          </w:p>
        </w:tc>
        <w:tc>
          <w:tcPr>
            <w:tcW w:w="1200"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Settimane</w:t>
            </w:r>
          </w:p>
        </w:tc>
        <w:tc>
          <w:tcPr>
            <w:tcW w:w="5126"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Attività e output</w:t>
            </w:r>
          </w:p>
        </w:tc>
      </w:tr>
      <w:tr>
        <w:tc>
          <w:tcPr>
            <w:tcW w:w="2700" w:type="dxa"/>
            <w:tcMar>
              <w:top w:w="120" w:type="dxa"/>
              <w:bottom w:w="120" w:type="dxa"/>
              <w:left w:w="120" w:type="dxa"/>
              <w:right w:w="120" w:type="dxa"/>
            </w:tcMar>
          </w:tcPr>
          <w:p>
            <w:pPr>
              <w:spacing w:after="60"/>
            </w:pPr>
            <w:r>
              <w:rPr>
                <w:rFonts w:ascii="Aptos" w:hAnsi="Aptos" w:cs="Aptos" w:eastAsia="Aptos"/>
                <w:sz w:val="22"/>
                <w:szCs w:val="22"/>
                <w:color w:val="1A1A1A"/>
              </w:rPr>
              <w:t xml:space="preserve">Fase 0 — Kick-off e analisi</w:t>
            </w:r>
          </w:p>
        </w:tc>
        <w:tc>
          <w:tcPr>
            <w:tcW w:w="1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1-2</w:t>
            </w:r>
          </w:p>
        </w:tc>
        <w:tc>
          <w:tcPr>
            <w:tcW w:w="5126" w:type="dxa"/>
            <w:tcMar>
              <w:top w:w="120" w:type="dxa"/>
              <w:bottom w:w="120" w:type="dxa"/>
              <w:left w:w="120" w:type="dxa"/>
              <w:right w:w="120" w:type="dxa"/>
            </w:tcMar>
          </w:tcPr>
          <w:p>
            <w:pPr>
              <w:spacing w:after="60"/>
            </w:pPr>
            <w:r>
              <w:rPr>
                <w:rFonts w:ascii="Aptos" w:hAnsi="Aptos" w:cs="Aptos" w:eastAsia="Aptos"/>
                <w:sz w:val="22"/>
                <w:szCs w:val="22"/>
                <w:color w:val="1A1A1A"/>
              </w:rPr>
              <w:t xml:space="preserve">Allineamento profilo Achipont, definizione default soglia/parole chiave/geografia, setup ambiente di sviluppo, validazione integrazione API BDNCP.</w:t>
            </w:r>
          </w:p>
        </w:tc>
      </w:tr>
      <w:tr>
        <w:tc>
          <w:tcPr>
            <w:tcW w:w="2700" w:type="dxa"/>
            <w:tcMar>
              <w:top w:w="120" w:type="dxa"/>
              <w:bottom w:w="120" w:type="dxa"/>
              <w:left w:w="120" w:type="dxa"/>
              <w:right w:w="120" w:type="dxa"/>
            </w:tcMar>
          </w:tcPr>
          <w:p>
            <w:pPr>
              <w:spacing w:after="60"/>
            </w:pPr>
            <w:r>
              <w:rPr>
                <w:rFonts w:ascii="Aptos" w:hAnsi="Aptos" w:cs="Aptos" w:eastAsia="Aptos"/>
                <w:sz w:val="22"/>
                <w:szCs w:val="22"/>
                <w:color w:val="1A1A1A"/>
              </w:rPr>
              <w:t xml:space="preserve">Fase 1 — Modulo A</w:t>
            </w:r>
          </w:p>
        </w:tc>
        <w:tc>
          <w:tcPr>
            <w:tcW w:w="1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3-5</w:t>
            </w:r>
          </w:p>
        </w:tc>
        <w:tc>
          <w:tcPr>
            <w:tcW w:w="5126" w:type="dxa"/>
            <w:tcMar>
              <w:top w:w="120" w:type="dxa"/>
              <w:bottom w:w="120" w:type="dxa"/>
              <w:left w:w="120" w:type="dxa"/>
              <w:right w:w="120" w:type="dxa"/>
            </w:tcMar>
          </w:tcPr>
          <w:p>
            <w:pPr>
              <w:spacing w:after="60"/>
            </w:pPr>
            <w:r>
              <w:rPr>
                <w:rFonts w:ascii="Aptos" w:hAnsi="Aptos" w:cs="Aptos" w:eastAsia="Aptos"/>
                <w:sz w:val="22"/>
                <w:szCs w:val="22"/>
                <w:color w:val="1A1A1A"/>
              </w:rPr>
              <w:t xml:space="preserve">Sviluppo ingestion BDNCP, gestione deduplicazione, persistenza dati.</w:t>
            </w:r>
          </w:p>
        </w:tc>
      </w:tr>
      <w:tr>
        <w:tc>
          <w:tcPr>
            <w:tcW w:w="2700" w:type="dxa"/>
            <w:tcMar>
              <w:top w:w="120" w:type="dxa"/>
              <w:bottom w:w="120" w:type="dxa"/>
              <w:left w:w="120" w:type="dxa"/>
              <w:right w:w="120" w:type="dxa"/>
            </w:tcMar>
          </w:tcPr>
          <w:p>
            <w:pPr>
              <w:spacing w:after="60"/>
            </w:pPr>
            <w:r>
              <w:rPr>
                <w:rFonts w:ascii="Aptos" w:hAnsi="Aptos" w:cs="Aptos" w:eastAsia="Aptos"/>
                <w:sz w:val="22"/>
                <w:szCs w:val="22"/>
                <w:color w:val="1A1A1A"/>
              </w:rPr>
              <w:t xml:space="preserve">Fase 2 — Modulo B + UI</w:t>
            </w:r>
          </w:p>
        </w:tc>
        <w:tc>
          <w:tcPr>
            <w:tcW w:w="1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6-9</w:t>
            </w:r>
          </w:p>
        </w:tc>
        <w:tc>
          <w:tcPr>
            <w:tcW w:w="5126" w:type="dxa"/>
            <w:tcMar>
              <w:top w:w="120" w:type="dxa"/>
              <w:bottom w:w="120" w:type="dxa"/>
              <w:left w:w="120" w:type="dxa"/>
              <w:right w:w="120" w:type="dxa"/>
            </w:tcMar>
          </w:tcPr>
          <w:p>
            <w:pPr>
              <w:spacing w:after="60"/>
            </w:pPr>
            <w:r>
              <w:rPr>
                <w:rFonts w:ascii="Aptos" w:hAnsi="Aptos" w:cs="Aptos" w:eastAsia="Aptos"/>
                <w:sz w:val="22"/>
                <w:szCs w:val="22"/>
                <w:color w:val="1A1A1A"/>
              </w:rPr>
              <w:t xml:space="preserve">Sviluppo motore di scoring AI, interfaccia web minima, configurazione profilo dall'UI, login.</w:t>
            </w:r>
          </w:p>
        </w:tc>
      </w:tr>
      <w:tr>
        <w:tc>
          <w:tcPr>
            <w:tcW w:w="2700" w:type="dxa"/>
            <w:tcMar>
              <w:top w:w="120" w:type="dxa"/>
              <w:bottom w:w="120" w:type="dxa"/>
              <w:left w:w="120" w:type="dxa"/>
              <w:right w:w="120" w:type="dxa"/>
            </w:tcMar>
          </w:tcPr>
          <w:p>
            <w:pPr>
              <w:spacing w:after="60"/>
            </w:pPr>
            <w:r>
              <w:rPr>
                <w:rFonts w:ascii="Aptos" w:hAnsi="Aptos" w:cs="Aptos" w:eastAsia="Aptos"/>
                <w:sz w:val="22"/>
                <w:szCs w:val="22"/>
                <w:color w:val="1A1A1A"/>
              </w:rPr>
              <w:t xml:space="preserve">Fase 3 — Test, rilascio, training</w:t>
            </w:r>
          </w:p>
        </w:tc>
        <w:tc>
          <w:tcPr>
            <w:tcW w:w="1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10-12</w:t>
            </w:r>
          </w:p>
        </w:tc>
        <w:tc>
          <w:tcPr>
            <w:tcW w:w="5126" w:type="dxa"/>
            <w:tcMar>
              <w:top w:w="120" w:type="dxa"/>
              <w:bottom w:w="120" w:type="dxa"/>
              <w:left w:w="120" w:type="dxa"/>
              <w:right w:w="120" w:type="dxa"/>
            </w:tcMar>
          </w:tcPr>
          <w:p>
            <w:pPr>
              <w:spacing w:after="60"/>
            </w:pPr>
            <w:r>
              <w:rPr>
                <w:rFonts w:ascii="Aptos" w:hAnsi="Aptos" w:cs="Aptos" w:eastAsia="Aptos"/>
                <w:sz w:val="22"/>
                <w:szCs w:val="22"/>
                <w:color w:val="1A1A1A"/>
              </w:rPr>
              <w:t xml:space="preserve">User Acceptance Test, deploy in produzione, training operativo (fino a 2 ore), 30 giorni di assistenza correttiva post go-live.</w:t>
            </w:r>
          </w:p>
        </w:tc>
      </w:tr>
    </w:tbl>
    <w:p>
      <w:pPr>
        <w:spacing w:after="120"/>
      </w:pPr>
    </w:p>
    <w:p>
      <w:pPr>
        <w:pStyle w:val="Heading 1"/>
        <w:spacing w:before="200" w:after="200"/>
      </w:pPr>
      <w:r>
        <w:rPr>
          <w:rFonts w:ascii="Aptos" w:hAnsi="Aptos" w:cs="Aptos" w:eastAsia="Aptos"/>
          <w:b/>
          <w:bCs/>
          <w:sz w:val="32"/>
          <w:szCs w:val="32"/>
          <w:color w:val="000000"/>
        </w:rPr>
        <w:t xml:space="preserve">6. Sicurezza e Conformità</w:t>
      </w:r>
    </w:p>
    <w:p>
      <w:pPr>
        <w:spacing w:after="120"/>
      </w:pPr>
      <w:r>
        <w:rPr>
          <w:rFonts w:ascii="Aptos" w:hAnsi="Aptos" w:cs="Aptos" w:eastAsia="Aptos"/>
          <w:sz w:val="22"/>
          <w:szCs w:val="22"/>
          <w:color w:val="1A1A1A"/>
        </w:rPr>
        <w:t xml:space="preserve">Progettato nel rispetto dei principi di Privacy by Design e by Default (GDPR Art. 25).</w:t>
      </w:r>
    </w:p>
    <w:p>
      <w:pPr>
        <w:spacing w:before="200" w:after="120"/>
      </w:pPr>
      <w:r>
        <w:rPr>
          <w:rFonts w:ascii="Aptos" w:hAnsi="Aptos" w:cs="Aptos" w:eastAsia="Aptos"/>
          <w:b/>
          <w:bCs/>
          <w:sz w:val="24"/>
          <w:szCs w:val="24"/>
          <w:color w:val="000000"/>
        </w:rPr>
        <w:t xml:space="preserve">6.1 Principi di sicurezza</w:t>
      </w:r>
    </w:p>
    <w:p>
      <w:pPr>
        <w:spacing w:after="120"/>
      </w:pPr>
      <w:r>
        <w:rPr>
          <w:rFonts w:ascii="Aptos" w:hAnsi="Aptos" w:cs="Aptos" w:eastAsia="Aptos"/>
          <w:sz w:val="22"/>
          <w:szCs w:val="22"/>
          <w:color w:val="1A1A1A"/>
        </w:rPr>
        <w:t xml:space="preserve">Autenticazione. Autenticazione utente con credenziali individuali per i 3-5 account aziendali Achipont.</w:t>
      </w:r>
    </w:p>
    <w:p>
      <w:pPr>
        <w:spacing w:after="120"/>
      </w:pPr>
      <w:r>
        <w:rPr>
          <w:rFonts w:ascii="Aptos" w:hAnsi="Aptos" w:cs="Aptos" w:eastAsia="Aptos"/>
          <w:sz w:val="22"/>
          <w:szCs w:val="22"/>
          <w:color w:val="1A1A1A"/>
        </w:rPr>
        <w:t xml:space="preserve">Protezione dati. Crittografia dati a riposo e in transito (TLS), log degli accessi per tracciabilità.</w:t>
      </w:r>
    </w:p>
    <w:p>
      <w:pPr>
        <w:spacing w:after="120"/>
      </w:pPr>
      <w:r>
        <w:rPr>
          <w:rFonts w:ascii="Aptos" w:hAnsi="Aptos" w:cs="Aptos" w:eastAsia="Aptos"/>
          <w:sz w:val="22"/>
          <w:szCs w:val="22"/>
          <w:color w:val="1A1A1A"/>
        </w:rPr>
        <w:t xml:space="preserve">Manutenibilità. L'unica dipendenza esterna critica dell'MVP è la fonte dati pubblica ufficiale BDNCP, gratuita, documentata e stabile per obbligo di legge.</w:t>
      </w:r>
    </w:p>
    <w:p>
      <w:pPr>
        <w:spacing w:before="200" w:after="120"/>
      </w:pPr>
      <w:r>
        <w:rPr>
          <w:rFonts w:ascii="Aptos" w:hAnsi="Aptos" w:cs="Aptos" w:eastAsia="Aptos"/>
          <w:b/>
          <w:bCs/>
          <w:sz w:val="24"/>
          <w:szCs w:val="24"/>
          <w:color w:val="000000"/>
        </w:rPr>
        <w:t xml:space="preserve">6.2 Conformità normativa</w:t>
      </w:r>
    </w:p>
    <w:p>
      <w:pPr>
        <w:spacing w:after="120"/>
      </w:pPr>
      <w:r>
        <w:rPr>
          <w:rFonts w:ascii="Aptos" w:hAnsi="Aptos" w:cs="Aptos" w:eastAsia="Aptos"/>
          <w:sz w:val="22"/>
          <w:szCs w:val="22"/>
          <w:color w:val="1A1A1A"/>
        </w:rPr>
        <w:t xml:space="preserve">GDPR. Trattamento dati utenti aziendali conforme al Regolamento UE 2016/679. Sottoscrizione DPA tra le parti.</w:t>
      </w:r>
    </w:p>
    <w:p>
      <w:pPr>
        <w:spacing w:after="120"/>
      </w:pPr>
      <w:r>
        <w:rPr>
          <w:rFonts w:ascii="Aptos" w:hAnsi="Aptos" w:cs="Aptos" w:eastAsia="Aptos"/>
          <w:sz w:val="22"/>
          <w:szCs w:val="22"/>
          <w:color w:val="1A1A1A"/>
        </w:rPr>
        <w:t xml:space="preserve">Dati pubblici. La soluzione opera esclusivamente su dati pubblici (BDNCP) e dati di profilo aziendale del cliente, nessuna profilazione di soggetti terzi.</w:t>
      </w:r>
    </w:p>
    <w:p>
      <w:pPr>
        <w:pStyle w:val="Heading 1"/>
        <w:spacing w:before="200" w:after="200"/>
      </w:pPr>
      <w:r>
        <w:rPr>
          <w:rFonts w:ascii="Aptos" w:hAnsi="Aptos" w:cs="Aptos" w:eastAsia="Aptos"/>
          <w:b/>
          <w:bCs/>
          <w:sz w:val="32"/>
          <w:szCs w:val="32"/>
          <w:color w:val="000000"/>
        </w:rPr>
        <w:t xml:space="preserve">7. Proprietà Intellettuale e Modello di Collaborazione</w:t>
      </w:r>
    </w:p>
    <w:p>
      <w:pPr>
        <w:spacing w:after="120"/>
      </w:pPr>
      <w:r>
        <w:rPr>
          <w:rFonts w:ascii="Aptos" w:hAnsi="Aptos" w:cs="Aptos" w:eastAsia="Aptos"/>
          <w:sz w:val="22"/>
          <w:szCs w:val="22"/>
          <w:color w:val="1A1A1A"/>
        </w:rPr>
        <w:t xml:space="preserve">HeyAI sviluppa e rilascia ad Achipont una licenza d'uso esclusiva, perpetua e non trasferibile della piattaforma. Le personalizzazioni sviluppate ad hoc per Achipont (configurazione del profilo aziendale, parole chiave, regole di scoring, integrazioni proprietarie eventualmente attivate in Fase 2) sono di proprietà esclusiva del cliente.</w:t>
      </w:r>
    </w:p>
    <w:p>
      <w:pPr>
        <w:spacing w:after="120"/>
      </w:pPr>
      <w:r>
        <w:rPr>
          <w:rFonts w:ascii="Aptos" w:hAnsi="Aptos" w:cs="Aptos" w:eastAsia="Aptos"/>
          <w:sz w:val="22"/>
          <w:szCs w:val="22"/>
          <w:color w:val="1A1A1A"/>
        </w:rPr>
        <w:t xml:space="preserve">HeyAI mantiene il know-how generale dell'architettura (componenti comuni, pattern di scoring, librerie). L'istanza applicativa di Achipont è single-tenant: dati di profilo, configurazione di scoring, scoring di compatibilità e storico bandi sono isolati e accessibili soltanto agli utenti autorizzati di Achipont.</w:t>
      </w:r>
    </w:p>
    <w:p>
      <w:pPr>
        <w:pStyle w:val="Heading 1"/>
        <w:spacing w:before="200" w:after="200"/>
      </w:pPr>
      <w:r>
        <w:rPr>
          <w:rFonts w:ascii="Aptos" w:hAnsi="Aptos" w:cs="Aptos" w:eastAsia="Aptos"/>
          <w:b/>
          <w:bCs/>
          <w:sz w:val="32"/>
          <w:szCs w:val="32"/>
          <w:color w:val="000000"/>
        </w:rPr>
        <w:t xml:space="preserve">8. Investimento</w:t>
      </w:r>
    </w:p>
    <w:p>
      <w:pPr>
        <w:spacing w:after="120"/>
      </w:pPr>
      <w:r>
        <w:rPr>
          <w:rFonts w:ascii="Aptos" w:hAnsi="Aptos" w:cs="Aptos" w:eastAsia="Aptos"/>
          <w:sz w:val="22"/>
          <w:szCs w:val="22"/>
          <w:color w:val="1A1A1A"/>
        </w:rPr>
        <w:t xml:space="preserve">L'investimento è strutturato in modo modulare per consentire ad Achipont di scegliere consapevolmente il perimetro del primo rilascio e attivare le funzionalità evolutive in momenti successivi, dopo aver validato il valore della soluzione di base.</w:t>
      </w:r>
    </w:p>
    <w:p>
      <w:pPr>
        <w:spacing w:before="200" w:after="120"/>
      </w:pPr>
      <w:r>
        <w:rPr>
          <w:rFonts w:ascii="Aptos" w:hAnsi="Aptos" w:cs="Aptos" w:eastAsia="Aptos"/>
          <w:b/>
          <w:bCs/>
          <w:sz w:val="24"/>
          <w:szCs w:val="24"/>
          <w:color w:val="000000"/>
        </w:rPr>
        <w:t xml:space="preserve">8.1 MVP — Investimento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826"/>
        <w:gridCol w:w="3200"/>
      </w:tblGrid>
      <w:tr>
        <w:trPr>
          <w:tblHeader/>
        </w:trPr>
        <w:tc>
          <w:tcPr>
            <w:tcW w:w="5826"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Voce</w:t>
            </w:r>
          </w:p>
        </w:tc>
        <w:tc>
          <w:tcPr>
            <w:tcW w:w="3200"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Investimento</w:t>
            </w:r>
          </w:p>
        </w:tc>
      </w:tr>
      <w:tr>
        <w:tc>
          <w:tcPr>
            <w:tcW w:w="5826" w:type="dxa"/>
            <w:tcMar>
              <w:top w:w="120" w:type="dxa"/>
              <w:bottom w:w="120" w:type="dxa"/>
              <w:left w:w="120" w:type="dxa"/>
              <w:right w:w="120" w:type="dxa"/>
            </w:tcMar>
          </w:tcPr>
          <w:p>
            <w:pPr>
              <w:spacing w:after="60"/>
            </w:pPr>
            <w:r>
              <w:rPr>
                <w:rFonts w:ascii="Aptos" w:hAnsi="Aptos" w:cs="Aptos" w:eastAsia="Aptos"/>
                <w:b/>
                <w:bCs/>
                <w:sz w:val="22"/>
                <w:szCs w:val="22"/>
                <w:color w:val="1A1A1A"/>
              </w:rPr>
              <w:t xml:space="preserve">Pacchetto MVP Essenziale</w:t>
            </w:r>
          </w:p>
          <w:p>
            <w:pPr>
              <w:spacing w:after="60"/>
            </w:pPr>
            <w:r>
              <w:rPr>
                <w:rFonts w:ascii="Aptos" w:hAnsi="Aptos" w:cs="Aptos" w:eastAsia="Aptos"/>
                <w:sz w:val="20"/>
                <w:szCs w:val="20"/>
                <w:color w:val="606060"/>
              </w:rPr>
              <w:t xml:space="preserve">Modulo A + Modulo B + Interfaccia minima</w:t>
            </w:r>
          </w:p>
        </w:tc>
        <w:tc>
          <w:tcPr>
            <w:tcW w:w="3200" w:type="dxa"/>
            <w:tcMar>
              <w:top w:w="120" w:type="dxa"/>
              <w:bottom w:w="120" w:type="dxa"/>
              <w:left w:w="120" w:type="dxa"/>
              <w:right w:w="120" w:type="dxa"/>
            </w:tcMar>
          </w:tcPr>
          <w:p>
            <w:pPr>
              <w:spacing w:after="60"/>
            </w:pPr>
            <w:r>
              <w:rPr>
                <w:rFonts w:ascii="Aptos" w:hAnsi="Aptos" w:cs="Aptos" w:eastAsia="Aptos"/>
                <w:b/>
                <w:bCs/>
                <w:sz w:val="22"/>
                <w:szCs w:val="22"/>
                <w:color w:val="2B8C96"/>
              </w:rPr>
              <w:t xml:space="preserve">€ 43.000</w:t>
            </w:r>
          </w:p>
        </w:tc>
      </w:tr>
      <w:tr>
        <w:tc>
          <w:tcPr>
            <w:tcW w:w="5826" w:type="dxa"/>
            <w:tcMar>
              <w:top w:w="120" w:type="dxa"/>
              <w:bottom w:w="120" w:type="dxa"/>
              <w:left w:w="120" w:type="dxa"/>
              <w:right w:w="120" w:type="dxa"/>
            </w:tcMar>
          </w:tcPr>
          <w:p>
            <w:pPr>
              <w:spacing w:after="60"/>
            </w:pPr>
            <w:r>
              <w:rPr>
                <w:rFonts w:ascii="Aptos" w:hAnsi="Aptos" w:cs="Aptos" w:eastAsia="Aptos"/>
                <w:b/>
                <w:bCs/>
                <w:sz w:val="22"/>
                <w:szCs w:val="22"/>
                <w:color w:val="1A1A1A"/>
              </w:rPr>
              <w:t xml:space="preserve">Pacchetto MVP Completo</w:t>
            </w:r>
          </w:p>
          <w:p>
            <w:pPr>
              <w:spacing w:after="60"/>
            </w:pPr>
            <w:r>
              <w:rPr>
                <w:rFonts w:ascii="Aptos" w:hAnsi="Aptos" w:cs="Aptos" w:eastAsia="Aptos"/>
                <w:sz w:val="20"/>
                <w:szCs w:val="20"/>
                <w:color w:val="606060"/>
              </w:rPr>
              <w:t xml:space="preserve">MVP Essenziale + 4 funzionalità opzionali integrate</w:t>
            </w:r>
          </w:p>
        </w:tc>
        <w:tc>
          <w:tcPr>
            <w:tcW w:w="3200" w:type="dxa"/>
            <w:tcMar>
              <w:top w:w="120" w:type="dxa"/>
              <w:bottom w:w="120" w:type="dxa"/>
              <w:left w:w="120" w:type="dxa"/>
              <w:right w:w="120" w:type="dxa"/>
            </w:tcMar>
          </w:tcPr>
          <w:p>
            <w:pPr>
              <w:spacing w:after="60"/>
            </w:pPr>
            <w:r>
              <w:rPr>
                <w:rFonts w:ascii="Aptos" w:hAnsi="Aptos" w:cs="Aptos" w:eastAsia="Aptos"/>
                <w:b/>
                <w:bCs/>
                <w:sz w:val="22"/>
                <w:szCs w:val="22"/>
                <w:color w:val="2B8C96"/>
              </w:rPr>
              <w:t xml:space="preserve">€ 50.000</w:t>
            </w:r>
          </w:p>
        </w:tc>
      </w:tr>
      <w:tr>
        <w:tc>
          <w:tcPr>
            <w:tcW w:w="5826" w:type="dxa"/>
            <w:tcMar>
              <w:top w:w="120" w:type="dxa"/>
              <w:bottom w:w="120" w:type="dxa"/>
              <w:left w:w="120" w:type="dxa"/>
              <w:right w:w="120" w:type="dxa"/>
            </w:tcMar>
          </w:tcPr>
          <w:p>
            <w:pPr>
              <w:spacing w:after="60"/>
            </w:pPr>
            <w:r>
              <w:rPr>
                <w:rFonts w:ascii="Aptos" w:hAnsi="Aptos" w:cs="Aptos" w:eastAsia="Aptos"/>
                <w:sz w:val="22"/>
                <w:szCs w:val="22"/>
                <w:color w:val="1A1A1A"/>
              </w:rPr>
              <w:t xml:space="preserve">Risparmio Pacchetto Completo vs acquisto opzioni separate</w:t>
            </w:r>
          </w:p>
        </w:tc>
        <w:tc>
          <w:tcPr>
            <w:tcW w:w="3200" w:type="dxa"/>
            <w:tcMar>
              <w:top w:w="120" w:type="dxa"/>
              <w:bottom w:w="120" w:type="dxa"/>
              <w:left w:w="120" w:type="dxa"/>
              <w:right w:w="120" w:type="dxa"/>
            </w:tcMar>
          </w:tcPr>
          <w:p>
            <w:pPr>
              <w:spacing w:after="60"/>
            </w:pPr>
            <w:r>
              <w:rPr>
                <w:rFonts w:ascii="Aptos" w:hAnsi="Aptos" w:cs="Aptos" w:eastAsia="Aptos"/>
                <w:i/>
                <w:iCs/>
                <w:sz w:val="22"/>
                <w:szCs w:val="22"/>
                <w:color w:val="606060"/>
              </w:rPr>
              <w:t xml:space="preserve">− € 1.500</w:t>
            </w:r>
          </w:p>
        </w:tc>
      </w:tr>
    </w:tbl>
    <w:p>
      <w:pPr>
        <w:spacing w:before="80" w:after="160"/>
      </w:pPr>
      <w:r>
        <w:rPr>
          <w:rFonts w:ascii="Aptos" w:hAnsi="Aptos" w:cs="Aptos" w:eastAsia="Aptos"/>
          <w:i/>
          <w:iCs/>
          <w:sz w:val="20"/>
          <w:szCs w:val="20"/>
          <w:color w:val="606060"/>
        </w:rPr>
        <w:t xml:space="preserve">Importi al netto di IVA. Pagamento articolato in 3 tranche legate alle milestone (sezione 10).</w:t>
      </w:r>
    </w:p>
    <w:p>
      <w:pPr>
        <w:spacing w:after="120"/>
      </w:pPr>
      <w:r>
        <w:rPr>
          <w:rFonts w:ascii="Aptos" w:hAnsi="Aptos" w:cs="Aptos" w:eastAsia="Aptos"/>
          <w:sz w:val="22"/>
          <w:szCs w:val="22"/>
          <w:color w:val="1A1A1A"/>
        </w:rPr>
        <w:t xml:space="preserve">Se Achipont preferisce partire dal pacchetto Essenziale, ciascuna delle 4 funzionalità opzionali è attivabile singolarmente: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826"/>
        <w:gridCol w:w="2200"/>
      </w:tblGrid>
      <w:tr>
        <w:trPr>
          <w:tblHeader/>
        </w:trPr>
        <w:tc>
          <w:tcPr>
            <w:tcW w:w="6826"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Funzionalità</w:t>
            </w:r>
          </w:p>
        </w:tc>
        <w:tc>
          <w:tcPr>
            <w:tcW w:w="2200"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Investimento</w:t>
            </w:r>
          </w:p>
        </w:tc>
      </w:tr>
      <w:tr>
        <w:tc>
          <w:tcPr>
            <w:tcW w:w="6826" w:type="dxa"/>
            <w:tcMar>
              <w:top w:w="120" w:type="dxa"/>
              <w:bottom w:w="120" w:type="dxa"/>
              <w:left w:w="120" w:type="dxa"/>
              <w:right w:w="120" w:type="dxa"/>
            </w:tcMar>
          </w:tcPr>
          <w:p>
            <w:pPr>
              <w:spacing w:after="60"/>
            </w:pPr>
            <w:r>
              <w:rPr>
                <w:rFonts w:ascii="Aptos" w:hAnsi="Aptos" w:cs="Aptos" w:eastAsia="Aptos"/>
                <w:sz w:val="22"/>
                <w:szCs w:val="22"/>
                <w:color w:val="1A1A1A"/>
              </w:rPr>
              <w:t xml:space="preserve">Aggiornamento automatico periodico della raccolta dati (la ricerca parte automaticamente, senza avvio manuale)</w:t>
            </w:r>
          </w:p>
        </w:tc>
        <w:tc>
          <w:tcPr>
            <w:tcW w:w="2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€ 2.500</w:t>
            </w:r>
          </w:p>
        </w:tc>
      </w:tr>
      <w:tr>
        <w:tc>
          <w:tcPr>
            <w:tcW w:w="6826" w:type="dxa"/>
            <w:tcMar>
              <w:top w:w="120" w:type="dxa"/>
              <w:bottom w:w="120" w:type="dxa"/>
              <w:left w:w="120" w:type="dxa"/>
              <w:right w:w="120" w:type="dxa"/>
            </w:tcMar>
          </w:tcPr>
          <w:p>
            <w:pPr>
              <w:spacing w:after="60"/>
            </w:pPr>
            <w:r>
              <w:rPr>
                <w:rFonts w:ascii="Aptos" w:hAnsi="Aptos" w:cs="Aptos" w:eastAsia="Aptos"/>
                <w:sz w:val="22"/>
                <w:szCs w:val="22"/>
                <w:color w:val="1A1A1A"/>
              </w:rPr>
              <w:t xml:space="preserve">Notifiche email periodiche (giornaliere o settimanali) con elenco sintetico nuove opportunità rilevanti</w:t>
            </w:r>
          </w:p>
        </w:tc>
        <w:tc>
          <w:tcPr>
            <w:tcW w:w="2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€ 2.000</w:t>
            </w:r>
          </w:p>
        </w:tc>
      </w:tr>
      <w:tr>
        <w:tc>
          <w:tcPr>
            <w:tcW w:w="6826" w:type="dxa"/>
            <w:tcMar>
              <w:top w:w="120" w:type="dxa"/>
              <w:bottom w:w="120" w:type="dxa"/>
              <w:left w:w="120" w:type="dxa"/>
              <w:right w:w="120" w:type="dxa"/>
            </w:tcMar>
          </w:tcPr>
          <w:p>
            <w:pPr>
              <w:spacing w:after="60"/>
            </w:pPr>
            <w:r>
              <w:rPr>
                <w:rFonts w:ascii="Aptos" w:hAnsi="Aptos" w:cs="Aptos" w:eastAsia="Aptos"/>
                <w:sz w:val="22"/>
                <w:szCs w:val="22"/>
                <w:color w:val="1A1A1A"/>
              </w:rPr>
              <w:t xml:space="preserve">Notifiche in-app alla login dell'utente come alternativa o complemento alle email</w:t>
            </w:r>
          </w:p>
        </w:tc>
        <w:tc>
          <w:tcPr>
            <w:tcW w:w="2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€ 1.500</w:t>
            </w:r>
          </w:p>
        </w:tc>
      </w:tr>
      <w:tr>
        <w:tc>
          <w:tcPr>
            <w:tcW w:w="6826" w:type="dxa"/>
            <w:tcMar>
              <w:top w:w="120" w:type="dxa"/>
              <w:bottom w:w="120" w:type="dxa"/>
              <w:left w:w="120" w:type="dxa"/>
              <w:right w:w="120" w:type="dxa"/>
            </w:tcMar>
          </w:tcPr>
          <w:p>
            <w:pPr>
              <w:spacing w:after="60"/>
            </w:pPr>
            <w:r>
              <w:rPr>
                <w:rFonts w:ascii="Aptos" w:hAnsi="Aptos" w:cs="Aptos" w:eastAsia="Aptos"/>
                <w:sz w:val="22"/>
                <w:szCs w:val="22"/>
                <w:color w:val="1A1A1A"/>
              </w:rPr>
              <w:t xml:space="preserve">Reportistica di sintesi periodica (settimanale/mensile) sull'attività del sistema</w:t>
            </w:r>
          </w:p>
        </w:tc>
        <w:tc>
          <w:tcPr>
            <w:tcW w:w="2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€ 2.500</w:t>
            </w:r>
          </w:p>
        </w:tc>
      </w:tr>
    </w:tbl>
    <w:p>
      <w:pPr>
        <w:spacing w:after="160"/>
      </w:pPr>
    </w:p>
    <w:p>
      <w:pPr>
        <w:spacing w:before="200" w:after="120"/>
      </w:pPr>
      <w:r>
        <w:rPr>
          <w:rFonts w:ascii="Aptos" w:hAnsi="Aptos" w:cs="Aptos" w:eastAsia="Aptos"/>
          <w:b/>
          <w:bCs/>
          <w:sz w:val="24"/>
          <w:szCs w:val="24"/>
          <w:color w:val="000000"/>
        </w:rPr>
        <w:t xml:space="preserve">8.2 Incluso nell'investimento MVP</w:t>
      </w:r>
    </w:p>
    <w:p>
      <w:pPr>
        <w:pStyle w:val="Paragrafoelenco"/>
        <w:numPr>
          <w:ilvl w:val="0"/>
          <w:numId w:val="1"/>
        </w:numPr>
        <w:spacing w:after="80"/>
      </w:pPr>
      <w:r>
        <w:rPr>
          <w:rFonts w:ascii="Aptos" w:hAnsi="Aptos" w:cs="Aptos" w:eastAsia="Aptos"/>
          <w:sz w:val="22"/>
          <w:szCs w:val="22"/>
          <w:color w:val="1A1A1A"/>
        </w:rPr>
        <w:t xml:space="preserve">Licenza d'uso esclusiva e illimitata della piattaforma per Achipont</w:t>
      </w:r>
    </w:p>
    <w:p>
      <w:pPr>
        <w:pStyle w:val="Paragrafoelenco"/>
        <w:numPr>
          <w:ilvl w:val="0"/>
          <w:numId w:val="1"/>
        </w:numPr>
        <w:spacing w:after="80"/>
      </w:pPr>
      <w:r>
        <w:rPr>
          <w:rFonts w:ascii="Aptos" w:hAnsi="Aptos" w:cs="Aptos" w:eastAsia="Aptos"/>
          <w:sz w:val="22"/>
          <w:szCs w:val="22"/>
          <w:color w:val="1A1A1A"/>
        </w:rPr>
        <w:t xml:space="preserve">Personalizzazioni su misura (profilo aziendale, parole chiave, soglie, regole di filtraggio)</w:t>
      </w:r>
    </w:p>
    <w:p>
      <w:pPr>
        <w:pStyle w:val="Paragrafoelenco"/>
        <w:numPr>
          <w:ilvl w:val="0"/>
          <w:numId w:val="1"/>
        </w:numPr>
        <w:spacing w:after="80"/>
      </w:pPr>
      <w:r>
        <w:rPr>
          <w:rFonts w:ascii="Aptos" w:hAnsi="Aptos" w:cs="Aptos" w:eastAsia="Aptos"/>
          <w:sz w:val="22"/>
          <w:szCs w:val="22"/>
          <w:color w:val="1A1A1A"/>
        </w:rPr>
        <w:t xml:space="preserve">Configurazione iniziale del profilo Achipont sulla base del Questionario di Discovery (12 dipendenti, certificazioni ISO 45001/14001/SA8000, modello 231, White List, Anagrafe Esecutori, Albo Gestori Ambientali, Patente a Crediti, parole chiave del dominio)</w:t>
      </w:r>
    </w:p>
    <w:p>
      <w:pPr>
        <w:pStyle w:val="Paragrafoelenco"/>
        <w:numPr>
          <w:ilvl w:val="0"/>
          <w:numId w:val="1"/>
        </w:numPr>
        <w:spacing w:after="80"/>
      </w:pPr>
      <w:r>
        <w:rPr>
          <w:rFonts w:ascii="Aptos" w:hAnsi="Aptos" w:cs="Aptos" w:eastAsia="Aptos"/>
          <w:sz w:val="22"/>
          <w:szCs w:val="22"/>
          <w:color w:val="1A1A1A"/>
        </w:rPr>
        <w:t xml:space="preserve">Documentazione tecnica e operativa</w:t>
      </w:r>
    </w:p>
    <w:p>
      <w:pPr>
        <w:pStyle w:val="Paragrafoelenco"/>
        <w:numPr>
          <w:ilvl w:val="0"/>
          <w:numId w:val="1"/>
        </w:numPr>
        <w:spacing w:after="80"/>
      </w:pPr>
      <w:r>
        <w:rPr>
          <w:rFonts w:ascii="Aptos" w:hAnsi="Aptos" w:cs="Aptos" w:eastAsia="Aptos"/>
          <w:sz w:val="22"/>
          <w:szCs w:val="22"/>
          <w:color w:val="1A1A1A"/>
        </w:rPr>
        <w:t xml:space="preserve">Sessione di training operativo (fino a 2 ore) per il team Achipont</w:t>
      </w:r>
    </w:p>
    <w:p>
      <w:pPr>
        <w:pStyle w:val="Paragrafoelenco"/>
        <w:numPr>
          <w:ilvl w:val="0"/>
          <w:numId w:val="1"/>
        </w:numPr>
        <w:spacing w:after="80"/>
      </w:pPr>
      <w:r>
        <w:rPr>
          <w:rFonts w:ascii="Aptos" w:hAnsi="Aptos" w:cs="Aptos" w:eastAsia="Aptos"/>
          <w:sz w:val="22"/>
          <w:szCs w:val="22"/>
          <w:color w:val="1A1A1A"/>
        </w:rPr>
        <w:t xml:space="preserve">30 giorni di assistenza correttiva post go-live (bug fixing, fino a 10 ore)</w:t>
      </w:r>
    </w:p>
    <w:p>
      <w:pPr>
        <w:pStyle w:val="Paragrafoelenco"/>
        <w:numPr>
          <w:ilvl w:val="0"/>
          <w:numId w:val="1"/>
        </w:numPr>
        <w:spacing w:after="80"/>
      </w:pPr>
      <w:r>
        <w:rPr>
          <w:rFonts w:ascii="Aptos" w:hAnsi="Aptos" w:cs="Aptos" w:eastAsia="Aptos"/>
          <w:sz w:val="22"/>
          <w:szCs w:val="22"/>
          <w:color w:val="1A1A1A"/>
        </w:rPr>
        <w:t xml:space="preserve">Project management e interlocuzione unica</w:t>
      </w:r>
    </w:p>
    <w:p>
      <w:pPr>
        <w:spacing w:before="200" w:after="120"/>
      </w:pPr>
      <w:r>
        <w:rPr>
          <w:rFonts w:ascii="Aptos" w:hAnsi="Aptos" w:cs="Aptos" w:eastAsia="Aptos"/>
          <w:b/>
          <w:bCs/>
          <w:sz w:val="24"/>
          <w:szCs w:val="24"/>
          <w:color w:val="000000"/>
        </w:rPr>
        <w:t xml:space="preserve">8.3 Costi operativi non inclusi</w:t>
      </w:r>
    </w:p>
    <w:p>
      <w:pPr>
        <w:spacing w:after="120"/>
      </w:pPr>
      <w:r>
        <w:rPr>
          <w:rFonts w:ascii="Aptos" w:hAnsi="Aptos" w:cs="Aptos" w:eastAsia="Aptos"/>
          <w:sz w:val="22"/>
          <w:szCs w:val="22"/>
          <w:color w:val="1A1A1A"/>
        </w:rPr>
        <w:t xml:space="preserve">Hosting cloud, manutenzione ordinaria e consumo token AI sono erogati tramite un pacchetto di manutenzione dedicato, fatturato separatamente con frequenza mensile. La cifra puntuale viene consolidata in fase di kick-off, una volta dimensionati i volumi reali di bandi giornalieri intercettati e calibrato il consumo medio del motore AI.</w:t>
      </w:r>
    </w:p>
    <w:p>
      <w:pPr>
        <w:spacing w:after="160"/>
      </w:pPr>
      <w:r>
        <w:rPr>
          <w:rFonts w:ascii="Aptos" w:hAnsi="Aptos" w:cs="Aptos" w:eastAsia="Aptos"/>
          <w:i/>
          <w:iCs/>
          <w:sz w:val="22"/>
          <w:szCs w:val="22"/>
          <w:color w:val="606060"/>
        </w:rPr>
        <w:t xml:space="preserve">Range indicativo preliminare: € 250 — € 400 / mese forfettario.</w:t>
      </w:r>
    </w:p>
    <w:p>
      <w:pPr>
        <w:pStyle w:val="Heading 1"/>
        <w:spacing w:before="200" w:after="200"/>
      </w:pPr>
      <w:r>
        <w:rPr>
          <w:rFonts w:ascii="Aptos" w:hAnsi="Aptos" w:cs="Aptos" w:eastAsia="Aptos"/>
          <w:b/>
          <w:bCs/>
          <w:sz w:val="32"/>
          <w:szCs w:val="32"/>
          <w:color w:val="000000"/>
        </w:rPr>
        <w:t xml:space="preserve">9. Funzionalità Evolutive — Add-on (Fase 2)</w:t>
      </w:r>
    </w:p>
    <w:p>
      <w:pPr>
        <w:spacing w:after="120"/>
      </w:pPr>
      <w:r>
        <w:rPr>
          <w:rFonts w:ascii="Aptos" w:hAnsi="Aptos" w:cs="Aptos" w:eastAsia="Aptos"/>
          <w:sz w:val="22"/>
          <w:szCs w:val="22"/>
          <w:color w:val="1A1A1A"/>
        </w:rPr>
        <w:t xml:space="preserve">Le seguenti evoluzioni sono attivabili singolarmente o in combinazione, dopo aver validato il valore generato dall'MVP. Le stime sono indicative e da consolidare in fase di analisi preliminare di Fase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500"/>
        <w:gridCol w:w="2526"/>
      </w:tblGrid>
      <w:tr>
        <w:trPr>
          <w:tblHeader/>
        </w:trPr>
        <w:tc>
          <w:tcPr>
            <w:tcW w:w="6500"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Modulo / ampliamento</w:t>
            </w:r>
          </w:p>
        </w:tc>
        <w:tc>
          <w:tcPr>
            <w:tcW w:w="2526"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Range indicativo</w:t>
            </w:r>
          </w:p>
        </w:tc>
      </w:tr>
      <w:tr>
        <w:tc>
          <w:tcPr>
            <w:tcW w:w="6500" w:type="dxa"/>
            <w:tcMar>
              <w:top w:w="120" w:type="dxa"/>
              <w:bottom w:w="120" w:type="dxa"/>
              <w:left w:w="120" w:type="dxa"/>
              <w:right w:w="120" w:type="dxa"/>
            </w:tcMar>
          </w:tcPr>
          <w:p>
            <w:pPr>
              <w:spacing w:after="60"/>
            </w:pPr>
            <w:r>
              <w:rPr>
                <w:rFonts w:ascii="Aptos" w:hAnsi="Aptos" w:cs="Aptos" w:eastAsia="Aptos"/>
                <w:sz w:val="22"/>
                <w:szCs w:val="22"/>
                <w:color w:val="1A1A1A"/>
              </w:rPr>
              <w:t xml:space="preserve">Modulo C — Analisi automatica capitolati (estrazione requisiti, scheda sintetica per bando, chat con memoria documentale RAG)</w:t>
            </w:r>
          </w:p>
        </w:tc>
        <w:tc>
          <w:tcPr>
            <w:tcW w:w="2526" w:type="dxa"/>
            <w:tcMar>
              <w:top w:w="120" w:type="dxa"/>
              <w:bottom w:w="120" w:type="dxa"/>
              <w:left w:w="120" w:type="dxa"/>
              <w:right w:w="120" w:type="dxa"/>
            </w:tcMar>
          </w:tcPr>
          <w:p>
            <w:pPr>
              <w:spacing w:after="60"/>
            </w:pPr>
            <w:r>
              <w:rPr>
                <w:rFonts w:ascii="Aptos" w:hAnsi="Aptos" w:cs="Aptos" w:eastAsia="Aptos"/>
                <w:sz w:val="22"/>
                <w:szCs w:val="22"/>
                <w:color w:val="1A1A1A"/>
              </w:rPr>
              <w:t xml:space="preserve">€ 18.000 — € 22.000</w:t>
            </w:r>
          </w:p>
        </w:tc>
      </w:tr>
      <w:tr>
        <w:tc>
          <w:tcPr>
            <w:tcW w:w="6500" w:type="dxa"/>
            <w:tcMar>
              <w:top w:w="120" w:type="dxa"/>
              <w:bottom w:w="120" w:type="dxa"/>
              <w:left w:w="120" w:type="dxa"/>
              <w:right w:w="120" w:type="dxa"/>
            </w:tcMar>
          </w:tcPr>
          <w:p>
            <w:pPr>
              <w:spacing w:after="60"/>
            </w:pPr>
            <w:r>
              <w:rPr>
                <w:rFonts w:ascii="Aptos" w:hAnsi="Aptos" w:cs="Aptos" w:eastAsia="Aptos"/>
                <w:sz w:val="22"/>
                <w:szCs w:val="22"/>
                <w:color w:val="1A1A1A"/>
              </w:rPr>
              <w:t xml:space="preserve">Modulo D — Generazione assistita della documentazione di risposta (a partire da template Achipont + capitolato del bando)</w:t>
            </w:r>
          </w:p>
        </w:tc>
        <w:tc>
          <w:tcPr>
            <w:tcW w:w="2526" w:type="dxa"/>
            <w:tcMar>
              <w:top w:w="120" w:type="dxa"/>
              <w:bottom w:w="120" w:type="dxa"/>
              <w:left w:w="120" w:type="dxa"/>
              <w:right w:w="120" w:type="dxa"/>
            </w:tcMar>
          </w:tcPr>
          <w:p>
            <w:pPr>
              <w:spacing w:after="60"/>
            </w:pPr>
            <w:r>
              <w:rPr>
                <w:rFonts w:ascii="Aptos" w:hAnsi="Aptos" w:cs="Aptos" w:eastAsia="Aptos"/>
                <w:sz w:val="22"/>
                <w:szCs w:val="22"/>
                <w:color w:val="1A1A1A"/>
              </w:rPr>
              <w:t xml:space="preserve">€ 15.000 — € 18.000</w:t>
            </w:r>
          </w:p>
        </w:tc>
      </w:tr>
      <w:tr>
        <w:tc>
          <w:tcPr>
            <w:tcW w:w="6500" w:type="dxa"/>
            <w:tcMar>
              <w:top w:w="120" w:type="dxa"/>
              <w:bottom w:w="120" w:type="dxa"/>
              <w:left w:w="120" w:type="dxa"/>
              <w:right w:w="120" w:type="dxa"/>
            </w:tcMar>
          </w:tcPr>
          <w:p>
            <w:pPr>
              <w:spacing w:after="60"/>
            </w:pPr>
            <w:r>
              <w:rPr>
                <w:rFonts w:ascii="Aptos" w:hAnsi="Aptos" w:cs="Aptos" w:eastAsia="Aptos"/>
                <w:sz w:val="22"/>
                <w:szCs w:val="22"/>
                <w:color w:val="1A1A1A"/>
              </w:rPr>
              <w:t xml:space="preserve">Ampliamento ADR (Aeroporti di Roma) — primo portale proprietario per inviti diretti da albo, pattern replicabile per ulteriori committenti</w:t>
            </w:r>
          </w:p>
        </w:tc>
        <w:tc>
          <w:tcPr>
            <w:tcW w:w="2526" w:type="dxa"/>
            <w:tcMar>
              <w:top w:w="120" w:type="dxa"/>
              <w:bottom w:w="120" w:type="dxa"/>
              <w:left w:w="120" w:type="dxa"/>
              <w:right w:w="120" w:type="dxa"/>
            </w:tcMar>
          </w:tcPr>
          <w:p>
            <w:pPr>
              <w:spacing w:after="60"/>
            </w:pPr>
            <w:r>
              <w:rPr>
                <w:rFonts w:ascii="Aptos" w:hAnsi="Aptos" w:cs="Aptos" w:eastAsia="Aptos"/>
                <w:sz w:val="22"/>
                <w:szCs w:val="22"/>
                <w:color w:val="1A1A1A"/>
              </w:rPr>
              <w:t xml:space="preserve">€ 6.000 — € 8.000</w:t>
            </w:r>
          </w:p>
        </w:tc>
      </w:tr>
      <w:tr>
        <w:tc>
          <w:tcPr>
            <w:tcW w:w="6500" w:type="dxa"/>
            <w:tcMar>
              <w:top w:w="120" w:type="dxa"/>
              <w:bottom w:w="120" w:type="dxa"/>
              <w:left w:w="120" w:type="dxa"/>
              <w:right w:w="120" w:type="dxa"/>
            </w:tcMar>
          </w:tcPr>
          <w:p>
            <w:pPr>
              <w:spacing w:after="60"/>
            </w:pPr>
            <w:r>
              <w:rPr>
                <w:rFonts w:ascii="Aptos" w:hAnsi="Aptos" w:cs="Aptos" w:eastAsia="Aptos"/>
                <w:sz w:val="22"/>
                <w:szCs w:val="22"/>
                <w:color w:val="1A1A1A"/>
              </w:rPr>
              <w:t xml:space="preserve">Ampliamenti successivi (ANAS proprio, Portale Stella, TED europeo, Incentivi.gov.it) — stima sintetica da consolidare</w:t>
            </w:r>
          </w:p>
        </w:tc>
        <w:tc>
          <w:tcPr>
            <w:tcW w:w="2526" w:type="dxa"/>
            <w:tcMar>
              <w:top w:w="120" w:type="dxa"/>
              <w:bottom w:w="120" w:type="dxa"/>
              <w:left w:w="120" w:type="dxa"/>
              <w:right w:w="120" w:type="dxa"/>
            </w:tcMar>
          </w:tcPr>
          <w:p>
            <w:pPr>
              <w:spacing w:after="60"/>
            </w:pPr>
            <w:r>
              <w:rPr>
                <w:rFonts w:ascii="Aptos" w:hAnsi="Aptos" w:cs="Aptos" w:eastAsia="Aptos"/>
                <w:sz w:val="22"/>
                <w:szCs w:val="22"/>
                <w:color w:val="1A1A1A"/>
              </w:rPr>
              <w:t xml:space="preserve">su quotazione</w:t>
            </w:r>
          </w:p>
        </w:tc>
      </w:tr>
    </w:tbl>
    <w:p>
      <w:pPr>
        <w:spacing w:after="160"/>
      </w:pPr>
    </w:p>
    <w:p>
      <w:pPr>
        <w:pStyle w:val="Heading 1"/>
        <w:spacing w:before="200" w:after="200"/>
      </w:pPr>
      <w:r>
        <w:rPr>
          <w:rFonts w:ascii="Aptos" w:hAnsi="Aptos" w:cs="Aptos" w:eastAsia="Aptos"/>
          <w:b/>
          <w:bCs/>
          <w:sz w:val="32"/>
          <w:szCs w:val="32"/>
          <w:color w:val="000000"/>
        </w:rPr>
        <w:t xml:space="preserve">10. Modalità di Pagamento</w:t>
      </w:r>
    </w:p>
    <w:p>
      <w:pPr>
        <w:spacing w:after="120"/>
      </w:pPr>
      <w:r>
        <w:rPr>
          <w:rFonts w:ascii="Aptos" w:hAnsi="Aptos" w:cs="Aptos" w:eastAsia="Aptos"/>
          <w:sz w:val="22"/>
          <w:szCs w:val="22"/>
          <w:color w:val="1A1A1A"/>
        </w:rPr>
        <w:t xml:space="preserve">Il pagamento dell'investimento MVP è articolato in 3 tranche legate alle milestone di progetto, garantendo trasparenza e allineamento tra investimento e avanzamento lavori:</w:t>
      </w:r>
    </w:p>
    <w:p>
      <w:pPr>
        <w:pStyle w:val="Paragrafoelenco"/>
        <w:numPr>
          <w:ilvl w:val="0"/>
          <w:numId w:val="1"/>
        </w:numPr>
        <w:spacing w:after="80"/>
      </w:pPr>
      <w:r>
        <w:rPr>
          <w:rFonts w:ascii="Aptos" w:hAnsi="Aptos" w:cs="Aptos" w:eastAsia="Aptos"/>
          <w:sz w:val="22"/>
          <w:szCs w:val="22"/>
          <w:color w:val="1A1A1A"/>
        </w:rPr>
        <w:t xml:space="preserve">40% alla firma del contratto e avvio operativo</w:t>
      </w:r>
    </w:p>
    <w:p>
      <w:pPr>
        <w:pStyle w:val="Paragrafoelenco"/>
        <w:numPr>
          <w:ilvl w:val="0"/>
          <w:numId w:val="1"/>
        </w:numPr>
        <w:spacing w:after="80"/>
      </w:pPr>
      <w:r>
        <w:rPr>
          <w:rFonts w:ascii="Aptos" w:hAnsi="Aptos" w:cs="Aptos" w:eastAsia="Aptos"/>
          <w:sz w:val="22"/>
          <w:szCs w:val="22"/>
          <w:color w:val="1A1A1A"/>
        </w:rPr>
        <w:t xml:space="preserve">30% al rilascio MVP funzionante in ambiente di test (fine Fase 2)</w:t>
      </w:r>
    </w:p>
    <w:p>
      <w:pPr>
        <w:pStyle w:val="Paragrafoelenco"/>
        <w:numPr>
          <w:ilvl w:val="0"/>
          <w:numId w:val="1"/>
        </w:numPr>
        <w:spacing w:after="80"/>
      </w:pPr>
      <w:r>
        <w:rPr>
          <w:rFonts w:ascii="Aptos" w:hAnsi="Aptos" w:cs="Aptos" w:eastAsia="Aptos"/>
          <w:sz w:val="22"/>
          <w:szCs w:val="22"/>
          <w:color w:val="1A1A1A"/>
        </w:rPr>
        <w:t xml:space="preserve">30% al go-live in produzione e completamento dei 30 giorni di assistenza correttiva</w:t>
      </w:r>
    </w:p>
    <w:p>
      <w:pPr>
        <w:spacing w:after="120"/>
      </w:pPr>
      <w:r>
        <w:rPr>
          <w:rFonts w:ascii="Aptos" w:hAnsi="Aptos" w:cs="Aptos" w:eastAsia="Aptos"/>
          <w:sz w:val="22"/>
          <w:szCs w:val="22"/>
          <w:color w:val="1A1A1A"/>
        </w:rPr>
        <w:t xml:space="preserve">Ogni opzionale o modulo di Fase 2 attivato successivamente segue il medesimo schema 40/30/30 sui propri importi.</w:t>
      </w:r>
    </w:p>
    <w:p>
      <w:pPr>
        <w:pStyle w:val="Heading 1"/>
        <w:spacing w:before="200" w:after="200"/>
      </w:pPr>
      <w:r>
        <w:rPr>
          <w:rFonts w:ascii="Aptos" w:hAnsi="Aptos" w:cs="Aptos" w:eastAsia="Aptos"/>
          <w:b/>
          <w:bCs/>
          <w:sz w:val="32"/>
          <w:szCs w:val="32"/>
          <w:color w:val="000000"/>
        </w:rPr>
        <w:t xml:space="preserve">11. Governance e Presidi Contrattuali</w:t>
      </w:r>
    </w:p>
    <w:p>
      <w:pPr>
        <w:spacing w:before="200" w:after="120"/>
      </w:pPr>
      <w:r>
        <w:rPr>
          <w:rFonts w:ascii="Aptos" w:hAnsi="Aptos" w:cs="Aptos" w:eastAsia="Aptos"/>
          <w:b/>
          <w:bCs/>
          <w:sz w:val="24"/>
          <w:szCs w:val="24"/>
          <w:color w:val="000000"/>
        </w:rPr>
        <w:t xml:space="preserve">11.1 Requirement Log come perimetro</w:t>
      </w:r>
    </w:p>
    <w:p>
      <w:pPr>
        <w:spacing w:after="120"/>
      </w:pPr>
      <w:r>
        <w:rPr>
          <w:rFonts w:ascii="Aptos" w:hAnsi="Aptos" w:cs="Aptos" w:eastAsia="Aptos"/>
          <w:sz w:val="22"/>
          <w:szCs w:val="22"/>
          <w:color w:val="1A1A1A"/>
        </w:rPr>
        <w:t xml:space="preserve">Il Requirement Log allegato (Achipont_RequirementLog_v2) costituisce il perimetro contrattuale vincolante. Qualsiasi requisito che emerga in corso di sviluppo e non risulti incluso nel Requirement Log è qualificato come Change Request e quotato separatamente.</w:t>
      </w:r>
    </w:p>
    <w:p>
      <w:pPr>
        <w:spacing w:before="200" w:after="120"/>
      </w:pPr>
      <w:r>
        <w:rPr>
          <w:rFonts w:ascii="Aptos" w:hAnsi="Aptos" w:cs="Aptos" w:eastAsia="Aptos"/>
          <w:b/>
          <w:bCs/>
          <w:sz w:val="24"/>
          <w:szCs w:val="24"/>
          <w:color w:val="000000"/>
        </w:rPr>
        <w:t xml:space="preserve">11.2 Integrazioni proprietarie e fonti esterne</w:t>
      </w:r>
    </w:p>
    <w:p>
      <w:pPr>
        <w:spacing w:after="120"/>
      </w:pPr>
      <w:r>
        <w:rPr>
          <w:rFonts w:ascii="Aptos" w:hAnsi="Aptos" w:cs="Aptos" w:eastAsia="Aptos"/>
          <w:sz w:val="22"/>
          <w:szCs w:val="22"/>
          <w:color w:val="1A1A1A"/>
        </w:rPr>
        <w:t xml:space="preserve">L'MVP integra esclusivamente la fonte pubblica ufficiale BDNCP. Eventuali integrazioni proprietarie (ADR e altri) attivate in Fase 2 prevedono: sviluppo iniziale dell'integrazione incluso nella relativa quotazione; manutenzione successiva esclusa salvo accordo dedicato (rotture per modifiche delle piattaforme proprietarie sono Change Request quotata a parte).</w:t>
      </w:r>
    </w:p>
    <w:p>
      <w:pPr>
        <w:spacing w:before="200" w:after="120"/>
      </w:pPr>
      <w:r>
        <w:rPr>
          <w:rFonts w:ascii="Aptos" w:hAnsi="Aptos" w:cs="Aptos" w:eastAsia="Aptos"/>
          <w:b/>
          <w:bCs/>
          <w:sz w:val="24"/>
          <w:szCs w:val="24"/>
          <w:color w:val="000000"/>
        </w:rPr>
        <w:t xml:space="preserve">11.3 Service Level e supporto</w:t>
      </w:r>
    </w:p>
    <w:p>
      <w:pPr>
        <w:spacing w:after="120"/>
      </w:pPr>
      <w:r>
        <w:rPr>
          <w:rFonts w:ascii="Aptos" w:hAnsi="Aptos" w:cs="Aptos" w:eastAsia="Aptos"/>
          <w:sz w:val="22"/>
          <w:szCs w:val="22"/>
          <w:color w:val="1A1A1A"/>
        </w:rPr>
        <w:t xml:space="preserve">Aggiornamento dei dati: giornaliero, con visibilità nuove opportunità entro 24 ore dalla pubblicazione sulla fonte ufficiale. Carico applicativo: 3-5 utenti concorrenti. Assistenza correttiva: 30 giorni post go-live (fino a 10 ore di intervento per bug fixing). Oltre il periodo di assistenza iniziale, manutenzione correttiva ed evolutiva sono regolate dal pacchetto di manutenzione mensile (sezione 8.3) con SLA dedicati.</w:t>
      </w:r>
    </w:p>
    <w:p>
      <w:pPr>
        <w:pStyle w:val="Heading 1"/>
        <w:spacing w:before="200" w:after="200"/>
      </w:pPr>
      <w:r>
        <w:rPr>
          <w:rFonts w:ascii="Aptos" w:hAnsi="Aptos" w:cs="Aptos" w:eastAsia="Aptos"/>
          <w:b/>
          <w:bCs/>
          <w:sz w:val="32"/>
          <w:szCs w:val="32"/>
          <w:color w:val="000000"/>
        </w:rPr>
        <w:t xml:space="preserve">12. Impegni delle Parti</w:t>
      </w:r>
    </w:p>
    <w:p>
      <w:pPr>
        <w:spacing w:before="200" w:after="120"/>
      </w:pPr>
      <w:r>
        <w:rPr>
          <w:rFonts w:ascii="Aptos" w:hAnsi="Aptos" w:cs="Aptos" w:eastAsia="Aptos"/>
          <w:b/>
          <w:bCs/>
          <w:sz w:val="24"/>
          <w:szCs w:val="24"/>
          <w:color w:val="000000"/>
        </w:rPr>
        <w:t xml:space="preserve">12.1 Da parte di HeyAI</w:t>
      </w:r>
    </w:p>
    <w:p>
      <w:pPr>
        <w:pStyle w:val="Paragrafoelenco"/>
        <w:numPr>
          <w:ilvl w:val="0"/>
          <w:numId w:val="1"/>
        </w:numPr>
        <w:spacing w:after="80"/>
      </w:pPr>
      <w:r>
        <w:rPr>
          <w:rFonts w:ascii="Aptos" w:hAnsi="Aptos" w:cs="Aptos" w:eastAsia="Aptos"/>
          <w:sz w:val="22"/>
          <w:szCs w:val="22"/>
          <w:color w:val="1A1A1A"/>
        </w:rPr>
        <w:t xml:space="preserve">Analisi funzionale, progettazione e sviluppo completo della piattaforma MVP</w:t>
      </w:r>
    </w:p>
    <w:p>
      <w:pPr>
        <w:pStyle w:val="Paragrafoelenco"/>
        <w:numPr>
          <w:ilvl w:val="0"/>
          <w:numId w:val="1"/>
        </w:numPr>
        <w:spacing w:after="80"/>
      </w:pPr>
      <w:r>
        <w:rPr>
          <w:rFonts w:ascii="Aptos" w:hAnsi="Aptos" w:cs="Aptos" w:eastAsia="Aptos"/>
          <w:sz w:val="22"/>
          <w:szCs w:val="22"/>
          <w:color w:val="1A1A1A"/>
        </w:rPr>
        <w:t xml:space="preserve">Integrazione API BDNCP e configurazione del motore di scoring AI</w:t>
      </w:r>
    </w:p>
    <w:p>
      <w:pPr>
        <w:pStyle w:val="Paragrafoelenco"/>
        <w:numPr>
          <w:ilvl w:val="0"/>
          <w:numId w:val="1"/>
        </w:numPr>
        <w:spacing w:after="80"/>
      </w:pPr>
      <w:r>
        <w:rPr>
          <w:rFonts w:ascii="Aptos" w:hAnsi="Aptos" w:cs="Aptos" w:eastAsia="Aptos"/>
          <w:sz w:val="22"/>
          <w:szCs w:val="22"/>
          <w:color w:val="1A1A1A"/>
        </w:rPr>
        <w:t xml:space="preserve">Testing, rilascio in produzione e assistenza correttiva post go-live (30 giorni)</w:t>
      </w:r>
    </w:p>
    <w:p>
      <w:pPr>
        <w:pStyle w:val="Paragrafoelenco"/>
        <w:numPr>
          <w:ilvl w:val="0"/>
          <w:numId w:val="1"/>
        </w:numPr>
        <w:spacing w:after="80"/>
      </w:pPr>
      <w:r>
        <w:rPr>
          <w:rFonts w:ascii="Aptos" w:hAnsi="Aptos" w:cs="Aptos" w:eastAsia="Aptos"/>
          <w:sz w:val="22"/>
          <w:szCs w:val="22"/>
          <w:color w:val="1A1A1A"/>
        </w:rPr>
        <w:t xml:space="preserve">Training operativo del team Achipont</w:t>
      </w:r>
    </w:p>
    <w:p>
      <w:pPr>
        <w:pStyle w:val="Paragrafoelenco"/>
        <w:numPr>
          <w:ilvl w:val="0"/>
          <w:numId w:val="1"/>
        </w:numPr>
        <w:spacing w:after="80"/>
      </w:pPr>
      <w:r>
        <w:rPr>
          <w:rFonts w:ascii="Aptos" w:hAnsi="Aptos" w:cs="Aptos" w:eastAsia="Aptos"/>
          <w:sz w:val="22"/>
          <w:szCs w:val="22"/>
          <w:color w:val="1A1A1A"/>
        </w:rPr>
        <w:t xml:space="preserve">Project management e interlocuzione unica per tutta la durata del progetto</w:t>
      </w:r>
    </w:p>
    <w:p>
      <w:pPr>
        <w:spacing w:before="200" w:after="120"/>
      </w:pPr>
      <w:r>
        <w:rPr>
          <w:rFonts w:ascii="Aptos" w:hAnsi="Aptos" w:cs="Aptos" w:eastAsia="Aptos"/>
          <w:b/>
          <w:bCs/>
          <w:sz w:val="24"/>
          <w:szCs w:val="24"/>
          <w:color w:val="000000"/>
        </w:rPr>
        <w:t xml:space="preserve">12.2 Da parte del Cliente</w:t>
      </w:r>
    </w:p>
    <w:p>
      <w:pPr>
        <w:pStyle w:val="Paragrafoelenco"/>
        <w:numPr>
          <w:ilvl w:val="0"/>
          <w:numId w:val="1"/>
        </w:numPr>
        <w:spacing w:after="80"/>
      </w:pPr>
      <w:r>
        <w:rPr>
          <w:rFonts w:ascii="Aptos" w:hAnsi="Aptos" w:cs="Aptos" w:eastAsia="Aptos"/>
          <w:sz w:val="22"/>
          <w:szCs w:val="22"/>
          <w:color w:val="1A1A1A"/>
        </w:rPr>
        <w:t xml:space="preserve">Validazione del Requirement Log in fase pre-firma</w:t>
      </w:r>
    </w:p>
    <w:p>
      <w:pPr>
        <w:pStyle w:val="Paragrafoelenco"/>
        <w:numPr>
          <w:ilvl w:val="0"/>
          <w:numId w:val="1"/>
        </w:numPr>
        <w:spacing w:after="80"/>
      </w:pPr>
      <w:r>
        <w:rPr>
          <w:rFonts w:ascii="Aptos" w:hAnsi="Aptos" w:cs="Aptos" w:eastAsia="Aptos"/>
          <w:sz w:val="22"/>
          <w:szCs w:val="22"/>
          <w:color w:val="1A1A1A"/>
        </w:rPr>
        <w:t xml:space="preserve">Disponibilità per il kick-off e per le sessioni di User Acceptance Test (Fase 3)</w:t>
      </w:r>
    </w:p>
    <w:p>
      <w:pPr>
        <w:pStyle w:val="Paragrafoelenco"/>
        <w:numPr>
          <w:ilvl w:val="0"/>
          <w:numId w:val="1"/>
        </w:numPr>
        <w:spacing w:after="80"/>
      </w:pPr>
      <w:r>
        <w:rPr>
          <w:rFonts w:ascii="Aptos" w:hAnsi="Aptos" w:cs="Aptos" w:eastAsia="Aptos"/>
          <w:sz w:val="22"/>
          <w:szCs w:val="22"/>
          <w:color w:val="1A1A1A"/>
        </w:rPr>
        <w:t xml:space="preserve">Fornitura tempestiva di credenziali, profili e materiali necessari (es. logo, profilo aziendale, eventuali template per Fase 2)</w:t>
      </w:r>
    </w:p>
    <w:p>
      <w:pPr>
        <w:pStyle w:val="Paragrafoelenco"/>
        <w:numPr>
          <w:ilvl w:val="0"/>
          <w:numId w:val="1"/>
        </w:numPr>
        <w:spacing w:after="80"/>
      </w:pPr>
      <w:r>
        <w:rPr>
          <w:rFonts w:ascii="Aptos" w:hAnsi="Aptos" w:cs="Aptos" w:eastAsia="Aptos"/>
          <w:sz w:val="22"/>
          <w:szCs w:val="22"/>
          <w:color w:val="1A1A1A"/>
        </w:rPr>
        <w:t xml:space="preserve">Messa a disposizione delle credenziali di accesso ai portali eventualmente richiesti per Fase 2 (ADR, ANAS, ecc.) entro 15 giorni dalla firma della relativa quotazione</w:t>
      </w:r>
    </w:p>
    <w:p>
      <w:pPr>
        <w:pStyle w:val="Paragrafoelenco"/>
        <w:numPr>
          <w:ilvl w:val="0"/>
          <w:numId w:val="1"/>
        </w:numPr>
        <w:spacing w:after="80"/>
      </w:pPr>
      <w:r>
        <w:rPr>
          <w:rFonts w:ascii="Aptos" w:hAnsi="Aptos" w:cs="Aptos" w:eastAsia="Aptos"/>
          <w:sz w:val="22"/>
          <w:szCs w:val="22"/>
          <w:color w:val="1A1A1A"/>
        </w:rPr>
        <w:t xml:space="preserve">Pagamento alle scadenze concordate nelle modalità della sezione 10</w:t>
      </w:r>
    </w:p>
    <w:p>
      <w:pPr>
        <w:pStyle w:val="Heading 1"/>
        <w:spacing w:before="200" w:after="200"/>
      </w:pPr>
      <w:r>
        <w:rPr>
          <w:rFonts w:ascii="Aptos" w:hAnsi="Aptos" w:cs="Aptos" w:eastAsia="Aptos"/>
          <w:b/>
          <w:bCs/>
          <w:sz w:val="32"/>
          <w:szCs w:val="32"/>
          <w:color w:val="000000"/>
        </w:rPr>
        <w:t xml:space="preserve">13. Prossimi Passi</w:t>
      </w:r>
    </w:p>
    <w:p>
      <w:pPr>
        <w:spacing w:after="120"/>
      </w:pPr>
      <w:r>
        <w:rPr>
          <w:rFonts w:ascii="Aptos" w:hAnsi="Aptos" w:cs="Aptos" w:eastAsia="Aptos"/>
          <w:sz w:val="22"/>
          <w:szCs w:val="22"/>
          <w:color w:val="1A1A1A"/>
        </w:rPr>
        <w:t xml:space="preserve">La presente proposta è valida 30 giorni dalla data di emissione. L'accettazione avviene tramite restituzione del documento firmato per accettazione, alla quale segue la formalizzazione del contratto e l'apertura della Fase 0 (kick-off).</w:t>
      </w:r>
    </w:p>
    <w:p>
      <w:pPr>
        <w:spacing w:after="200"/>
      </w:pPr>
      <w:r>
        <w:rPr>
          <w:rFonts w:ascii="Aptos" w:hAnsi="Aptos" w:cs="Aptos" w:eastAsia="Aptos"/>
          <w:i/>
          <w:iCs/>
          <w:sz w:val="22"/>
          <w:szCs w:val="22"/>
          <w:color w:val="606060"/>
        </w:rPr>
        <w:t xml:space="preserve">Restiamo a disposizione per qualsiasi chiarimento o approfondimento.</w:t>
      </w:r>
    </w:p>
    <w:sectPr w:rsidR="00860BEA" w:rsidRPr="001676B9">
      <w:headerReference w:type="default" r:id="rId8"/>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08D72" w14:textId="77777777" w:rsidR="00E4148F" w:rsidRDefault="00E4148F" w:rsidP="00830B01">
      <w:r>
        <w:separator/>
      </w:r>
    </w:p>
  </w:endnote>
  <w:endnote w:type="continuationSeparator" w:id="0">
    <w:p w14:paraId="3C1DA350" w14:textId="77777777" w:rsidR="00E4148F" w:rsidRDefault="00E4148F" w:rsidP="00830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cre Medium">
    <w:panose1 w:val="00000600000000000000"/>
    <w:charset w:val="4D"/>
    <w:family w:val="auto"/>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D2D8" w14:textId="77777777" w:rsidR="006447B6" w:rsidRDefault="006447B6">
    <w:pPr>
      <w:pStyle w:val="Intestazione"/>
      <w:pBdr>
        <w:top w:val="single" w:sz="6" w:space="10" w:color="156082" w:themeColor="accent1"/>
      </w:pBdr>
      <w:spacing w:before="240"/>
      <w:jc w:val="center"/>
      <w:rPr>
        <w:color w:val="156082" w:themeColor="accent1"/>
      </w:rPr>
    </w:pPr>
    <w:r>
      <w:rPr>
        <w:noProof/>
        <w:color w:val="156082" w:themeColor="accent1"/>
      </w:rPr>
      <w:drawing>
        <wp:inline distT="0" distB="0" distL="0" distR="0" wp14:anchorId="25E15BA5" wp14:editId="51858854">
          <wp:extent cx="438912" cy="276973"/>
          <wp:effectExtent l="0" t="0" r="0" b="8890"/>
          <wp:docPr id="149396593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0FC6A142" w14:textId="77777777" w:rsidR="006447B6" w:rsidRDefault="006447B6" w:rsidP="006447B6">
    <w:pPr>
      <w:pStyle w:val="Pidipagina"/>
    </w:pPr>
  </w:p>
  <w:p w14:paraId="52250CF5" w14:textId="77777777" w:rsidR="00830B01" w:rsidRPr="006447B6" w:rsidRDefault="006447B6" w:rsidP="006447B6">
    <w:pPr>
      <w:pStyle w:val="Pidipagina"/>
      <w:rPr>
        <w:rFonts w:ascii="Acre Medium" w:hAnsi="Acre Medium"/>
        <w:sz w:val="18"/>
        <w:szCs w:val="18"/>
      </w:rPr>
    </w:pPr>
    <w:r w:rsidRPr="006447B6">
      <w:rPr>
        <w:rFonts w:ascii="Acre Medium" w:hAnsi="Acre Medium"/>
        <w:sz w:val="18"/>
        <w:szCs w:val="18"/>
      </w:rPr>
      <w:t>PEC: heyai@pec.it | REA RM – 1751505 | Cod. Fiscale: 17947791004 | Amministratore Unico: Ing. Bruno Mattucci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9EEEA" w14:textId="77777777" w:rsidR="00E4148F" w:rsidRDefault="00E4148F" w:rsidP="00830B01">
      <w:r>
        <w:separator/>
      </w:r>
    </w:p>
  </w:footnote>
  <w:footnote w:type="continuationSeparator" w:id="0">
    <w:p w14:paraId="03BCF43D" w14:textId="77777777" w:rsidR="00E4148F" w:rsidRDefault="00E4148F" w:rsidP="00830B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F2B00" w14:textId="77777777" w:rsidR="006447B6" w:rsidRPr="006447B6" w:rsidRDefault="006447B6" w:rsidP="006447B6">
    <w:pPr>
      <w:pStyle w:val="Intestazione"/>
      <w:ind w:left="7080"/>
      <w:rPr>
        <w:rFonts w:ascii="Acre Medium" w:hAnsi="Acre Medium"/>
        <w:sz w:val="21"/>
        <w:szCs w:val="21"/>
      </w:rPr>
    </w:pPr>
    <w:r>
      <w:rPr>
        <w:noProof/>
      </w:rPr>
      <w:drawing>
        <wp:anchor distT="0" distB="0" distL="114300" distR="114300" simplePos="0" relativeHeight="251658240" behindDoc="0" locked="0" layoutInCell="1" allowOverlap="1" wp14:anchorId="6AADEDA9" wp14:editId="5960B222">
          <wp:simplePos x="0" y="0"/>
          <wp:positionH relativeFrom="margin">
            <wp:posOffset>-395014</wp:posOffset>
          </wp:positionH>
          <wp:positionV relativeFrom="margin">
            <wp:posOffset>-1262380</wp:posOffset>
          </wp:positionV>
          <wp:extent cx="1898650" cy="1343660"/>
          <wp:effectExtent l="0" t="0" r="0" b="0"/>
          <wp:wrapSquare wrapText="bothSides"/>
          <wp:docPr id="146495883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10876" name="Immagine 2103810876"/>
                  <pic:cNvPicPr/>
                </pic:nvPicPr>
                <pic:blipFill>
                  <a:blip r:embed="rId1">
                    <a:extLst>
                      <a:ext uri="{28A0092B-C50C-407E-A947-70E740481C1C}">
                        <a14:useLocalDpi xmlns:a14="http://schemas.microsoft.com/office/drawing/2010/main" val="0"/>
                      </a:ext>
                    </a:extLst>
                  </a:blip>
                  <a:stretch>
                    <a:fillRect/>
                  </a:stretch>
                </pic:blipFill>
                <pic:spPr>
                  <a:xfrm>
                    <a:off x="0" y="0"/>
                    <a:ext cx="1898650" cy="1343660"/>
                  </a:xfrm>
                  <a:prstGeom prst="rect">
                    <a:avLst/>
                  </a:prstGeom>
                </pic:spPr>
              </pic:pic>
            </a:graphicData>
          </a:graphic>
          <wp14:sizeRelH relativeFrom="margin">
            <wp14:pctWidth>0</wp14:pctWidth>
          </wp14:sizeRelH>
          <wp14:sizeRelV relativeFrom="margin">
            <wp14:pctHeight>0</wp14:pctHeight>
          </wp14:sizeRelV>
        </wp:anchor>
      </w:drawing>
    </w:r>
    <w:r w:rsidRPr="006447B6">
      <w:ptab w:relativeTo="margin" w:alignment="center" w:leader="none"/>
    </w:r>
    <w:r w:rsidRPr="006447B6">
      <w:rPr>
        <w:rFonts w:ascii="Acre Medium" w:hAnsi="Acre Medium"/>
        <w:sz w:val="21"/>
        <w:szCs w:val="21"/>
      </w:rPr>
      <w:t>HeyAI S.r.l.</w:t>
    </w:r>
  </w:p>
  <w:p w14:paraId="34516762" w14:textId="77777777" w:rsidR="006447B6" w:rsidRDefault="006447B6" w:rsidP="006447B6">
    <w:pPr>
      <w:pStyle w:val="Intestazione"/>
      <w:ind w:left="7080"/>
      <w:rPr>
        <w:rFonts w:ascii="Acre Medium" w:hAnsi="Acre Medium"/>
        <w:sz w:val="21"/>
        <w:szCs w:val="21"/>
      </w:rPr>
    </w:pPr>
    <w:r w:rsidRPr="006447B6">
      <w:rPr>
        <w:rFonts w:ascii="Acre Medium" w:hAnsi="Acre Medium"/>
        <w:sz w:val="21"/>
        <w:szCs w:val="21"/>
      </w:rPr>
      <w:t>Sede legale: Via Parigi 11</w:t>
    </w:r>
    <w:r>
      <w:rPr>
        <w:rFonts w:ascii="Acre Medium" w:hAnsi="Acre Medium"/>
        <w:sz w:val="21"/>
        <w:szCs w:val="21"/>
      </w:rPr>
      <w:t xml:space="preserve">, </w:t>
    </w:r>
    <w:r w:rsidRPr="006447B6">
      <w:rPr>
        <w:rFonts w:ascii="Acre Medium" w:hAnsi="Acre Medium"/>
        <w:sz w:val="21"/>
        <w:szCs w:val="21"/>
      </w:rPr>
      <w:t>00185 Roma (RM)</w:t>
    </w:r>
  </w:p>
  <w:p w14:paraId="31F7DFE9" w14:textId="77777777" w:rsidR="006447B6" w:rsidRDefault="006447B6" w:rsidP="006447B6">
    <w:pPr>
      <w:pStyle w:val="Intestazione"/>
      <w:ind w:left="7080"/>
      <w:rPr>
        <w:rFonts w:ascii="Acre Medium" w:hAnsi="Acre Medium"/>
        <w:sz w:val="21"/>
        <w:szCs w:val="21"/>
      </w:rPr>
    </w:pPr>
    <w:hyperlink r:id="rId2" w:history="1">
      <w:r w:rsidRPr="003F0114">
        <w:rPr>
          <w:rStyle w:val="Collegamentoipertestuale"/>
          <w:rFonts w:ascii="Acre Medium" w:hAnsi="Acre Medium"/>
          <w:sz w:val="21"/>
          <w:szCs w:val="21"/>
        </w:rPr>
        <w:t>info@heyaidigital.it</w:t>
      </w:r>
    </w:hyperlink>
  </w:p>
  <w:p w14:paraId="0D55C829" w14:textId="77777777" w:rsidR="006447B6" w:rsidRDefault="006447B6" w:rsidP="006447B6">
    <w:pPr>
      <w:pStyle w:val="Intestazione"/>
      <w:ind w:left="7080"/>
    </w:pPr>
    <w:r>
      <w:rPr>
        <w:rFonts w:ascii="Acre Medium" w:hAnsi="Acre Medium"/>
        <w:sz w:val="21"/>
        <w:szCs w:val="21"/>
      </w:rPr>
      <w:t>www.heyaidigital.it</w:t>
    </w:r>
  </w:p>
  <w:p w14:paraId="2EEC908E" w14:textId="77777777" w:rsidR="00830B01" w:rsidRPr="006447B6" w:rsidRDefault="00830B01" w:rsidP="006447B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6A4"/>
    <w:multiLevelType w:val="hybridMultilevel"/>
    <w:tmpl w:val="7A2A2930"/>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4111E05"/>
    <w:multiLevelType w:val="hybridMultilevel"/>
    <w:tmpl w:val="AB6A94B4"/>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50D788B"/>
    <w:multiLevelType w:val="multilevel"/>
    <w:tmpl w:val="70107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161A5"/>
    <w:multiLevelType w:val="multilevel"/>
    <w:tmpl w:val="7E68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C776A"/>
    <w:multiLevelType w:val="multilevel"/>
    <w:tmpl w:val="00307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6779F"/>
    <w:multiLevelType w:val="hybridMultilevel"/>
    <w:tmpl w:val="9F2E41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EBD08B9"/>
    <w:multiLevelType w:val="multilevel"/>
    <w:tmpl w:val="BB86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32621"/>
    <w:multiLevelType w:val="multilevel"/>
    <w:tmpl w:val="F2425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C0E27"/>
    <w:multiLevelType w:val="multilevel"/>
    <w:tmpl w:val="5402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23694"/>
    <w:multiLevelType w:val="hybridMultilevel"/>
    <w:tmpl w:val="F6F84A5A"/>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9CE19D8"/>
    <w:multiLevelType w:val="multilevel"/>
    <w:tmpl w:val="54CE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14CDD"/>
    <w:multiLevelType w:val="hybridMultilevel"/>
    <w:tmpl w:val="E696A940"/>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CBA4E7E"/>
    <w:multiLevelType w:val="multilevel"/>
    <w:tmpl w:val="1028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40532"/>
    <w:multiLevelType w:val="multilevel"/>
    <w:tmpl w:val="E87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E29B3"/>
    <w:multiLevelType w:val="multilevel"/>
    <w:tmpl w:val="C8DC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B4A7E"/>
    <w:multiLevelType w:val="hybridMultilevel"/>
    <w:tmpl w:val="EAC2B4E8"/>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257D6C72"/>
    <w:multiLevelType w:val="hybridMultilevel"/>
    <w:tmpl w:val="54EC4F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8870280"/>
    <w:multiLevelType w:val="multilevel"/>
    <w:tmpl w:val="493E3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8F299C"/>
    <w:multiLevelType w:val="hybridMultilevel"/>
    <w:tmpl w:val="FE1AC952"/>
    <w:lvl w:ilvl="0" w:tplc="88E2C364">
      <w:numFmt w:val="bullet"/>
      <w:lvlText w:val="•"/>
      <w:lvlJc w:val="left"/>
      <w:pPr>
        <w:ind w:left="1068" w:hanging="360"/>
      </w:pPr>
      <w:rPr>
        <w:rFonts w:ascii="Aptos" w:eastAsia="Times New Roman" w:hAnsi="Aptos" w:cs="Times New Roman"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9" w15:restartNumberingAfterBreak="0">
    <w:nsid w:val="297117D4"/>
    <w:multiLevelType w:val="multilevel"/>
    <w:tmpl w:val="B3207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DC6702"/>
    <w:multiLevelType w:val="multilevel"/>
    <w:tmpl w:val="E5ACA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D424F"/>
    <w:multiLevelType w:val="hybridMultilevel"/>
    <w:tmpl w:val="4020649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16A31AD"/>
    <w:multiLevelType w:val="multilevel"/>
    <w:tmpl w:val="C990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A64B3"/>
    <w:multiLevelType w:val="hybridMultilevel"/>
    <w:tmpl w:val="05C6ECC4"/>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2DD5E45"/>
    <w:multiLevelType w:val="hybridMultilevel"/>
    <w:tmpl w:val="7E1A18EA"/>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44EB1B2B"/>
    <w:multiLevelType w:val="hybridMultilevel"/>
    <w:tmpl w:val="F5462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EC5609"/>
    <w:multiLevelType w:val="hybridMultilevel"/>
    <w:tmpl w:val="C526F0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59B11B0"/>
    <w:multiLevelType w:val="hybridMultilevel"/>
    <w:tmpl w:val="9A2E5F8C"/>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15:restartNumberingAfterBreak="0">
    <w:nsid w:val="52A70D54"/>
    <w:multiLevelType w:val="multilevel"/>
    <w:tmpl w:val="0B58A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5F38D6"/>
    <w:multiLevelType w:val="hybridMultilevel"/>
    <w:tmpl w:val="3FBEAE9E"/>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63907CB"/>
    <w:multiLevelType w:val="multilevel"/>
    <w:tmpl w:val="2E4A2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6A041C"/>
    <w:multiLevelType w:val="hybridMultilevel"/>
    <w:tmpl w:val="984C01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9BC3F4A"/>
    <w:multiLevelType w:val="hybridMultilevel"/>
    <w:tmpl w:val="61D0E7A0"/>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60D81289"/>
    <w:multiLevelType w:val="multilevel"/>
    <w:tmpl w:val="AD04F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5E7EAD"/>
    <w:multiLevelType w:val="multilevel"/>
    <w:tmpl w:val="2548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2333A0"/>
    <w:multiLevelType w:val="multilevel"/>
    <w:tmpl w:val="59080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C45A49"/>
    <w:multiLevelType w:val="hybridMultilevel"/>
    <w:tmpl w:val="E45AF1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65D01939"/>
    <w:multiLevelType w:val="hybridMultilevel"/>
    <w:tmpl w:val="B470B7D6"/>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8" w15:restartNumberingAfterBreak="0">
    <w:nsid w:val="69B87298"/>
    <w:multiLevelType w:val="multilevel"/>
    <w:tmpl w:val="05C84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410455"/>
    <w:multiLevelType w:val="multilevel"/>
    <w:tmpl w:val="DBBC3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45727"/>
    <w:multiLevelType w:val="multilevel"/>
    <w:tmpl w:val="8AAC8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FA1431"/>
    <w:multiLevelType w:val="multilevel"/>
    <w:tmpl w:val="B6FE9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873BF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43" w15:restartNumberingAfterBreak="0">
    <w:nsid w:val="77751CC6"/>
    <w:multiLevelType w:val="multilevel"/>
    <w:tmpl w:val="327A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EF7D39"/>
    <w:multiLevelType w:val="multilevel"/>
    <w:tmpl w:val="8E385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A94360"/>
    <w:multiLevelType w:val="multilevel"/>
    <w:tmpl w:val="FE940D0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FEF563A"/>
    <w:multiLevelType w:val="hybridMultilevel"/>
    <w:tmpl w:val="77E4F930"/>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15170926">
    <w:abstractNumId w:val="42"/>
  </w:num>
  <w:num w:numId="2" w16cid:durableId="782958710">
    <w:abstractNumId w:val="13"/>
  </w:num>
  <w:num w:numId="3" w16cid:durableId="447168904">
    <w:abstractNumId w:val="34"/>
  </w:num>
  <w:num w:numId="4" w16cid:durableId="1314141019">
    <w:abstractNumId w:val="31"/>
  </w:num>
  <w:num w:numId="5" w16cid:durableId="1746757518">
    <w:abstractNumId w:val="14"/>
  </w:num>
  <w:num w:numId="6" w16cid:durableId="583149901">
    <w:abstractNumId w:val="45"/>
  </w:num>
  <w:num w:numId="7" w16cid:durableId="526143127">
    <w:abstractNumId w:val="26"/>
  </w:num>
  <w:num w:numId="8" w16cid:durableId="780999740">
    <w:abstractNumId w:val="44"/>
  </w:num>
  <w:num w:numId="9" w16cid:durableId="2085449590">
    <w:abstractNumId w:val="30"/>
  </w:num>
  <w:num w:numId="10" w16cid:durableId="1953126341">
    <w:abstractNumId w:val="38"/>
  </w:num>
  <w:num w:numId="11" w16cid:durableId="583760592">
    <w:abstractNumId w:val="21"/>
  </w:num>
  <w:num w:numId="12" w16cid:durableId="708650286">
    <w:abstractNumId w:val="3"/>
  </w:num>
  <w:num w:numId="13" w16cid:durableId="2068913856">
    <w:abstractNumId w:val="4"/>
  </w:num>
  <w:num w:numId="14" w16cid:durableId="1022055762">
    <w:abstractNumId w:val="33"/>
  </w:num>
  <w:num w:numId="15" w16cid:durableId="7871575">
    <w:abstractNumId w:val="39"/>
  </w:num>
  <w:num w:numId="16" w16cid:durableId="270823602">
    <w:abstractNumId w:val="35"/>
  </w:num>
  <w:num w:numId="17" w16cid:durableId="1512986029">
    <w:abstractNumId w:val="12"/>
  </w:num>
  <w:num w:numId="18" w16cid:durableId="1979725730">
    <w:abstractNumId w:val="17"/>
  </w:num>
  <w:num w:numId="19" w16cid:durableId="977612784">
    <w:abstractNumId w:val="43"/>
  </w:num>
  <w:num w:numId="20" w16cid:durableId="1853908786">
    <w:abstractNumId w:val="8"/>
  </w:num>
  <w:num w:numId="21" w16cid:durableId="1805002231">
    <w:abstractNumId w:val="19"/>
  </w:num>
  <w:num w:numId="22" w16cid:durableId="1405034216">
    <w:abstractNumId w:val="20"/>
  </w:num>
  <w:num w:numId="23" w16cid:durableId="1709987912">
    <w:abstractNumId w:val="28"/>
  </w:num>
  <w:num w:numId="24" w16cid:durableId="987317467">
    <w:abstractNumId w:val="7"/>
  </w:num>
  <w:num w:numId="25" w16cid:durableId="1894808310">
    <w:abstractNumId w:val="22"/>
  </w:num>
  <w:num w:numId="26" w16cid:durableId="57900673">
    <w:abstractNumId w:val="2"/>
  </w:num>
  <w:num w:numId="27" w16cid:durableId="249582256">
    <w:abstractNumId w:val="41"/>
  </w:num>
  <w:num w:numId="28" w16cid:durableId="319040927">
    <w:abstractNumId w:val="40"/>
  </w:num>
  <w:num w:numId="29" w16cid:durableId="2132477873">
    <w:abstractNumId w:val="10"/>
  </w:num>
  <w:num w:numId="30" w16cid:durableId="231669974">
    <w:abstractNumId w:val="25"/>
  </w:num>
  <w:num w:numId="31" w16cid:durableId="1871644479">
    <w:abstractNumId w:val="16"/>
  </w:num>
  <w:num w:numId="32" w16cid:durableId="751318932">
    <w:abstractNumId w:val="36"/>
  </w:num>
  <w:num w:numId="33" w16cid:durableId="340356795">
    <w:abstractNumId w:val="24"/>
  </w:num>
  <w:num w:numId="34" w16cid:durableId="405372838">
    <w:abstractNumId w:val="6"/>
  </w:num>
  <w:num w:numId="35" w16cid:durableId="2137603589">
    <w:abstractNumId w:val="1"/>
  </w:num>
  <w:num w:numId="36" w16cid:durableId="893201016">
    <w:abstractNumId w:val="0"/>
  </w:num>
  <w:num w:numId="37" w16cid:durableId="2100716696">
    <w:abstractNumId w:val="32"/>
  </w:num>
  <w:num w:numId="38" w16cid:durableId="1761564324">
    <w:abstractNumId w:val="11"/>
  </w:num>
  <w:num w:numId="39" w16cid:durableId="1266382946">
    <w:abstractNumId w:val="9"/>
  </w:num>
  <w:num w:numId="40" w16cid:durableId="659889051">
    <w:abstractNumId w:val="27"/>
  </w:num>
  <w:num w:numId="41" w16cid:durableId="1871675188">
    <w:abstractNumId w:val="23"/>
  </w:num>
  <w:num w:numId="42" w16cid:durableId="130290540">
    <w:abstractNumId w:val="29"/>
  </w:num>
  <w:num w:numId="43" w16cid:durableId="1688485361">
    <w:abstractNumId w:val="46"/>
  </w:num>
  <w:num w:numId="44" w16cid:durableId="620963254">
    <w:abstractNumId w:val="37"/>
  </w:num>
  <w:num w:numId="45" w16cid:durableId="1008096418">
    <w:abstractNumId w:val="15"/>
  </w:num>
  <w:num w:numId="46" w16cid:durableId="1065563076">
    <w:abstractNumId w:val="18"/>
  </w:num>
  <w:num w:numId="47" w16cid:durableId="15260967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ACE"/>
    <w:rsid w:val="00062E7F"/>
    <w:rsid w:val="00066A70"/>
    <w:rsid w:val="00070193"/>
    <w:rsid w:val="00071A10"/>
    <w:rsid w:val="000B1739"/>
    <w:rsid w:val="000B1DEF"/>
    <w:rsid w:val="000B320A"/>
    <w:rsid w:val="00151443"/>
    <w:rsid w:val="001676B9"/>
    <w:rsid w:val="00183D60"/>
    <w:rsid w:val="00185E26"/>
    <w:rsid w:val="00226642"/>
    <w:rsid w:val="0027454E"/>
    <w:rsid w:val="00282076"/>
    <w:rsid w:val="002E7527"/>
    <w:rsid w:val="00353F4D"/>
    <w:rsid w:val="003A23FA"/>
    <w:rsid w:val="003D2A00"/>
    <w:rsid w:val="003F04EB"/>
    <w:rsid w:val="00490ACE"/>
    <w:rsid w:val="004C7B79"/>
    <w:rsid w:val="00506463"/>
    <w:rsid w:val="0051782B"/>
    <w:rsid w:val="00531ACE"/>
    <w:rsid w:val="005C1BE2"/>
    <w:rsid w:val="005D761F"/>
    <w:rsid w:val="00605C37"/>
    <w:rsid w:val="00610C2E"/>
    <w:rsid w:val="006447B6"/>
    <w:rsid w:val="00660521"/>
    <w:rsid w:val="006B7767"/>
    <w:rsid w:val="006E4E65"/>
    <w:rsid w:val="006F77A9"/>
    <w:rsid w:val="0071208A"/>
    <w:rsid w:val="007618CD"/>
    <w:rsid w:val="00786CFF"/>
    <w:rsid w:val="007B42A7"/>
    <w:rsid w:val="0081533A"/>
    <w:rsid w:val="00830B01"/>
    <w:rsid w:val="008401FF"/>
    <w:rsid w:val="00844283"/>
    <w:rsid w:val="00860BEA"/>
    <w:rsid w:val="009345A9"/>
    <w:rsid w:val="00970444"/>
    <w:rsid w:val="00970B18"/>
    <w:rsid w:val="009A338A"/>
    <w:rsid w:val="00A424D5"/>
    <w:rsid w:val="00A52F5B"/>
    <w:rsid w:val="00A812BF"/>
    <w:rsid w:val="00B0270F"/>
    <w:rsid w:val="00B35073"/>
    <w:rsid w:val="00B6284A"/>
    <w:rsid w:val="00B77634"/>
    <w:rsid w:val="00B92FF6"/>
    <w:rsid w:val="00BC1749"/>
    <w:rsid w:val="00C16E28"/>
    <w:rsid w:val="00C479AA"/>
    <w:rsid w:val="00C5412C"/>
    <w:rsid w:val="00CA4436"/>
    <w:rsid w:val="00CD33BB"/>
    <w:rsid w:val="00D00AE5"/>
    <w:rsid w:val="00D344E1"/>
    <w:rsid w:val="00D42981"/>
    <w:rsid w:val="00D47DCE"/>
    <w:rsid w:val="00D71B28"/>
    <w:rsid w:val="00D84CAB"/>
    <w:rsid w:val="00D95E79"/>
    <w:rsid w:val="00D97921"/>
    <w:rsid w:val="00E13365"/>
    <w:rsid w:val="00E1470E"/>
    <w:rsid w:val="00E4148F"/>
    <w:rsid w:val="00EA08D9"/>
    <w:rsid w:val="00EA4FBD"/>
    <w:rsid w:val="00ED5BC2"/>
    <w:rsid w:val="00F05B11"/>
    <w:rsid w:val="00F777E5"/>
    <w:rsid w:val="00FC2C8D"/>
    <w:rsid w:val="00FC6EAB"/>
    <w:rsid w:val="00FD71C9"/>
    <w:rsid w:val="00FF7AE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F0080"/>
  <w15:chartTrackingRefBased/>
  <w15:docId w15:val="{5C2A2FA1-BB32-9148-9B14-D4236F91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0BEA"/>
    <w:pPr>
      <w:spacing w:after="0" w:line="240" w:lineRule="auto"/>
    </w:pPr>
    <w:rPr>
      <w:rFonts w:ascii="Arial" w:eastAsia="Arial" w:hAnsi="Arial" w:cs="Arial"/>
      <w:kern w:val="0"/>
      <w:sz w:val="20"/>
      <w:szCs w:val="20"/>
      <w:lang w:eastAsia="it-IT"/>
      <w14:ligatures w14:val="none"/>
    </w:rPr>
  </w:style>
  <w:style w:type="paragraph" w:styleId="Titolo1">
    <w:name w:val="heading 1"/>
    <w:basedOn w:val="Normale"/>
    <w:next w:val="Normale"/>
    <w:link w:val="Titolo1Carattere"/>
    <w:uiPriority w:val="9"/>
    <w:qFormat/>
    <w:rsid w:val="00830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nhideWhenUsed/>
    <w:qFormat/>
    <w:rsid w:val="00830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30B0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30B0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30B0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30B01"/>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30B01"/>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30B01"/>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30B01"/>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30B0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rsid w:val="00830B0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30B0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30B0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30B0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30B0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30B0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30B0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30B01"/>
    <w:rPr>
      <w:rFonts w:eastAsiaTheme="majorEastAsia" w:cstheme="majorBidi"/>
      <w:color w:val="272727" w:themeColor="text1" w:themeTint="D8"/>
    </w:rPr>
  </w:style>
  <w:style w:type="paragraph" w:styleId="Titolo">
    <w:name w:val="Title"/>
    <w:basedOn w:val="Normale"/>
    <w:next w:val="Normale"/>
    <w:link w:val="TitoloCarattere"/>
    <w:uiPriority w:val="10"/>
    <w:qFormat/>
    <w:rsid w:val="00830B01"/>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30B0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30B0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30B0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30B0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30B01"/>
    <w:rPr>
      <w:i/>
      <w:iCs/>
      <w:color w:val="404040" w:themeColor="text1" w:themeTint="BF"/>
    </w:rPr>
  </w:style>
  <w:style w:type="paragraph" w:styleId="Paragrafoelenco">
    <w:name w:val="List Paragraph"/>
    <w:basedOn w:val="Normale"/>
    <w:uiPriority w:val="34"/>
    <w:qFormat/>
    <w:rsid w:val="00830B01"/>
    <w:pPr>
      <w:ind w:left="720"/>
      <w:contextualSpacing/>
    </w:pPr>
  </w:style>
  <w:style w:type="character" w:styleId="Enfasiintensa">
    <w:name w:val="Intense Emphasis"/>
    <w:basedOn w:val="Carpredefinitoparagrafo"/>
    <w:uiPriority w:val="21"/>
    <w:qFormat/>
    <w:rsid w:val="00830B01"/>
    <w:rPr>
      <w:i/>
      <w:iCs/>
      <w:color w:val="0F4761" w:themeColor="accent1" w:themeShade="BF"/>
    </w:rPr>
  </w:style>
  <w:style w:type="paragraph" w:styleId="Citazioneintensa">
    <w:name w:val="Intense Quote"/>
    <w:basedOn w:val="Normale"/>
    <w:next w:val="Normale"/>
    <w:link w:val="CitazioneintensaCarattere"/>
    <w:uiPriority w:val="30"/>
    <w:qFormat/>
    <w:rsid w:val="00830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30B01"/>
    <w:rPr>
      <w:i/>
      <w:iCs/>
      <w:color w:val="0F4761" w:themeColor="accent1" w:themeShade="BF"/>
    </w:rPr>
  </w:style>
  <w:style w:type="character" w:styleId="Riferimentointenso">
    <w:name w:val="Intense Reference"/>
    <w:basedOn w:val="Carpredefinitoparagrafo"/>
    <w:uiPriority w:val="32"/>
    <w:qFormat/>
    <w:rsid w:val="00830B01"/>
    <w:rPr>
      <w:b/>
      <w:bCs/>
      <w:smallCaps/>
      <w:color w:val="0F4761" w:themeColor="accent1" w:themeShade="BF"/>
      <w:spacing w:val="5"/>
    </w:rPr>
  </w:style>
  <w:style w:type="paragraph" w:styleId="Intestazione">
    <w:name w:val="header"/>
    <w:basedOn w:val="Normale"/>
    <w:link w:val="IntestazioneCarattere"/>
    <w:uiPriority w:val="99"/>
    <w:unhideWhenUsed/>
    <w:rsid w:val="00830B01"/>
    <w:pPr>
      <w:tabs>
        <w:tab w:val="center" w:pos="4819"/>
        <w:tab w:val="right" w:pos="9638"/>
      </w:tabs>
    </w:pPr>
  </w:style>
  <w:style w:type="character" w:customStyle="1" w:styleId="IntestazioneCarattere">
    <w:name w:val="Intestazione Carattere"/>
    <w:basedOn w:val="Carpredefinitoparagrafo"/>
    <w:link w:val="Intestazione"/>
    <w:uiPriority w:val="99"/>
    <w:rsid w:val="00830B01"/>
  </w:style>
  <w:style w:type="paragraph" w:styleId="Pidipagina">
    <w:name w:val="footer"/>
    <w:basedOn w:val="Normale"/>
    <w:link w:val="PidipaginaCarattere"/>
    <w:uiPriority w:val="99"/>
    <w:unhideWhenUsed/>
    <w:rsid w:val="00830B01"/>
    <w:pPr>
      <w:tabs>
        <w:tab w:val="center" w:pos="4819"/>
        <w:tab w:val="right" w:pos="9638"/>
      </w:tabs>
    </w:pPr>
  </w:style>
  <w:style w:type="character" w:customStyle="1" w:styleId="PidipaginaCarattere">
    <w:name w:val="Piè di pagina Carattere"/>
    <w:basedOn w:val="Carpredefinitoparagrafo"/>
    <w:link w:val="Pidipagina"/>
    <w:uiPriority w:val="99"/>
    <w:rsid w:val="00830B01"/>
  </w:style>
  <w:style w:type="character" w:styleId="Collegamentoipertestuale">
    <w:name w:val="Hyperlink"/>
    <w:basedOn w:val="Carpredefinitoparagrafo"/>
    <w:uiPriority w:val="99"/>
    <w:unhideWhenUsed/>
    <w:rsid w:val="00830B01"/>
    <w:rPr>
      <w:color w:val="467886" w:themeColor="hyperlink"/>
      <w:u w:val="single"/>
    </w:rPr>
  </w:style>
  <w:style w:type="character" w:styleId="Menzionenonrisolta">
    <w:name w:val="Unresolved Mention"/>
    <w:basedOn w:val="Carpredefinitoparagrafo"/>
    <w:uiPriority w:val="99"/>
    <w:semiHidden/>
    <w:unhideWhenUsed/>
    <w:rsid w:val="00830B01"/>
    <w:rPr>
      <w:color w:val="605E5C"/>
      <w:shd w:val="clear" w:color="auto" w:fill="E1DFDD"/>
    </w:rPr>
  </w:style>
  <w:style w:type="paragraph" w:styleId="NormaleWeb">
    <w:name w:val="Normal (Web)"/>
    <w:basedOn w:val="Normale"/>
    <w:uiPriority w:val="99"/>
    <w:unhideWhenUsed/>
    <w:rsid w:val="00185E26"/>
    <w:pPr>
      <w:spacing w:before="100" w:beforeAutospacing="1" w:after="100" w:afterAutospacing="1"/>
    </w:pPr>
    <w:rPr>
      <w:sz w:val="24"/>
      <w:szCs w:val="24"/>
    </w:rPr>
  </w:style>
  <w:style w:type="character" w:styleId="Enfasigrassetto">
    <w:name w:val="Strong"/>
    <w:basedOn w:val="Carpredefinitoparagrafo"/>
    <w:uiPriority w:val="22"/>
    <w:qFormat/>
    <w:rsid w:val="00185E26"/>
    <w:rPr>
      <w:b/>
      <w:bCs/>
    </w:rPr>
  </w:style>
  <w:style w:type="character" w:styleId="CodiceHTML">
    <w:name w:val="HTML Code"/>
    <w:basedOn w:val="Carpredefinitoparagrafo"/>
    <w:uiPriority w:val="99"/>
    <w:semiHidden/>
    <w:unhideWhenUsed/>
    <w:rsid w:val="006E4E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903027">
      <w:bodyDiv w:val="1"/>
      <w:marLeft w:val="0"/>
      <w:marRight w:val="0"/>
      <w:marTop w:val="0"/>
      <w:marBottom w:val="0"/>
      <w:divBdr>
        <w:top w:val="none" w:sz="0" w:space="0" w:color="auto"/>
        <w:left w:val="none" w:sz="0" w:space="0" w:color="auto"/>
        <w:bottom w:val="none" w:sz="0" w:space="0" w:color="auto"/>
        <w:right w:val="none" w:sz="0" w:space="0" w:color="auto"/>
      </w:divBdr>
      <w:divsChild>
        <w:div w:id="1048921267">
          <w:marLeft w:val="0"/>
          <w:marRight w:val="0"/>
          <w:marTop w:val="0"/>
          <w:marBottom w:val="0"/>
          <w:divBdr>
            <w:top w:val="none" w:sz="0" w:space="0" w:color="auto"/>
            <w:left w:val="none" w:sz="0" w:space="0" w:color="auto"/>
            <w:bottom w:val="none" w:sz="0" w:space="0" w:color="auto"/>
            <w:right w:val="none" w:sz="0" w:space="0" w:color="auto"/>
          </w:divBdr>
          <w:divsChild>
            <w:div w:id="54474994">
              <w:marLeft w:val="0"/>
              <w:marRight w:val="0"/>
              <w:marTop w:val="0"/>
              <w:marBottom w:val="0"/>
              <w:divBdr>
                <w:top w:val="none" w:sz="0" w:space="0" w:color="auto"/>
                <w:left w:val="none" w:sz="0" w:space="0" w:color="auto"/>
                <w:bottom w:val="none" w:sz="0" w:space="0" w:color="auto"/>
                <w:right w:val="none" w:sz="0" w:space="0" w:color="auto"/>
              </w:divBdr>
              <w:divsChild>
                <w:div w:id="518398995">
                  <w:marLeft w:val="0"/>
                  <w:marRight w:val="0"/>
                  <w:marTop w:val="0"/>
                  <w:marBottom w:val="0"/>
                  <w:divBdr>
                    <w:top w:val="none" w:sz="0" w:space="0" w:color="auto"/>
                    <w:left w:val="none" w:sz="0" w:space="0" w:color="auto"/>
                    <w:bottom w:val="none" w:sz="0" w:space="0" w:color="auto"/>
                    <w:right w:val="none" w:sz="0" w:space="0" w:color="auto"/>
                  </w:divBdr>
                  <w:divsChild>
                    <w:div w:id="5155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14876">
      <w:bodyDiv w:val="1"/>
      <w:marLeft w:val="0"/>
      <w:marRight w:val="0"/>
      <w:marTop w:val="0"/>
      <w:marBottom w:val="0"/>
      <w:divBdr>
        <w:top w:val="none" w:sz="0" w:space="0" w:color="auto"/>
        <w:left w:val="none" w:sz="0" w:space="0" w:color="auto"/>
        <w:bottom w:val="none" w:sz="0" w:space="0" w:color="auto"/>
        <w:right w:val="none" w:sz="0" w:space="0" w:color="auto"/>
      </w:divBdr>
      <w:divsChild>
        <w:div w:id="1475875295">
          <w:marLeft w:val="0"/>
          <w:marRight w:val="0"/>
          <w:marTop w:val="0"/>
          <w:marBottom w:val="0"/>
          <w:divBdr>
            <w:top w:val="none" w:sz="0" w:space="0" w:color="auto"/>
            <w:left w:val="none" w:sz="0" w:space="0" w:color="auto"/>
            <w:bottom w:val="none" w:sz="0" w:space="0" w:color="auto"/>
            <w:right w:val="none" w:sz="0" w:space="0" w:color="auto"/>
          </w:divBdr>
          <w:divsChild>
            <w:div w:id="1632593259">
              <w:marLeft w:val="0"/>
              <w:marRight w:val="0"/>
              <w:marTop w:val="0"/>
              <w:marBottom w:val="0"/>
              <w:divBdr>
                <w:top w:val="none" w:sz="0" w:space="0" w:color="auto"/>
                <w:left w:val="none" w:sz="0" w:space="0" w:color="auto"/>
                <w:bottom w:val="none" w:sz="0" w:space="0" w:color="auto"/>
                <w:right w:val="none" w:sz="0" w:space="0" w:color="auto"/>
              </w:divBdr>
              <w:divsChild>
                <w:div w:id="1894541258">
                  <w:marLeft w:val="0"/>
                  <w:marRight w:val="0"/>
                  <w:marTop w:val="0"/>
                  <w:marBottom w:val="0"/>
                  <w:divBdr>
                    <w:top w:val="none" w:sz="0" w:space="0" w:color="auto"/>
                    <w:left w:val="none" w:sz="0" w:space="0" w:color="auto"/>
                    <w:bottom w:val="none" w:sz="0" w:space="0" w:color="auto"/>
                    <w:right w:val="none" w:sz="0" w:space="0" w:color="auto"/>
                  </w:divBdr>
                  <w:divsChild>
                    <w:div w:id="15484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209976">
      <w:bodyDiv w:val="1"/>
      <w:marLeft w:val="0"/>
      <w:marRight w:val="0"/>
      <w:marTop w:val="0"/>
      <w:marBottom w:val="0"/>
      <w:divBdr>
        <w:top w:val="none" w:sz="0" w:space="0" w:color="auto"/>
        <w:left w:val="none" w:sz="0" w:space="0" w:color="auto"/>
        <w:bottom w:val="none" w:sz="0" w:space="0" w:color="auto"/>
        <w:right w:val="none" w:sz="0" w:space="0" w:color="auto"/>
      </w:divBdr>
    </w:div>
    <w:div w:id="644626355">
      <w:bodyDiv w:val="1"/>
      <w:marLeft w:val="0"/>
      <w:marRight w:val="0"/>
      <w:marTop w:val="0"/>
      <w:marBottom w:val="0"/>
      <w:divBdr>
        <w:top w:val="none" w:sz="0" w:space="0" w:color="auto"/>
        <w:left w:val="none" w:sz="0" w:space="0" w:color="auto"/>
        <w:bottom w:val="none" w:sz="0" w:space="0" w:color="auto"/>
        <w:right w:val="none" w:sz="0" w:space="0" w:color="auto"/>
      </w:divBdr>
      <w:divsChild>
        <w:div w:id="278725426">
          <w:marLeft w:val="0"/>
          <w:marRight w:val="0"/>
          <w:marTop w:val="0"/>
          <w:marBottom w:val="0"/>
          <w:divBdr>
            <w:top w:val="none" w:sz="0" w:space="0" w:color="auto"/>
            <w:left w:val="none" w:sz="0" w:space="0" w:color="auto"/>
            <w:bottom w:val="none" w:sz="0" w:space="0" w:color="auto"/>
            <w:right w:val="none" w:sz="0" w:space="0" w:color="auto"/>
          </w:divBdr>
          <w:divsChild>
            <w:div w:id="1810125496">
              <w:marLeft w:val="0"/>
              <w:marRight w:val="0"/>
              <w:marTop w:val="0"/>
              <w:marBottom w:val="0"/>
              <w:divBdr>
                <w:top w:val="none" w:sz="0" w:space="0" w:color="auto"/>
                <w:left w:val="none" w:sz="0" w:space="0" w:color="auto"/>
                <w:bottom w:val="none" w:sz="0" w:space="0" w:color="auto"/>
                <w:right w:val="none" w:sz="0" w:space="0" w:color="auto"/>
              </w:divBdr>
              <w:divsChild>
                <w:div w:id="2028629296">
                  <w:marLeft w:val="0"/>
                  <w:marRight w:val="0"/>
                  <w:marTop w:val="0"/>
                  <w:marBottom w:val="0"/>
                  <w:divBdr>
                    <w:top w:val="none" w:sz="0" w:space="0" w:color="auto"/>
                    <w:left w:val="none" w:sz="0" w:space="0" w:color="auto"/>
                    <w:bottom w:val="none" w:sz="0" w:space="0" w:color="auto"/>
                    <w:right w:val="none" w:sz="0" w:space="0" w:color="auto"/>
                  </w:divBdr>
                  <w:divsChild>
                    <w:div w:id="156244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120804">
      <w:bodyDiv w:val="1"/>
      <w:marLeft w:val="0"/>
      <w:marRight w:val="0"/>
      <w:marTop w:val="0"/>
      <w:marBottom w:val="0"/>
      <w:divBdr>
        <w:top w:val="none" w:sz="0" w:space="0" w:color="auto"/>
        <w:left w:val="none" w:sz="0" w:space="0" w:color="auto"/>
        <w:bottom w:val="none" w:sz="0" w:space="0" w:color="auto"/>
        <w:right w:val="none" w:sz="0" w:space="0" w:color="auto"/>
      </w:divBdr>
      <w:divsChild>
        <w:div w:id="2142187455">
          <w:marLeft w:val="0"/>
          <w:marRight w:val="0"/>
          <w:marTop w:val="0"/>
          <w:marBottom w:val="0"/>
          <w:divBdr>
            <w:top w:val="none" w:sz="0" w:space="0" w:color="auto"/>
            <w:left w:val="none" w:sz="0" w:space="0" w:color="auto"/>
            <w:bottom w:val="none" w:sz="0" w:space="0" w:color="auto"/>
            <w:right w:val="none" w:sz="0" w:space="0" w:color="auto"/>
          </w:divBdr>
          <w:divsChild>
            <w:div w:id="1290285790">
              <w:marLeft w:val="0"/>
              <w:marRight w:val="0"/>
              <w:marTop w:val="0"/>
              <w:marBottom w:val="0"/>
              <w:divBdr>
                <w:top w:val="none" w:sz="0" w:space="0" w:color="auto"/>
                <w:left w:val="none" w:sz="0" w:space="0" w:color="auto"/>
                <w:bottom w:val="none" w:sz="0" w:space="0" w:color="auto"/>
                <w:right w:val="none" w:sz="0" w:space="0" w:color="auto"/>
              </w:divBdr>
              <w:divsChild>
                <w:div w:id="831602241">
                  <w:marLeft w:val="0"/>
                  <w:marRight w:val="0"/>
                  <w:marTop w:val="0"/>
                  <w:marBottom w:val="0"/>
                  <w:divBdr>
                    <w:top w:val="none" w:sz="0" w:space="0" w:color="auto"/>
                    <w:left w:val="none" w:sz="0" w:space="0" w:color="auto"/>
                    <w:bottom w:val="none" w:sz="0" w:space="0" w:color="auto"/>
                    <w:right w:val="none" w:sz="0" w:space="0" w:color="auto"/>
                  </w:divBdr>
                  <w:divsChild>
                    <w:div w:id="18398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hyperlink" Target="mailto:info@heyaidigital.it"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losanvoisin/Desktop/Consulting%20AI/HeyAi_Attestato%20di%20tirocinio%20svolto_240425.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8345D-56F5-AF49-AEB7-CEEF36AAB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HeyAi_Attestato di tirocinio svolto_240425.dotx</Template>
  <TotalTime>7</TotalTime>
  <Pages>1</Pages>
  <Words>1587</Words>
  <Characters>9049</Characters>
  <Application>Microsoft Office Word</Application>
  <DocSecurity>0</DocSecurity>
  <Lines>75</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Carlo Sanvoisin</cp:lastModifiedBy>
  <cp:revision>4</cp:revision>
  <cp:lastPrinted>2026-03-09T12:09:00Z</cp:lastPrinted>
  <dcterms:created xsi:type="dcterms:W3CDTF">2026-03-09T12:09:00Z</dcterms:created>
  <dcterms:modified xsi:type="dcterms:W3CDTF">2026-03-09T15:23:00Z</dcterms:modified>
</cp:coreProperties>
</file>