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00" w:line="276" w:lineRule="auto"/>
      </w:pPr>
      <w:r>
        <w:rPr>
          <w:rFonts w:ascii="Aptos" w:hAnsi="Aptos" w:cs="Aptos" w:eastAsia="Aptos"/>
          <w:sz w:val="40"/>
          <w:szCs w:val="40"/>
          <w:b/>
          <w:bCs/>
          <w:color w:val="2B8C96"/>
        </w:rPr>
        <w:t>Prospetto Servizi Continuativi e Attività Evolutive</w:t>
      </w:r>
    </w:p>
    <w:p>
      <w:pPr>
        <w:spacing w:before="0" w:after="80" w:line="276" w:lineRule="auto"/>
      </w:pPr>
      <w:r>
        <w:rPr>
          <w:rFonts w:ascii="Aptos" w:hAnsi="Aptos" w:cs="Aptos" w:eastAsia="Aptos"/>
          <w:sz w:val="24"/>
          <w:szCs w:val="24"/>
          <w:i/>
          <w:color w:val="606060"/>
        </w:rPr>
        <w:t>AI Product Catalogue · Compilatore + Builder</w:t>
      </w:r>
    </w:p>
    <w:p>
      <w:pPr>
        <w:spacing w:before="40" w:after="400" w:line="276" w:lineRule="auto"/>
      </w:pPr>
      <w:r>
        <w:rPr>
          <w:rFonts w:ascii="Aptos" w:hAnsi="Aptos" w:cs="Aptos" w:eastAsia="Aptos"/>
          <w:sz w:val="20"/>
          <w:szCs w:val="20"/>
          <w:i/>
          <w:color w:val="606060"/>
        </w:rPr>
        <w:t>Eldis Net · 20 maggio 2026</w:t>
      </w:r>
    </w:p>
    <w:p>
      <w:pPr>
        <w:spacing w:before="320" w:after="160" w:line="276" w:lineRule="auto"/>
      </w:pPr>
      <w:r>
        <w:rPr>
          <w:rFonts w:ascii="Aptos" w:hAnsi="Aptos" w:cs="Aptos" w:eastAsia="Aptos"/>
          <w:sz w:val="32"/>
          <w:szCs w:val="32"/>
          <w:b/>
          <w:bCs/>
          <w:color w:val="000000"/>
        </w:rPr>
        <w:t>1. Oggetto del Prospetto</w:t>
      </w:r>
    </w:p>
    <w:p>
      <w:pPr>
        <w:spacing w:before="0" w:after="120" w:line="276" w:lineRule="auto"/>
      </w:pPr>
      <w:r>
        <w:rPr>
          <w:rFonts w:ascii="Aptos" w:hAnsi="Aptos" w:cs="Aptos" w:eastAsia="Aptos"/>
          <w:sz w:val="22"/>
          <w:szCs w:val="22"/>
          <w:color w:val="1A1A1A"/>
        </w:rPr>
        <w:t>Il presente documento formalizza le condizioni economiche dei servizi continuativi previsti per il mantenimento dell'applicativo AI Product Catalogue (Compilatore + Builder) attualmente in produzione presso Eldis Net, e introduce due attività evolutive in valutazione che ampliano il perimetro funzionale.</w:t>
      </w:r>
    </w:p>
    <w:p>
      <w:pPr>
        <w:spacing w:before="0" w:after="120" w:line="276" w:lineRule="auto"/>
      </w:pPr>
      <w:r>
        <w:rPr>
          <w:rFonts w:ascii="Aptos" w:hAnsi="Aptos" w:cs="Aptos" w:eastAsia="Aptos"/>
          <w:sz w:val="22"/>
          <w:szCs w:val="22"/>
          <w:color w:val="1A1A1A"/>
        </w:rPr>
        <w:t>I servizi continuativi coprono l'infrastruttura, la manutenzione, gli aggiornamenti di sicurezza e il supporto operativo nell'utilizzo della piattaforma. Le attività evolutive in valutazione rispondono a esigenze emerse nelle ultime sessioni di lavoro congiunte e sono valorizzate separatamente, in coerenza con il modello commerciale già condiviso a fine aprile (anomalie e malfunzionamenti inclusi nel canone, supporto operativo e change request a quotazione dedicata).</w:t>
      </w:r>
    </w:p>
    <w:tbl>
      <w:tblPr>
        <w:tblW w:type="auto" w:w="0"/>
        <w:tblLayout w:type="fixed"/>
        <w:tblLook w:firstColumn="1" w:firstRow="1" w:lastColumn="0" w:lastRow="0" w:noHBand="0" w:noVBand="1" w:val="04A0"/>
      </w:tblPr>
      <w:tblGrid>
        <w:gridCol w:w="9071"/>
      </w:tblGrid>
      <w:tr>
        <w:tc>
          <w:tcPr>
            <w:tcW w:type="dxa" w:w="9071"/>
            <w:shd w:val="clear" w:color="auto" w:fill="E8F4F6"/>
            <w:tcBorders>
              <w:top w:val="single" w:sz="4" w:space="0" w:color="2B8C96"/>
              <w:left w:val="single" w:sz="4" w:space="0" w:color="2B8C96"/>
              <w:bottom w:val="single" w:sz="4" w:space="0" w:color="2B8C96"/>
              <w:right w:val="single" w:sz="4" w:space="0" w:color="2B8C96"/>
            </w:tcBorders>
            <w:vAlign w:val="top"/>
          </w:tcPr>
          <w:p>
            <w:pPr>
              <w:spacing w:after="120"/>
            </w:pPr>
            <w:r>
              <w:rPr>
                <w:rFonts w:ascii="Aptos" w:hAnsi="Aptos" w:cs="Aptos" w:eastAsia="Aptos"/>
                <w:sz w:val="22"/>
                <w:szCs w:val="22"/>
                <w:b/>
                <w:bCs/>
                <w:color w:val="2B8C96"/>
              </w:rPr>
              <w:t>Framework commerciale di riferimento</w:t>
            </w:r>
          </w:p>
          <w:p>
            <w:pPr>
              <w:spacing w:after="80" w:line="276" w:lineRule="auto"/>
            </w:pPr>
            <w:r>
              <w:rPr>
                <w:rFonts w:ascii="Aptos" w:hAnsi="Aptos" w:cs="Aptos" w:eastAsia="Aptos"/>
                <w:sz w:val="22"/>
                <w:szCs w:val="22"/>
                <w:color w:val="1A1A1A"/>
              </w:rPr>
              <w:t>Sistema non funziona → manutenzione, inclusa nel canone di hosting.</w:t>
            </w:r>
          </w:p>
          <w:p>
            <w:pPr>
              <w:spacing w:after="80" w:line="276" w:lineRule="auto"/>
            </w:pPr>
            <w:r>
              <w:rPr>
                <w:rFonts w:ascii="Aptos" w:hAnsi="Aptos" w:cs="Aptos" w:eastAsia="Aptos"/>
                <w:sz w:val="22"/>
                <w:szCs w:val="22"/>
                <w:color w:val="1A1A1A"/>
              </w:rPr>
              <w:t>Non si sa come usare il sistema → consulenza operativa, a tariffa oraria.</w:t>
            </w:r>
          </w:p>
          <w:p>
            <w:pPr>
              <w:spacing w:after="80" w:line="276" w:lineRule="auto"/>
            </w:pPr>
            <w:r>
              <w:rPr>
                <w:rFonts w:ascii="Aptos" w:hAnsi="Aptos" w:cs="Aptos" w:eastAsia="Aptos"/>
                <w:sz w:val="22"/>
                <w:szCs w:val="22"/>
                <w:color w:val="1A1A1A"/>
              </w:rPr>
              <w:t>Si vuole una funzionalità non prevista → attività evolutiva, quotata e concordata prima dello sviluppo.</w:t>
            </w:r>
          </w:p>
        </w:tc>
      </w:tr>
    </w:tbl>
    <w:p>
      <w:pPr>
        <w:spacing w:before="0" w:after="120" w:line="276" w:lineRule="auto"/>
      </w:pPr>
    </w:p>
    <w:p>
      <w:pPr>
        <w:spacing w:before="320" w:after="160" w:line="276" w:lineRule="auto"/>
      </w:pPr>
      <w:r>
        <w:rPr>
          <w:rFonts w:ascii="Aptos" w:hAnsi="Aptos" w:cs="Aptos" w:eastAsia="Aptos"/>
          <w:sz w:val="32"/>
          <w:szCs w:val="32"/>
          <w:b/>
          <w:bCs/>
          <w:color w:val="000000"/>
        </w:rPr>
        <w:t>2. Servizi Continuativi</w:t>
      </w:r>
    </w:p>
    <w:p>
      <w:pPr>
        <w:spacing w:before="200" w:after="120" w:line="276" w:lineRule="auto"/>
      </w:pPr>
      <w:r>
        <w:rPr>
          <w:rFonts w:ascii="Aptos" w:hAnsi="Aptos" w:cs="Aptos" w:eastAsia="Aptos"/>
          <w:sz w:val="24"/>
          <w:szCs w:val="24"/>
          <w:b/>
          <w:bCs/>
          <w:color w:val="000000"/>
        </w:rPr>
        <w:t>2.1 Hosting e manutenzione infrastruttura</w:t>
      </w:r>
    </w:p>
    <w:p>
      <w:pPr>
        <w:spacing w:before="0" w:after="120" w:line="276" w:lineRule="auto"/>
      </w:pPr>
      <w:r>
        <w:rPr>
          <w:rFonts w:ascii="Aptos" w:hAnsi="Aptos" w:cs="Aptos" w:eastAsia="Aptos"/>
          <w:sz w:val="22"/>
          <w:szCs w:val="22"/>
          <w:color w:val="1A1A1A"/>
        </w:rPr>
        <w:t>Mantenimento dell'infrastruttura applicativa, comprensivo di hosting, backup automatici, ripristini, aggiornamenti di sicurezza, gestione delle vulnerabilità, monitoraggio tecnico, riavvii e supporto in caso di malfunzionamenti, disservizi o necessità di ripristino. In sostanza, tutto ciò che riguarda il corretto funzionamento del sistema.</w:t>
      </w:r>
    </w:p>
    <w:p>
      <w:pPr>
        <w:spacing w:before="80" w:after="120" w:line="276" w:lineRule="auto"/>
      </w:pPr>
      <w:r>
        <w:rPr>
          <w:rFonts w:ascii="Aptos" w:hAnsi="Aptos" w:cs="Aptos" w:eastAsia="Aptos"/>
          <w:sz w:val="22"/>
          <w:szCs w:val="22"/>
          <w:b/>
          <w:bCs/>
          <w:color w:val="2B8C96"/>
        </w:rPr>
        <w:t>Canone: € 130 / mese forfait</w:t>
      </w:r>
    </w:p>
    <w:p>
      <w:pPr>
        <w:spacing w:before="160" w:after="80" w:line="276" w:lineRule="auto"/>
      </w:pPr>
      <w:r>
        <w:rPr>
          <w:rFonts w:ascii="Aptos" w:hAnsi="Aptos" w:cs="Aptos" w:eastAsia="Aptos"/>
          <w:sz w:val="22"/>
          <w:szCs w:val="22"/>
          <w:b/>
          <w:bCs/>
          <w:color w:val="2B8C96"/>
        </w:rPr>
        <w:t>Opzione alternativa — Installazione locale</w:t>
      </w:r>
    </w:p>
    <w:p>
      <w:pPr>
        <w:spacing w:before="0" w:after="120" w:line="276" w:lineRule="auto"/>
      </w:pPr>
      <w:r>
        <w:rPr>
          <w:rFonts w:ascii="Aptos" w:hAnsi="Aptos" w:cs="Aptos" w:eastAsia="Aptos"/>
          <w:sz w:val="22"/>
          <w:szCs w:val="22"/>
          <w:color w:val="1A1A1A"/>
        </w:rPr>
        <w:t>In alternativa al modello a canone è possibile valutare l'installazione locale dell'applicativo sulla vostra infrastruttura. Questo modello azzera i costi ricorrenti di hosting; eventuali interventi richiesti per malfunzionamenti, disservizi o ripristini verrebbero in tal caso gestiti come consulenza a tariffa piena.</w:t>
      </w:r>
    </w:p>
    <w:p>
      <w:pPr>
        <w:spacing w:before="200" w:after="120" w:line="276" w:lineRule="auto"/>
      </w:pPr>
      <w:r>
        <w:rPr>
          <w:rFonts w:ascii="Aptos" w:hAnsi="Aptos" w:cs="Aptos" w:eastAsia="Aptos"/>
          <w:sz w:val="24"/>
          <w:szCs w:val="24"/>
          <w:b/>
          <w:bCs/>
          <w:color w:val="000000"/>
        </w:rPr>
        <w:t>2.2 Consulenza operativa applicativo</w:t>
      </w:r>
    </w:p>
    <w:p>
      <w:pPr>
        <w:spacing w:before="0" w:after="120" w:line="276" w:lineRule="auto"/>
      </w:pPr>
      <w:r>
        <w:rPr>
          <w:rFonts w:ascii="Aptos" w:hAnsi="Aptos" w:cs="Aptos" w:eastAsia="Aptos"/>
          <w:sz w:val="22"/>
          <w:szCs w:val="22"/>
          <w:color w:val="1A1A1A"/>
        </w:rPr>
        <w:t>Supporto operativo all'interno dell'applicativo per attività eseguibili dalla piattaforma e potenzialmente gestibili in autonomia dal cliente, ma per cui viene richiesto affiancamento diretto. La voce include anche la gestione di eventuali anomalie bloccanti riscontrate durante l'attività, qualora impediscano il completamento di funzioni già previste e incluse nel perimetro dell'applicativo.</w:t>
      </w:r>
    </w:p>
    <w:p>
      <w:pPr>
        <w:spacing w:before="80" w:after="120" w:line="276" w:lineRule="auto"/>
      </w:pPr>
      <w:r>
        <w:rPr>
          <w:rFonts w:ascii="Aptos" w:hAnsi="Aptos" w:cs="Aptos" w:eastAsia="Aptos"/>
          <w:sz w:val="22"/>
          <w:szCs w:val="22"/>
          <w:b/>
          <w:bCs/>
          <w:color w:val="2B8C96"/>
        </w:rPr>
        <w:t>Tariffa: € 180 / ora</w:t>
      </w:r>
    </w:p>
    <w:p>
      <w:pPr>
        <w:spacing w:before="0" w:after="120" w:line="276" w:lineRule="auto"/>
      </w:pPr>
      <w:r>
        <w:rPr>
          <w:rFonts w:ascii="Aptos" w:hAnsi="Aptos" w:cs="Aptos" w:eastAsia="Aptos"/>
          <w:sz w:val="22"/>
          <w:szCs w:val="22"/>
          <w:color w:val="1A1A1A"/>
        </w:rPr>
        <w:t>A complemento del servizio di consulenza, predisporremo nel tempo documentazione operativa e screen recording dedicati alle attività ricorrenti, con l'obiettivo di rendere il team Eldis il più autonomo possibile e ridurre progressivamente il monte ore di consulenza necessario.</w:t>
      </w:r>
    </w:p>
    <w:tbl>
      <w:tblPr>
        <w:tblW w:type="auto" w:w="0"/>
        <w:tblLayout w:type="fixed"/>
        <w:tblLook w:firstColumn="1" w:firstRow="1" w:lastColumn="0" w:lastRow="0" w:noHBand="0" w:noVBand="1" w:val="04A0"/>
      </w:tblPr>
      <w:tblGrid>
        <w:gridCol w:w="9071"/>
      </w:tblGrid>
      <w:tr>
        <w:tc>
          <w:tcPr>
            <w:tcW w:type="dxa" w:w="9071"/>
            <w:shd w:val="clear" w:color="auto" w:fill="E8F4F6"/>
            <w:tcBorders>
              <w:top w:val="single" w:sz="4" w:space="0" w:color="2B8C96"/>
              <w:left w:val="single" w:sz="4" w:space="0" w:color="2B8C96"/>
              <w:bottom w:val="single" w:sz="4" w:space="0" w:color="2B8C96"/>
              <w:right w:val="single" w:sz="4" w:space="0" w:color="2B8C96"/>
            </w:tcBorders>
            <w:vAlign w:val="top"/>
          </w:tcPr>
          <w:p>
            <w:pPr>
              <w:spacing w:after="120"/>
            </w:pPr>
            <w:r>
              <w:rPr>
                <w:rFonts w:ascii="Aptos" w:hAnsi="Aptos" w:cs="Aptos" w:eastAsia="Aptos"/>
                <w:sz w:val="22"/>
                <w:szCs w:val="22"/>
                <w:b/>
                <w:bCs/>
                <w:color w:val="2B8C96"/>
              </w:rPr>
              <w:t>Distinzione tra manutenzione e consulenza</w:t>
            </w:r>
          </w:p>
          <w:p>
            <w:pPr>
              <w:spacing w:after="80" w:line="276" w:lineRule="auto"/>
            </w:pPr>
            <w:r>
              <w:rPr>
                <w:rFonts w:ascii="Aptos" w:hAnsi="Aptos" w:cs="Aptos" w:eastAsia="Aptos"/>
                <w:sz w:val="22"/>
                <w:szCs w:val="22"/>
                <w:color w:val="1A1A1A"/>
              </w:rPr>
              <w:t>Il canone di hosting e manutenzione copre il funzionamento del sistema: se l'applicativo non risponde, presenta anomalie o richiede ripristini, l'intervento è incluso.</w:t>
            </w:r>
          </w:p>
          <w:p>
            <w:pPr>
              <w:spacing w:after="80" w:line="276" w:lineRule="auto"/>
            </w:pPr>
            <w:r>
              <w:rPr>
                <w:rFonts w:ascii="Aptos" w:hAnsi="Aptos" w:cs="Aptos" w:eastAsia="Aptos"/>
                <w:sz w:val="22"/>
                <w:szCs w:val="22"/>
                <w:color w:val="1A1A1A"/>
              </w:rPr>
              <w:t>La consulenza operativa copre invece l'utilizzo del sistema: affiancamento su attività eseguibili dalla piattaforma, anche quando il sistema funziona correttamente.</w:t>
            </w:r>
          </w:p>
        </w:tc>
      </w:tr>
    </w:tbl>
    <w:p>
      <w:pPr>
        <w:spacing w:before="0" w:after="120" w:line="276" w:lineRule="auto"/>
      </w:pPr>
    </w:p>
    <w:p>
      <w:pPr>
        <w:spacing w:before="320" w:after="160" w:line="276" w:lineRule="auto"/>
      </w:pPr>
      <w:r>
        <w:rPr>
          <w:rFonts w:ascii="Aptos" w:hAnsi="Aptos" w:cs="Aptos" w:eastAsia="Aptos"/>
          <w:sz w:val="32"/>
          <w:szCs w:val="32"/>
          <w:b/>
          <w:bCs/>
          <w:color w:val="000000"/>
        </w:rPr>
        <w:t>3. Attività Evolutive in Valutazione</w:t>
      </w:r>
    </w:p>
    <w:p>
      <w:pPr>
        <w:spacing w:before="0" w:after="120" w:line="276" w:lineRule="auto"/>
      </w:pPr>
      <w:r>
        <w:rPr>
          <w:rFonts w:ascii="Aptos" w:hAnsi="Aptos" w:cs="Aptos" w:eastAsia="Aptos"/>
          <w:sz w:val="22"/>
          <w:szCs w:val="22"/>
          <w:color w:val="1A1A1A"/>
        </w:rPr>
        <w:t>Le due attività di seguito rispondono a esigenze emerse nelle ultime sessioni di confronto con il vostro team e sono valutate come change request rispetto al perimetro originario. Possono essere attivate singolarmente o congiuntamente; entrambe sono pensate per integrarsi con la piattaforma già in produzione senza impatti sul flusso operativo corrente.</w:t>
      </w:r>
    </w:p>
    <w:p>
      <w:pPr>
        <w:spacing w:before="200" w:after="120" w:line="276" w:lineRule="auto"/>
      </w:pPr>
      <w:r>
        <w:rPr>
          <w:rFonts w:ascii="Aptos" w:hAnsi="Aptos" w:cs="Aptos" w:eastAsia="Aptos"/>
          <w:sz w:val="24"/>
          <w:szCs w:val="24"/>
          <w:b/>
          <w:bCs/>
          <w:color w:val="000000"/>
        </w:rPr>
        <w:t>3.1 Descrizioni con campi extra</w:t>
      </w:r>
    </w:p>
    <w:p>
      <w:pPr>
        <w:spacing w:before="0" w:after="120" w:line="276" w:lineRule="auto"/>
      </w:pPr>
      <w:r>
        <w:rPr>
          <w:rFonts w:ascii="Aptos" w:hAnsi="Aptos" w:cs="Aptos" w:eastAsia="Aptos"/>
          <w:sz w:val="22"/>
          <w:szCs w:val="22"/>
          <w:color w:val="1A1A1A"/>
        </w:rPr>
        <w:t>Adeguamento della struttura dati, backend e frontend per l'introduzione di un nuovo campo descrittivo prodotto, pensato per affiancare alla descrizione tecnica una versione più leggibile e adatta alla consultazione del catalogo.</w:t>
      </w:r>
    </w:p>
    <w:p>
      <w:pPr>
        <w:spacing w:before="0" w:after="120" w:line="276" w:lineRule="auto"/>
      </w:pPr>
      <w:r>
        <w:rPr>
          <w:rFonts w:ascii="Aptos" w:hAnsi="Aptos" w:cs="Aptos" w:eastAsia="Aptos"/>
          <w:sz w:val="22"/>
          <w:szCs w:val="22"/>
          <w:color w:val="1A1A1A"/>
        </w:rPr>
        <w:t>La generazione della nuova descrizione avviene a partire dalle descrizioni AI già presenti nel sistema, tramite un prompt unico con esempi e riferimenti, in modo da contenere effort, tempi di sviluppo e costi di elaborazione.</w:t>
      </w:r>
    </w:p>
    <w:p>
      <w:pPr>
        <w:spacing w:before="80" w:after="120" w:line="276" w:lineRule="auto"/>
      </w:pPr>
      <w:r>
        <w:rPr>
          <w:rFonts w:ascii="Aptos" w:hAnsi="Aptos" w:cs="Aptos" w:eastAsia="Aptos"/>
          <w:sz w:val="22"/>
          <w:szCs w:val="22"/>
          <w:b/>
          <w:bCs/>
          <w:color w:val="2B8C96"/>
        </w:rPr>
        <w:t>Importo: € 1.800</w:t>
      </w:r>
    </w:p>
    <w:p>
      <w:pPr>
        <w:spacing w:before="200" w:after="120" w:line="276" w:lineRule="auto"/>
      </w:pPr>
      <w:r>
        <w:rPr>
          <w:rFonts w:ascii="Aptos" w:hAnsi="Aptos" w:cs="Aptos" w:eastAsia="Aptos"/>
          <w:sz w:val="24"/>
          <w:szCs w:val="24"/>
          <w:b/>
          <w:bCs/>
          <w:color w:val="000000"/>
        </w:rPr>
        <w:t>3.2 Export con nuova logica semiautomatica</w:t>
      </w:r>
    </w:p>
    <w:p>
      <w:pPr>
        <w:spacing w:before="0" w:after="120" w:line="276" w:lineRule="auto"/>
      </w:pPr>
      <w:r>
        <w:rPr>
          <w:rFonts w:ascii="Aptos" w:hAnsi="Aptos" w:cs="Aptos" w:eastAsia="Aptos"/>
          <w:sz w:val="22"/>
          <w:szCs w:val="22"/>
          <w:color w:val="1A1A1A"/>
        </w:rPr>
        <w:t>Revisione del bridge di export della piattaforma per consentire, oltre all'export completo della libreria attualmente disponibile, anche export parziali su selezione di prodotti.</w:t>
      </w:r>
    </w:p>
    <w:p>
      <w:pPr>
        <w:spacing w:before="0" w:after="120" w:line="276" w:lineRule="auto"/>
      </w:pPr>
      <w:r>
        <w:rPr>
          <w:rFonts w:ascii="Aptos" w:hAnsi="Aptos" w:cs="Aptos" w:eastAsia="Aptos"/>
          <w:sz w:val="22"/>
          <w:szCs w:val="22"/>
          <w:color w:val="1A1A1A"/>
        </w:rPr>
        <w:t>L'export parziale genera un file Excel dedicato con i soli prodotti selezionati e una cartella organizzata con i relativi file multimediali associati, utile per gestire in modo più ordinato l'inserimento progressivo di nuovi prodotti nel catalogo B2B.</w:t>
      </w:r>
    </w:p>
    <w:p>
      <w:pPr>
        <w:spacing w:before="80" w:after="120" w:line="276" w:lineRule="auto"/>
      </w:pPr>
      <w:r>
        <w:rPr>
          <w:rFonts w:ascii="Aptos" w:hAnsi="Aptos" w:cs="Aptos" w:eastAsia="Aptos"/>
          <w:sz w:val="22"/>
          <w:szCs w:val="22"/>
          <w:b/>
          <w:bCs/>
          <w:color w:val="2B8C96"/>
        </w:rPr>
        <w:t>Importo: € 2.100</w:t>
      </w:r>
    </w:p>
    <w:p>
      <w:pPr>
        <w:spacing w:before="320" w:after="160" w:line="276" w:lineRule="auto"/>
      </w:pPr>
      <w:r>
        <w:rPr>
          <w:rFonts w:ascii="Aptos" w:hAnsi="Aptos" w:cs="Aptos" w:eastAsia="Aptos"/>
          <w:sz w:val="32"/>
          <w:szCs w:val="32"/>
          <w:b/>
          <w:bCs/>
          <w:color w:val="000000"/>
        </w:rPr>
        <w:t>4. Modalità di Pagamento</w:t>
      </w:r>
    </w:p>
    <w:p>
      <w:pPr>
        <w:spacing w:before="0" w:after="120" w:line="276" w:lineRule="auto"/>
      </w:pPr>
      <w:r>
        <w:rPr>
          <w:rFonts w:ascii="Aptos" w:hAnsi="Aptos" w:cs="Aptos" w:eastAsia="Aptos"/>
          <w:sz w:val="22"/>
          <w:szCs w:val="22"/>
          <w:color w:val="1A1A1A"/>
        </w:rPr>
        <w:t>Il canone di hosting e manutenzione e le ore di consulenza operativa sono fatturate con cadenza coerente con quanto già in essere nei rapporti contrattuali correnti.</w:t>
      </w:r>
    </w:p>
    <w:p>
      <w:pPr>
        <w:spacing w:before="0" w:after="120" w:line="276" w:lineRule="auto"/>
      </w:pPr>
      <w:r>
        <w:rPr>
          <w:rFonts w:ascii="Aptos" w:hAnsi="Aptos" w:cs="Aptos" w:eastAsia="Aptos"/>
          <w:sz w:val="22"/>
          <w:szCs w:val="22"/>
          <w:color w:val="1A1A1A"/>
        </w:rPr>
        <w:t>Per le attività evolutive di cui al §3, la fatturazione è prevista in due tranche per ciascuna voce: il 50% alla conferma di avvio lavori, il restante 50% alla consegna in produzione.</w:t>
      </w:r>
    </w:p>
    <w:p>
      <w:pPr>
        <w:spacing w:before="320" w:after="160" w:line="276" w:lineRule="auto"/>
      </w:pPr>
      <w:r>
        <w:rPr>
          <w:rFonts w:ascii="Aptos" w:hAnsi="Aptos" w:cs="Aptos" w:eastAsia="Aptos"/>
          <w:sz w:val="32"/>
          <w:szCs w:val="32"/>
          <w:b/>
          <w:bCs/>
          <w:color w:val="000000"/>
        </w:rPr>
        <w:t>5. Condizioni Generali</w:t>
      </w:r>
    </w:p>
    <w:tbl>
      <w:tblPr>
        <w:tblW w:type="auto" w:w="0"/>
        <w:tblLayout w:type="fixed"/>
        <w:tblLook w:firstColumn="1" w:firstRow="1" w:lastColumn="0" w:lastRow="0" w:noHBand="0" w:noVBand="1" w:val="04A0"/>
      </w:tblPr>
      <w:tblGrid>
        <w:gridCol w:w="3118"/>
        <w:gridCol w:w="6236"/>
      </w:tblGrid>
      <w:tr>
        <w:tc>
          <w:tcPr>
            <w:tcW w:type="dxa" w:w="3118"/>
            <w:shd w:val="clear" w:color="auto" w:fill="E8E8E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2"/>
                <w:szCs w:val="22"/>
                <w:b/>
                <w:bCs/>
                <w:color w:val="1A1A1A"/>
              </w:rPr>
              <w:t>Condizione</w:t>
            </w:r>
          </w:p>
        </w:tc>
        <w:tc>
          <w:tcPr>
            <w:tcW w:type="dxa" w:w="6236"/>
            <w:shd w:val="clear" w:color="auto" w:fill="E8E8E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2"/>
                <w:szCs w:val="22"/>
                <w:b/>
                <w:bCs/>
                <w:color w:val="1A1A1A"/>
              </w:rPr>
              <w:t>Dettaglio</w:t>
            </w:r>
          </w:p>
        </w:tc>
      </w:tr>
      <w:tr>
        <w:tc>
          <w:tcPr>
            <w:tcW w:type="dxa" w:w="311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Tempi di consegna evolutive</w:t>
            </w:r>
          </w:p>
        </w:tc>
        <w:tc>
          <w:tcPr>
            <w:tcW w:type="dxa" w:w="6236"/>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Da concordare al momento dell'attivazione, in funzione del carico in essere. Riferimento orientativo: 3-5 settimane per ciascuna evolutiva.</w:t>
            </w:r>
          </w:p>
        </w:tc>
      </w:tr>
      <w:tr>
        <w:tc>
          <w:tcPr>
            <w:tcW w:type="dxa" w:w="311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Proprietà intellettuale</w:t>
            </w:r>
          </w:p>
        </w:tc>
        <w:tc>
          <w:tcPr>
            <w:tcW w:type="dxa" w:w="6236"/>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Coerente con il rapporto contrattuale in essere tra HeyAI ed Eldis Net.</w:t>
            </w:r>
          </w:p>
        </w:tc>
      </w:tr>
      <w:tr>
        <w:tc>
          <w:tcPr>
            <w:tcW w:type="dxa" w:w="311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Personalizzazioni</w:t>
            </w:r>
          </w:p>
        </w:tc>
        <w:tc>
          <w:tcPr>
            <w:tcW w:type="dxa" w:w="6236"/>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Eventuali personalizzazioni o adattamenti aggiuntivi rispetto al perimetro descritto sono gestiti come change request, valorizzati e concordati prima dell'avvio.</w:t>
            </w:r>
          </w:p>
        </w:tc>
      </w:tr>
      <w:tr>
        <w:tc>
          <w:tcPr>
            <w:tcW w:type="dxa" w:w="311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Garanzia post-consegna</w:t>
            </w:r>
          </w:p>
        </w:tc>
        <w:tc>
          <w:tcPr>
            <w:tcW w:type="dxa" w:w="6236"/>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Le evolutive consegnate beneficiano del medesimo regime di manutenzione previsto per il resto dell'applicativo, una volta inserite nel perimetro.</w:t>
            </w:r>
          </w:p>
        </w:tc>
      </w:tr>
      <w:tr>
        <w:tc>
          <w:tcPr>
            <w:tcW w:type="dxa" w:w="311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Interventi extra</w:t>
            </w:r>
          </w:p>
        </w:tc>
        <w:tc>
          <w:tcPr>
            <w:tcW w:type="dxa" w:w="6236"/>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Attività al di fuori del perimetro descritto sono quotate separatamente in base a effort e complessità.</w:t>
            </w:r>
          </w:p>
        </w:tc>
      </w:tr>
      <w:tr>
        <w:tc>
          <w:tcPr>
            <w:tcW w:type="dxa" w:w="3118"/>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Validità dell'offerta</w:t>
            </w:r>
          </w:p>
        </w:tc>
        <w:tc>
          <w:tcPr>
            <w:tcW w:type="dxa" w:w="6236"/>
            <w:tcBorders>
              <w:top w:val="single" w:sz="4" w:space="0" w:color="808080"/>
              <w:left w:val="single" w:sz="4" w:space="0" w:color="808080"/>
              <w:bottom w:val="single" w:sz="4" w:space="0" w:color="808080"/>
              <w:right w:val="single" w:sz="4" w:space="0" w:color="808080"/>
            </w:tcBorders>
          </w:tcPr>
          <w:p>
            <w:r>
              <w:rPr>
                <w:rFonts w:ascii="Aptos" w:hAnsi="Aptos" w:cs="Aptos" w:eastAsia="Aptos"/>
                <w:sz w:val="20"/>
                <w:szCs w:val="20"/>
                <w:color w:val="1A1A1A"/>
              </w:rPr>
              <w:t>30 giorni dalla data di emissione.</w:t>
            </w:r>
          </w:p>
        </w:tc>
      </w:tr>
    </w:tbl>
    <w:p>
      <w:pPr>
        <w:spacing w:before="0" w:after="120" w:line="276" w:lineRule="auto"/>
      </w:pPr>
    </w:p>
    <w:p>
      <w:pPr>
        <w:spacing w:before="200" w:after="120" w:line="276" w:lineRule="auto"/>
      </w:pPr>
      <w:r>
        <w:rPr>
          <w:rFonts w:ascii="Aptos" w:hAnsi="Aptos" w:cs="Aptos" w:eastAsia="Aptos"/>
          <w:sz w:val="18"/>
          <w:szCs w:val="18"/>
          <w:i/>
          <w:color w:val="606060"/>
        </w:rPr>
        <w:t>Tutti gli importi indicati sono al netto di IVA. Il presente prospetto formalizza le condizioni di servizio e le attività evolutive in valutazione. L'attivazione delle voci di cui al §3 è subordinata alla conferma scritta da parte del cliente.</w:t>
      </w:r>
    </w:p>
    <w:sectPr w:rsidR="00860BEA" w:rsidRPr="001676B9">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08D72" w14:textId="77777777" w:rsidR="00E4148F" w:rsidRDefault="00E4148F" w:rsidP="00830B01">
      <w:r>
        <w:separator/>
      </w:r>
    </w:p>
  </w:endnote>
  <w:endnote w:type="continuationSeparator" w:id="0">
    <w:p w14:paraId="3C1DA350" w14:textId="77777777" w:rsidR="00E4148F" w:rsidRDefault="00E4148F"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D2D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FC6A142" w14:textId="77777777" w:rsidR="006447B6" w:rsidRDefault="006447B6" w:rsidP="006447B6">
    <w:pPr>
      <w:pStyle w:val="Pidipagina"/>
    </w:pPr>
  </w:p>
  <w:p w14:paraId="52250CF5"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EEEA" w14:textId="77777777" w:rsidR="00E4148F" w:rsidRDefault="00E4148F" w:rsidP="00830B01">
      <w:r>
        <w:separator/>
      </w:r>
    </w:p>
  </w:footnote>
  <w:footnote w:type="continuationSeparator" w:id="0">
    <w:p w14:paraId="03BCF43D" w14:textId="77777777" w:rsidR="00E4148F" w:rsidRDefault="00E4148F"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2B00"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34516762"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31F7DFE9"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0D55C829" w14:textId="77777777" w:rsidR="006447B6" w:rsidRDefault="006447B6" w:rsidP="006447B6">
    <w:pPr>
      <w:pStyle w:val="Intestazione"/>
      <w:ind w:left="7080"/>
    </w:pPr>
    <w:r>
      <w:rPr>
        <w:rFonts w:ascii="Acre Medium" w:hAnsi="Acre Medium"/>
        <w:sz w:val="21"/>
        <w:szCs w:val="21"/>
      </w:rPr>
      <w:t>www.heyaidigital.it</w:t>
    </w:r>
  </w:p>
  <w:p w14:paraId="2EEC908E"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6A4"/>
    <w:multiLevelType w:val="hybridMultilevel"/>
    <w:tmpl w:val="7A2A2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111E05"/>
    <w:multiLevelType w:val="hybridMultilevel"/>
    <w:tmpl w:val="AB6A94B4"/>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50D788B"/>
    <w:multiLevelType w:val="multilevel"/>
    <w:tmpl w:val="7010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1A5"/>
    <w:multiLevelType w:val="multilevel"/>
    <w:tmpl w:val="7E6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C776A"/>
    <w:multiLevelType w:val="multilevel"/>
    <w:tmpl w:val="0030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779F"/>
    <w:multiLevelType w:val="hybridMultilevel"/>
    <w:tmpl w:val="9F2E41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BD08B9"/>
    <w:multiLevelType w:val="multilevel"/>
    <w:tmpl w:val="BB8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621"/>
    <w:multiLevelType w:val="multilevel"/>
    <w:tmpl w:val="F24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0E27"/>
    <w:multiLevelType w:val="multilevel"/>
    <w:tmpl w:val="540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23694"/>
    <w:multiLevelType w:val="hybridMultilevel"/>
    <w:tmpl w:val="F6F84A5A"/>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9CE19D8"/>
    <w:multiLevelType w:val="multilevel"/>
    <w:tmpl w:val="54C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14CDD"/>
    <w:multiLevelType w:val="hybridMultilevel"/>
    <w:tmpl w:val="E696A94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CBA4E7E"/>
    <w:multiLevelType w:val="multilevel"/>
    <w:tmpl w:val="102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29B3"/>
    <w:multiLevelType w:val="multilevel"/>
    <w:tmpl w:val="C8D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B4A7E"/>
    <w:multiLevelType w:val="hybridMultilevel"/>
    <w:tmpl w:val="EAC2B4E8"/>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57D6C72"/>
    <w:multiLevelType w:val="hybridMultilevel"/>
    <w:tmpl w:val="54EC4F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8870280"/>
    <w:multiLevelType w:val="multilevel"/>
    <w:tmpl w:val="493E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F299C"/>
    <w:multiLevelType w:val="hybridMultilevel"/>
    <w:tmpl w:val="FE1AC952"/>
    <w:lvl w:ilvl="0" w:tplc="88E2C364">
      <w:numFmt w:val="bullet"/>
      <w:lvlText w:val="•"/>
      <w:lvlJc w:val="left"/>
      <w:pPr>
        <w:ind w:left="1068" w:hanging="360"/>
      </w:pPr>
      <w:rPr>
        <w:rFonts w:ascii="Aptos" w:eastAsia="Times New Roman" w:hAnsi="Aptos"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15:restartNumberingAfterBreak="0">
    <w:nsid w:val="297117D4"/>
    <w:multiLevelType w:val="multilevel"/>
    <w:tmpl w:val="B320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702"/>
    <w:multiLevelType w:val="multilevel"/>
    <w:tmpl w:val="E5A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D424F"/>
    <w:multiLevelType w:val="hybridMultilevel"/>
    <w:tmpl w:val="402064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16A31AD"/>
    <w:multiLevelType w:val="multilevel"/>
    <w:tmpl w:val="C9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A64B3"/>
    <w:multiLevelType w:val="hybridMultilevel"/>
    <w:tmpl w:val="05C6ECC4"/>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2DD5E45"/>
    <w:multiLevelType w:val="hybridMultilevel"/>
    <w:tmpl w:val="7E1A18EA"/>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4EB1B2B"/>
    <w:multiLevelType w:val="hybridMultilevel"/>
    <w:tmpl w:val="F54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C5609"/>
    <w:multiLevelType w:val="hybridMultilevel"/>
    <w:tmpl w:val="C526F0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59B11B0"/>
    <w:multiLevelType w:val="hybridMultilevel"/>
    <w:tmpl w:val="9A2E5F8C"/>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2A70D54"/>
    <w:multiLevelType w:val="multilevel"/>
    <w:tmpl w:val="0B58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F38D6"/>
    <w:multiLevelType w:val="hybridMultilevel"/>
    <w:tmpl w:val="3FBEAE9E"/>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63907CB"/>
    <w:multiLevelType w:val="multilevel"/>
    <w:tmpl w:val="2E4A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9BC3F4A"/>
    <w:multiLevelType w:val="hybridMultilevel"/>
    <w:tmpl w:val="61D0E7A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0D81289"/>
    <w:multiLevelType w:val="multilevel"/>
    <w:tmpl w:val="AD0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333A0"/>
    <w:multiLevelType w:val="multilevel"/>
    <w:tmpl w:val="590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45A49"/>
    <w:multiLevelType w:val="hybridMultilevel"/>
    <w:tmpl w:val="E45AF1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65D01939"/>
    <w:multiLevelType w:val="hybridMultilevel"/>
    <w:tmpl w:val="B470B7D6"/>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9B87298"/>
    <w:multiLevelType w:val="multilevel"/>
    <w:tmpl w:val="05C8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10455"/>
    <w:multiLevelType w:val="multilevel"/>
    <w:tmpl w:val="DBBC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45727"/>
    <w:multiLevelType w:val="multilevel"/>
    <w:tmpl w:val="8AAC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A1431"/>
    <w:multiLevelType w:val="multilevel"/>
    <w:tmpl w:val="B6FE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7751CC6"/>
    <w:multiLevelType w:val="multilevel"/>
    <w:tmpl w:val="327A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F7D39"/>
    <w:multiLevelType w:val="multilevel"/>
    <w:tmpl w:val="8E385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94360"/>
    <w:multiLevelType w:val="multilevel"/>
    <w:tmpl w:val="FE940D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FEF563A"/>
    <w:multiLevelType w:val="hybridMultilevel"/>
    <w:tmpl w:val="77E4F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5170926">
    <w:abstractNumId w:val="42"/>
  </w:num>
  <w:num w:numId="2" w16cid:durableId="782958710">
    <w:abstractNumId w:val="13"/>
  </w:num>
  <w:num w:numId="3" w16cid:durableId="447168904">
    <w:abstractNumId w:val="34"/>
  </w:num>
  <w:num w:numId="4" w16cid:durableId="1314141019">
    <w:abstractNumId w:val="31"/>
  </w:num>
  <w:num w:numId="5" w16cid:durableId="1746757518">
    <w:abstractNumId w:val="14"/>
  </w:num>
  <w:num w:numId="6" w16cid:durableId="583149901">
    <w:abstractNumId w:val="45"/>
  </w:num>
  <w:num w:numId="7" w16cid:durableId="526143127">
    <w:abstractNumId w:val="26"/>
  </w:num>
  <w:num w:numId="8" w16cid:durableId="780999740">
    <w:abstractNumId w:val="44"/>
  </w:num>
  <w:num w:numId="9" w16cid:durableId="2085449590">
    <w:abstractNumId w:val="30"/>
  </w:num>
  <w:num w:numId="10" w16cid:durableId="1953126341">
    <w:abstractNumId w:val="38"/>
  </w:num>
  <w:num w:numId="11" w16cid:durableId="583760592">
    <w:abstractNumId w:val="21"/>
  </w:num>
  <w:num w:numId="12" w16cid:durableId="708650286">
    <w:abstractNumId w:val="3"/>
  </w:num>
  <w:num w:numId="13" w16cid:durableId="2068913856">
    <w:abstractNumId w:val="4"/>
  </w:num>
  <w:num w:numId="14" w16cid:durableId="1022055762">
    <w:abstractNumId w:val="33"/>
  </w:num>
  <w:num w:numId="15" w16cid:durableId="7871575">
    <w:abstractNumId w:val="39"/>
  </w:num>
  <w:num w:numId="16" w16cid:durableId="270823602">
    <w:abstractNumId w:val="35"/>
  </w:num>
  <w:num w:numId="17" w16cid:durableId="1512986029">
    <w:abstractNumId w:val="12"/>
  </w:num>
  <w:num w:numId="18" w16cid:durableId="1979725730">
    <w:abstractNumId w:val="17"/>
  </w:num>
  <w:num w:numId="19" w16cid:durableId="977612784">
    <w:abstractNumId w:val="43"/>
  </w:num>
  <w:num w:numId="20" w16cid:durableId="1853908786">
    <w:abstractNumId w:val="8"/>
  </w:num>
  <w:num w:numId="21" w16cid:durableId="1805002231">
    <w:abstractNumId w:val="19"/>
  </w:num>
  <w:num w:numId="22" w16cid:durableId="1405034216">
    <w:abstractNumId w:val="20"/>
  </w:num>
  <w:num w:numId="23" w16cid:durableId="1709987912">
    <w:abstractNumId w:val="28"/>
  </w:num>
  <w:num w:numId="24" w16cid:durableId="987317467">
    <w:abstractNumId w:val="7"/>
  </w:num>
  <w:num w:numId="25" w16cid:durableId="1894808310">
    <w:abstractNumId w:val="22"/>
  </w:num>
  <w:num w:numId="26" w16cid:durableId="57900673">
    <w:abstractNumId w:val="2"/>
  </w:num>
  <w:num w:numId="27" w16cid:durableId="249582256">
    <w:abstractNumId w:val="41"/>
  </w:num>
  <w:num w:numId="28" w16cid:durableId="319040927">
    <w:abstractNumId w:val="40"/>
  </w:num>
  <w:num w:numId="29" w16cid:durableId="2132477873">
    <w:abstractNumId w:val="10"/>
  </w:num>
  <w:num w:numId="30" w16cid:durableId="231669974">
    <w:abstractNumId w:val="25"/>
  </w:num>
  <w:num w:numId="31" w16cid:durableId="1871644479">
    <w:abstractNumId w:val="16"/>
  </w:num>
  <w:num w:numId="32" w16cid:durableId="751318932">
    <w:abstractNumId w:val="36"/>
  </w:num>
  <w:num w:numId="33" w16cid:durableId="340356795">
    <w:abstractNumId w:val="24"/>
  </w:num>
  <w:num w:numId="34" w16cid:durableId="405372838">
    <w:abstractNumId w:val="6"/>
  </w:num>
  <w:num w:numId="35" w16cid:durableId="2137603589">
    <w:abstractNumId w:val="1"/>
  </w:num>
  <w:num w:numId="36" w16cid:durableId="893201016">
    <w:abstractNumId w:val="0"/>
  </w:num>
  <w:num w:numId="37" w16cid:durableId="2100716696">
    <w:abstractNumId w:val="32"/>
  </w:num>
  <w:num w:numId="38" w16cid:durableId="1761564324">
    <w:abstractNumId w:val="11"/>
  </w:num>
  <w:num w:numId="39" w16cid:durableId="1266382946">
    <w:abstractNumId w:val="9"/>
  </w:num>
  <w:num w:numId="40" w16cid:durableId="659889051">
    <w:abstractNumId w:val="27"/>
  </w:num>
  <w:num w:numId="41" w16cid:durableId="1871675188">
    <w:abstractNumId w:val="23"/>
  </w:num>
  <w:num w:numId="42" w16cid:durableId="130290540">
    <w:abstractNumId w:val="29"/>
  </w:num>
  <w:num w:numId="43" w16cid:durableId="1688485361">
    <w:abstractNumId w:val="46"/>
  </w:num>
  <w:num w:numId="44" w16cid:durableId="620963254">
    <w:abstractNumId w:val="37"/>
  </w:num>
  <w:num w:numId="45" w16cid:durableId="1008096418">
    <w:abstractNumId w:val="15"/>
  </w:num>
  <w:num w:numId="46" w16cid:durableId="1065563076">
    <w:abstractNumId w:val="18"/>
  </w:num>
  <w:num w:numId="47" w16cid:durableId="1526096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62E7F"/>
    <w:rsid w:val="00066A70"/>
    <w:rsid w:val="00070193"/>
    <w:rsid w:val="00071A10"/>
    <w:rsid w:val="000B1739"/>
    <w:rsid w:val="000B1DEF"/>
    <w:rsid w:val="000B320A"/>
    <w:rsid w:val="00151443"/>
    <w:rsid w:val="001676B9"/>
    <w:rsid w:val="00183D60"/>
    <w:rsid w:val="00185E26"/>
    <w:rsid w:val="00226642"/>
    <w:rsid w:val="0027454E"/>
    <w:rsid w:val="00282076"/>
    <w:rsid w:val="002E7527"/>
    <w:rsid w:val="00353F4D"/>
    <w:rsid w:val="003A23FA"/>
    <w:rsid w:val="003D2A00"/>
    <w:rsid w:val="003F04EB"/>
    <w:rsid w:val="00490ACE"/>
    <w:rsid w:val="004C7B79"/>
    <w:rsid w:val="00506463"/>
    <w:rsid w:val="0051782B"/>
    <w:rsid w:val="00531ACE"/>
    <w:rsid w:val="005C1BE2"/>
    <w:rsid w:val="005D761F"/>
    <w:rsid w:val="00605C37"/>
    <w:rsid w:val="00610C2E"/>
    <w:rsid w:val="006447B6"/>
    <w:rsid w:val="00660521"/>
    <w:rsid w:val="006B7767"/>
    <w:rsid w:val="006E4E65"/>
    <w:rsid w:val="006F77A9"/>
    <w:rsid w:val="0071208A"/>
    <w:rsid w:val="007618CD"/>
    <w:rsid w:val="00786CFF"/>
    <w:rsid w:val="007B42A7"/>
    <w:rsid w:val="0081533A"/>
    <w:rsid w:val="00830B01"/>
    <w:rsid w:val="008401FF"/>
    <w:rsid w:val="00844283"/>
    <w:rsid w:val="00860BEA"/>
    <w:rsid w:val="009345A9"/>
    <w:rsid w:val="00970444"/>
    <w:rsid w:val="00970B18"/>
    <w:rsid w:val="009A338A"/>
    <w:rsid w:val="00A424D5"/>
    <w:rsid w:val="00A52F5B"/>
    <w:rsid w:val="00A812BF"/>
    <w:rsid w:val="00B0270F"/>
    <w:rsid w:val="00B35073"/>
    <w:rsid w:val="00B6284A"/>
    <w:rsid w:val="00B77634"/>
    <w:rsid w:val="00B92FF6"/>
    <w:rsid w:val="00BC1749"/>
    <w:rsid w:val="00C16E28"/>
    <w:rsid w:val="00C479AA"/>
    <w:rsid w:val="00C5412C"/>
    <w:rsid w:val="00CA4436"/>
    <w:rsid w:val="00CD33BB"/>
    <w:rsid w:val="00D00AE5"/>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F0080"/>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7</TotalTime>
  <Pages>1</Pages>
  <Words>1587</Words>
  <Characters>9049</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4</cp:revision>
  <cp:lastPrinted>2026-03-09T12:09:00Z</cp:lastPrinted>
  <dcterms:created xsi:type="dcterms:W3CDTF">2026-03-09T12:09:00Z</dcterms:created>
  <dcterms:modified xsi:type="dcterms:W3CDTF">2026-03-09T15:23:00Z</dcterms:modified>
</cp:coreProperties>
</file>