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Aptos" w:hAnsi="Aptos"/>
          <w:b/>
          <w:color w:val="074F6A"/>
          <w:sz w:val="36"/>
        </w:rPr>
        <w:t>Proposta di Investimento | Piattaforma HORECA</w:t>
      </w:r>
    </w:p>
    <w:p/>
    <w:p>
      <w:pPr>
        <w:pStyle w:val="Titolo1"/>
      </w:pPr>
      <w:r>
        <w:rPr>
          <w:rFonts w:ascii="Aptos" w:hAnsi="Aptos"/>
        </w:rPr>
        <w:t>1. Oggetto della Proposta</w:t>
      </w:r>
    </w:p>
    <w:p>
      <w:r>
        <w:rPr>
          <w:rFonts w:ascii="Aptos" w:hAnsi="Aptos"/>
        </w:rPr>
        <w:t>La presente proposta riguarda la progettazione, lo sviluppo e il rilascio di una piattaforma web dedicata all'incontro tra domanda e offerta di lavoro nel settore Horeca (Hotel, Restaurant, Café).</w:t>
      </w:r>
    </w:p>
    <w:p>
      <w:commentRangeStart w:id="0"/>
      <w:r>
        <w:rPr>
          <w:rFonts w:ascii="Aptos" w:hAnsi="Aptos"/>
        </w:rPr>
        <w:t>La piattaforma digitalizza e scala un modello di intermediazione che il Cliente gestisce oggi manualmente, trasformandolo in un prodotto SaaS con due modalità di accesso (lavoratori B2C e imprenditori B2B) e un modello di monetizzazione basato su subscription. Il valore distintivo della piattaforma risiede in un sistema di recensioni validate — non anonime e verificate manualmente — che costruisce un ecosistema di fiducia tra imprenditori e lavoratori del settore.</w:t>
      </w:r>
      <w:commentRangeEnd w:id="0"/>
      <w:r>
        <w:rPr>
          <w:rStyle w:val="CommentReference"/>
        </w:rPr>
        <w:commentReference w:id="0"/>
      </w:r>
    </w:p>
    <w:p>
      <w:r>
        <w:rPr>
          <w:rFonts w:ascii="Aptos" w:hAnsi="Aptos"/>
        </w:rPr>
        <w:t>Per il dettaglio completo dei requisiti funzionali si rimanda al Requirement Log allegato, che costituisce parte integrante dell'offerta.</w:t>
      </w:r>
    </w:p>
    <w:p>
      <w:pPr>
        <w:pStyle w:val="Titolo1"/>
      </w:pPr>
      <w:r>
        <w:rPr>
          <w:rFonts w:ascii="Aptos" w:hAnsi="Aptos"/>
        </w:rPr>
        <w:t>2. Soluzione Tecnica</w:t>
      </w:r>
    </w:p>
    <w:p>
      <w:r>
        <w:rPr>
          <w:rFonts w:ascii="Aptos" w:hAnsi="Aptos"/>
        </w:rPr>
        <w:t>La piattaforma è un marketplace a due lati con moderazione centralizzata, progettato per garantire qualità del matching e affidabilità delle recensioni.</w:t>
      </w:r>
    </w:p>
    <w:tbl>
      <w:tblPr>
        <w:tblW w:type="auto" w:w="0"/>
        <w:tblLayout w:type="autofit"/>
        <w:tblLook w:firstColumn="1" w:firstRow="1" w:lastColumn="0" w:lastRow="0" w:noHBand="0" w:noVBand="1" w:val="04A0"/>
        <w:tblBorders>
          <w:top w:val="single" w:sz="4" w:color="D0D7DA"/>
          <w:left w:val="single" w:sz="4" w:color="D0D7DA"/>
          <w:bottom w:val="single" w:sz="4" w:color="D0D7DA"/>
          <w:right w:val="single" w:sz="4" w:color="D0D7DA"/>
          <w:insideH w:val="single" w:sz="4" w:color="D0D7DA"/>
          <w:insideV w:val="single" w:sz="4" w:color="D0D7DA"/>
        </w:tblBorders>
      </w:tblPr>
      <w:tblGrid>
        <w:gridCol w:w="4753"/>
        <w:gridCol w:w="4753"/>
      </w:tblGrid>
      <w:tr>
        <w:tc>
          <w:tcPr>
            <w:tcW w:type="dxa" w:w="4753"/>
            <w:shd w:val="clear" w:color="auto" w:fill="074F6A"/>
          </w:tcPr>
          <w:p>
            <w:r/>
            <w:r>
              <w:rPr>
                <w:rFonts w:ascii="Aptos" w:hAnsi="Aptos"/>
                <w:b/>
                <w:color w:val="FFFFFF"/>
                <w:sz w:val="20"/>
              </w:rPr>
              <w:t>Modulo</w:t>
            </w:r>
          </w:p>
        </w:tc>
        <w:tc>
          <w:tcPr>
            <w:tcW w:type="dxa" w:w="4753"/>
            <w:shd w:val="clear" w:color="auto" w:fill="074F6A"/>
          </w:tcPr>
          <w:p>
            <w:r/>
            <w:r>
              <w:rPr>
                <w:rFonts w:ascii="Aptos" w:hAnsi="Aptos"/>
                <w:b/>
                <w:color w:val="FFFFFF"/>
                <w:sz w:val="20"/>
              </w:rPr>
              <w:t>Descrizione</w:t>
            </w:r>
          </w:p>
        </w:tc>
      </w:tr>
      <w:tr>
        <w:tc>
          <w:tcPr>
            <w:tcW w:type="dxa" w:w="4753"/>
          </w:tcPr>
          <w:p>
            <w:r/>
            <w:r>
              <w:rPr>
                <w:rFonts w:ascii="Aptos" w:hAnsi="Aptos"/>
                <w:b/>
                <w:sz w:val="20"/>
              </w:rPr>
              <w:t>Profilo Lavoratore (B2C)</w:t>
            </w:r>
          </w:p>
        </w:tc>
        <w:tc>
          <w:tcPr>
            <w:tcW w:type="dxa" w:w="4753"/>
          </w:tcPr>
          <w:p>
            <w:r/>
            <w:r>
              <w:rPr>
                <w:rFonts w:ascii="Aptos" w:hAnsi="Aptos"/>
                <w:sz w:val="20"/>
              </w:rPr>
              <w:t>Registrazione con dati anagrafici, foto, bio e upload CV. Selezione ruolo professionale da catalogo configurabile e anni di esperienza. Calendario disponibilità (immediata, stagionale, weekend), preferenze orarie, disponibilità trasferte/alloggio. Pubblicazione annunci "Cerco Lavoro" in bacheca pubblica. Toggle Disponibile/Non disponibile. Dashboard personale con offerte ricevute, storico candidature e recensioni.</w:t>
            </w:r>
          </w:p>
        </w:tc>
      </w:tr>
      <w:tr>
        <w:tc>
          <w:tcPr>
            <w:tcW w:type="dxa" w:w="4753"/>
            <w:shd w:val="clear" w:color="auto" w:fill="F0F5F6"/>
          </w:tcPr>
          <w:p>
            <w:r/>
            <w:r>
              <w:rPr>
                <w:rFonts w:ascii="Aptos" w:hAnsi="Aptos"/>
                <w:b/>
                <w:sz w:val="20"/>
              </w:rPr>
              <w:t>Profilo Imprenditore (B2B)</w:t>
            </w:r>
          </w:p>
        </w:tc>
        <w:tc>
          <w:tcPr>
            <w:tcW w:type="dxa" w:w="4753"/>
            <w:shd w:val="clear" w:color="auto" w:fill="F0F5F6"/>
          </w:tcPr>
          <w:p>
            <w:r/>
            <w:r>
              <w:rPr>
                <w:rFonts w:ascii="Aptos" w:hAnsi="Aptos"/>
                <w:sz w:val="20"/>
              </w:rPr>
              <w:t>Profilo struttura con dati azienda, descrizione, tipologia e foto. Pubblicazione offerte di lavoro dettagliate (ruolo, compenso, durata, alloggio, requisiti, località). Ricerca attiva di lavoratori con filtri. Dashboard con gestione annunci, lista candidati e statistiche.</w:t>
            </w:r>
          </w:p>
        </w:tc>
      </w:tr>
      <w:tr>
        <w:tc>
          <w:tcPr>
            <w:tcW w:type="dxa" w:w="4753"/>
          </w:tcPr>
          <w:p>
            <w:r/>
            <w:r>
              <w:rPr>
                <w:rFonts w:ascii="Aptos" w:hAnsi="Aptos"/>
                <w:b/>
                <w:sz w:val="20"/>
              </w:rPr>
              <w:t>Ricerca e Filtri</w:t>
            </w:r>
          </w:p>
        </w:tc>
        <w:tc>
          <w:tcPr>
            <w:tcW w:type="dxa" w:w="4753"/>
          </w:tcPr>
          <w:p>
            <w:r/>
            <w:r>
              <w:rPr>
                <w:rFonts w:ascii="Aptos" w:hAnsi="Aptos"/>
                <w:sz w:val="20"/>
              </w:rPr>
              <w:t>Motore di ricerca con filtri combinabili: ruolo professionale, città e regione, esperienza, disponibilità, certificazioni (HACCP, ecc.), tipologia di struttura. Applicabili sia alla ricerca di lavoratori sia alla ricerca di offerte.</w:t>
            </w:r>
          </w:p>
        </w:tc>
      </w:tr>
      <w:tr>
        <w:tc>
          <w:tcPr>
            <w:tcW w:type="dxa" w:w="4753"/>
            <w:shd w:val="clear" w:color="auto" w:fill="F0F5F6"/>
          </w:tcPr>
          <w:p>
            <w:r/>
            <w:commentRangeStart w:id="1"/>
            <w:r>
              <w:rPr>
                <w:rFonts w:ascii="Aptos" w:hAnsi="Aptos"/>
                <w:b/>
                <w:sz w:val="20"/>
              </w:rPr>
              <w:t>Recensioni Validate (Core)</w:t>
            </w:r>
            <w:commentRangeEnd w:id="1"/>
            <w:r>
              <w:rPr>
                <w:rStyle w:val="CommentReference"/>
              </w:rPr>
              <w:commentReference w:id="1"/>
            </w:r>
          </w:p>
        </w:tc>
        <w:tc>
          <w:tcPr>
            <w:tcW w:type="dxa" w:w="4753"/>
            <w:shd w:val="clear" w:color="auto" w:fill="F0F5F6"/>
          </w:tcPr>
          <w:p>
            <w:r/>
            <w:commentRangeStart w:id="8"/>
            <w:r>
              <w:rPr>
                <w:rFonts w:ascii="Aptos" w:hAnsi="Aptos"/>
                <w:sz w:val="20"/>
              </w:rPr>
              <w:t>Recensioni reciproche e nominative. Rating su parametri specifici configurabili (puntualità, competenze, soft skills, pagamenti regolari). In V1 (estate 2026) le recensioni sono pubblicate immediatamente e gestite con moderazione post-pubblicazione tramite coda admin (rimozione, sospensione, segnalazione). La validazione manuale ex-ante — con stato “In attesa di approvazione” bloccante fino alla verifica dell’effettivo rapporto di lavoro — viene attivata in Fase 2 post go-live, una volta consolidati volumi e processi.</w:t>
            </w:r>
            <w:commentRangeEnd w:id="8"/>
            <w:r>
              <w:rPr>
                <w:rStyle w:val="CommentReference"/>
              </w:rPr>
              <w:commentReference w:id="8"/>
            </w:r>
          </w:p>
        </w:tc>
      </w:tr>
      <w:tr>
        <w:tc>
          <w:tcPr>
            <w:tcW w:type="dxa" w:w="4753"/>
          </w:tcPr>
          <w:p>
            <w:r/>
            <w:r>
              <w:rPr>
                <w:rFonts w:ascii="Aptos" w:hAnsi="Aptos"/>
                <w:b/>
                <w:sz w:val="20"/>
              </w:rPr>
              <w:t>Subscription e Paywall</w:t>
            </w:r>
          </w:p>
        </w:tc>
        <w:tc>
          <w:tcPr>
            <w:tcW w:type="dxa" w:w="4753"/>
          </w:tcPr>
          <w:p>
            <w:r/>
            <w:r>
              <w:rPr>
                <w:rFonts w:ascii="Aptos" w:hAnsi="Aptos"/>
                <w:sz w:val="20"/>
              </w:rPr>
              <w:t>Modello freemium: accesso base gratuito, azioni premium bloccate da paywall (contatti in chiaro, annunci illimitati, filtri avanzati). Abbonamenti mensili e annuali configurabili. Integrazione Stripe per pagamenti ricorrenti e fatturazione automatica.</w:t>
            </w:r>
          </w:p>
        </w:tc>
      </w:tr>
      <w:tr>
        <w:tc>
          <w:tcPr>
            <w:tcW w:type="dxa" w:w="4753"/>
            <w:shd w:val="clear" w:color="auto" w:fill="F0F5F6"/>
          </w:tcPr>
          <w:p>
            <w:r/>
            <w:r>
              <w:rPr>
                <w:rFonts w:ascii="Aptos" w:hAnsi="Aptos"/>
                <w:b/>
                <w:sz w:val="20"/>
              </w:rPr>
              <w:t>Pannello Admin</w:t>
            </w:r>
          </w:p>
        </w:tc>
        <w:tc>
          <w:tcPr>
            <w:tcW w:type="dxa" w:w="4753"/>
            <w:shd w:val="clear" w:color="auto" w:fill="F0F5F6"/>
          </w:tcPr>
          <w:p>
            <w:r/>
            <w:r>
              <w:rPr>
                <w:rFonts w:ascii="Aptos" w:hAnsi="Aptos"/>
                <w:sz w:val="20"/>
              </w:rPr>
              <w:t>Gestione utenti (visualizzazione, modifica, sospensione, ban). Moderazione recensioni con coda dedicata (approvare, rifiutare, stand-by). Moderazione annunci.</w:t>
            </w:r>
          </w:p>
        </w:tc>
      </w:tr>
    </w:tbl>
    <w:p/>
    <w:p>
      <w:pPr>
        <w:pStyle w:val="Titolo1"/>
      </w:pPr>
      <w:r>
        <w:rPr>
          <w:rFonts w:ascii="Aptos" w:hAnsi="Aptos"/>
        </w:rPr>
        <w:t>3. Sicurezza e Compliance</w:t>
      </w:r>
    </w:p>
    <w:tbl>
      <w:tblPr>
        <w:tblW w:type="auto" w:w="0"/>
        <w:tblLayout w:type="autofit"/>
        <w:tblLook w:firstColumn="1" w:firstRow="1" w:lastColumn="0" w:lastRow="0" w:noHBand="0" w:noVBand="1" w:val="04A0"/>
        <w:tblBorders>
          <w:top w:val="single" w:sz="4" w:color="D0D7DA"/>
          <w:left w:val="single" w:sz="4" w:color="D0D7DA"/>
          <w:bottom w:val="single" w:sz="4" w:color="D0D7DA"/>
          <w:right w:val="single" w:sz="4" w:color="D0D7DA"/>
          <w:insideH w:val="single" w:sz="4" w:color="D0D7DA"/>
          <w:insideV w:val="single" w:sz="4" w:color="D0D7DA"/>
        </w:tblBorders>
      </w:tblPr>
      <w:tblGrid>
        <w:gridCol w:w="4753"/>
        <w:gridCol w:w="4753"/>
      </w:tblGrid>
      <w:tr>
        <w:tc>
          <w:tcPr>
            <w:tcW w:type="dxa" w:w="4753"/>
            <w:shd w:val="clear" w:color="auto" w:fill="074F6A"/>
          </w:tcPr>
          <w:p>
            <w:r/>
            <w:r>
              <w:rPr>
                <w:rFonts w:ascii="Aptos" w:hAnsi="Aptos"/>
                <w:b/>
                <w:color w:val="FFFFFF"/>
                <w:sz w:val="20"/>
              </w:rPr>
              <w:t>Principio</w:t>
            </w:r>
          </w:p>
        </w:tc>
        <w:tc>
          <w:tcPr>
            <w:tcW w:type="dxa" w:w="4753"/>
            <w:shd w:val="clear" w:color="auto" w:fill="074F6A"/>
          </w:tcPr>
          <w:p>
            <w:r/>
            <w:r>
              <w:rPr>
                <w:rFonts w:ascii="Aptos" w:hAnsi="Aptos"/>
                <w:b/>
                <w:color w:val="FFFFFF"/>
                <w:sz w:val="20"/>
              </w:rPr>
              <w:t>Implementazione</w:t>
            </w:r>
          </w:p>
        </w:tc>
      </w:tr>
      <w:tr>
        <w:tc>
          <w:tcPr>
            <w:tcW w:type="dxa" w:w="4753"/>
          </w:tcPr>
          <w:p>
            <w:r/>
            <w:r>
              <w:rPr>
                <w:rFonts w:ascii="Aptos" w:hAnsi="Aptos"/>
                <w:b/>
                <w:sz w:val="20"/>
              </w:rPr>
              <w:t>Autenticazione</w:t>
            </w:r>
          </w:p>
        </w:tc>
        <w:tc>
          <w:tcPr>
            <w:tcW w:type="dxa" w:w="4753"/>
          </w:tcPr>
          <w:p>
            <w:r/>
            <w:r>
              <w:rPr>
                <w:rFonts w:ascii="Aptos" w:hAnsi="Aptos"/>
                <w:sz w:val="20"/>
              </w:rPr>
              <w:t>Registrazione differenziata Lavoratori/Imprenditori. Conferma account via email. Recupero e reset password.</w:t>
            </w:r>
          </w:p>
        </w:tc>
      </w:tr>
      <w:tr>
        <w:tc>
          <w:tcPr>
            <w:tcW w:type="dxa" w:w="4753"/>
            <w:shd w:val="clear" w:color="auto" w:fill="F0F5F6"/>
          </w:tcPr>
          <w:p>
            <w:r/>
            <w:commentRangeStart w:id="2"/>
            <w:r>
              <w:rPr>
                <w:rFonts w:ascii="Aptos" w:hAnsi="Aptos"/>
                <w:b/>
                <w:sz w:val="20"/>
              </w:rPr>
              <w:t>GDPR</w:t>
            </w:r>
            <w:commentRangeEnd w:id="2"/>
            <w:r>
              <w:rPr>
                <w:rStyle w:val="CommentReference"/>
              </w:rPr>
              <w:commentReference w:id="2"/>
            </w:r>
          </w:p>
        </w:tc>
        <w:tc>
          <w:tcPr>
            <w:tcW w:type="dxa" w:w="4753"/>
            <w:shd w:val="clear" w:color="auto" w:fill="F0F5F6"/>
          </w:tcPr>
          <w:p>
            <w:r/>
            <w:r>
              <w:rPr>
                <w:rFonts w:ascii="Aptos" w:hAnsi="Aptos"/>
                <w:sz w:val="20"/>
              </w:rPr>
              <w:t>Accettazione obbligatoria T&amp;C e Privacy Policy con tracciamento puntuale (timestamp) del consenso. I testi legali sono a carico del Cliente.</w:t>
            </w:r>
          </w:p>
        </w:tc>
      </w:tr>
      <w:tr>
        <w:tc>
          <w:tcPr>
            <w:tcW w:type="dxa" w:w="4753"/>
          </w:tcPr>
          <w:p>
            <w:r/>
            <w:r>
              <w:rPr>
                <w:rFonts w:ascii="Aptos" w:hAnsi="Aptos"/>
                <w:b/>
                <w:sz w:val="20"/>
              </w:rPr>
              <w:t>Crittografia</w:t>
            </w:r>
          </w:p>
        </w:tc>
        <w:tc>
          <w:tcPr>
            <w:tcW w:type="dxa" w:w="4753"/>
          </w:tcPr>
          <w:p>
            <w:r/>
            <w:r>
              <w:rPr>
                <w:rFonts w:ascii="Aptos" w:hAnsi="Aptos"/>
                <w:sz w:val="20"/>
              </w:rPr>
              <w:t>TLS 1.3 (con fallback TLS 1.2 ove necessario) in transito, AES-256 a riposo.</w:t>
            </w:r>
          </w:p>
        </w:tc>
      </w:tr>
      <w:tr>
        <w:tc>
          <w:tcPr>
            <w:tcW w:type="dxa" w:w="4753"/>
            <w:shd w:val="clear" w:color="auto" w:fill="F0F5F6"/>
          </w:tcPr>
          <w:p>
            <w:r/>
            <w:commentRangeStart w:id="7"/>
            <w:r>
              <w:rPr>
                <w:rFonts w:ascii="Aptos" w:hAnsi="Aptos"/>
                <w:b/>
                <w:sz w:val="20"/>
              </w:rPr>
              <w:t>Pagamenti</w:t>
            </w:r>
            <w:commentRangeEnd w:id="7"/>
            <w:r>
              <w:rPr>
                <w:rStyle w:val="CommentReference"/>
              </w:rPr>
              <w:commentReference w:id="7"/>
            </w:r>
          </w:p>
        </w:tc>
        <w:tc>
          <w:tcPr>
            <w:tcW w:type="dxa" w:w="4753"/>
            <w:shd w:val="clear" w:color="auto" w:fill="F0F5F6"/>
          </w:tcPr>
          <w:p>
            <w:r/>
            <w:r>
              <w:rPr>
                <w:rFonts w:ascii="Aptos" w:hAnsi="Aptos"/>
                <w:sz w:val="20"/>
              </w:rPr>
              <w:t>Integrazione Stripe. Nessun dato carta conservato dal sistema (PCI compliance delegata a Stripe).</w:t>
            </w:r>
          </w:p>
        </w:tc>
      </w:tr>
      <w:tr>
        <w:tc>
          <w:tcPr>
            <w:tcW w:type="dxa" w:w="4753"/>
          </w:tcPr>
          <w:p>
            <w:r/>
            <w:r>
              <w:rPr>
                <w:rFonts w:ascii="Aptos" w:hAnsi="Aptos"/>
                <w:b/>
                <w:sz w:val="20"/>
              </w:rPr>
              <w:t>Infrastruttura</w:t>
            </w:r>
          </w:p>
        </w:tc>
        <w:tc>
          <w:tcPr>
            <w:tcW w:type="dxa" w:w="4753"/>
          </w:tcPr>
          <w:p>
            <w:r/>
            <w:r>
              <w:rPr>
                <w:rFonts w:ascii="Aptos" w:hAnsi="Aptos"/>
                <w:sz w:val="20"/>
              </w:rPr>
              <w:t>Cloud in Unione Europea con data residency garantita. Backup automatici. Secret management.</w:t>
            </w:r>
          </w:p>
        </w:tc>
      </w:tr>
    </w:tbl>
    <w:p/>
    <w:p>
      <w:pPr>
        <w:pStyle w:val="Titolo1"/>
      </w:pPr>
      <w:r>
        <w:rPr>
          <w:rFonts w:ascii="Aptos" w:hAnsi="Aptos"/>
        </w:rPr>
        <w:t>4. Piano di Lavoro</w:t>
      </w:r>
    </w:p>
    <w:p>
      <w:commentRangeStart w:id="11"/>
      <w:r>
        <w:rPr>
          <w:rFonts w:ascii="Aptos" w:hAnsi="Aptos"/>
        </w:rPr>
        <w:t>Obiettivo: rendere la piattaforma operativa entro la stagione estiva 2026, affinché sia disponibile nel periodo di massima domanda di personale stagionale. Considerata la finestra temporale residua (data corrente: maggio 2026), il piano adotta un approccio fast-track con perimetro MVP focalizzato sulle funzionalità a più alto impatto commerciale (profili, ricerca, subscription) e una Fase 2 post-lancio per il consolidamento (moderazione manuale ex-ante, parametri di rating estesi, ottimizzazioni). Le recensioni in V1 sono pubblicate con moderazione post-pubblicazione (rimozione/sospensione da admin), per non rallentare il go-live. La validazione manuale ex-ante — tratto distintivo del prodotto — viene attivata in Fase 2.</w:t>
      </w:r>
      <w:commentRangeEnd w:id="11"/>
      <w:r>
        <w:rPr>
          <w:rStyle w:val="CommentReference"/>
        </w:rPr>
        <w:commentReference w:id="11"/>
      </w:r>
    </w:p>
    <w:tbl>
      <w:tblPr>
        <w:tblW w:type="auto" w:w="0"/>
        <w:tblLayout w:type="autofit"/>
        <w:tblLook w:firstColumn="1" w:firstRow="1" w:lastColumn="0" w:lastRow="0" w:noHBand="0" w:noVBand="1" w:val="04A0"/>
        <w:tblBorders>
          <w:top w:val="single" w:sz="4" w:color="D0D7DA"/>
          <w:left w:val="single" w:sz="4" w:color="D0D7DA"/>
          <w:bottom w:val="single" w:sz="4" w:color="D0D7DA"/>
          <w:right w:val="single" w:sz="4" w:color="D0D7DA"/>
          <w:insideH w:val="single" w:sz="4" w:color="D0D7DA"/>
          <w:insideV w:val="single" w:sz="4" w:color="D0D7DA"/>
        </w:tblBorders>
      </w:tblPr>
      <w:tblGrid>
        <w:gridCol w:w="3169"/>
        <w:gridCol w:w="3169"/>
        <w:gridCol w:w="3169"/>
      </w:tblGrid>
      <w:tr>
        <w:tc>
          <w:tcPr>
            <w:tcW w:type="dxa" w:w="3169"/>
            <w:shd w:val="clear" w:color="auto" w:fill="074F6A"/>
          </w:tcPr>
          <w:p>
            <w:r/>
            <w:r>
              <w:rPr>
                <w:rFonts w:ascii="Aptos" w:hAnsi="Aptos"/>
                <w:b/>
                <w:color w:val="FFFFFF"/>
                <w:sz w:val="20"/>
              </w:rPr>
              <w:t>Fase</w:t>
            </w:r>
          </w:p>
        </w:tc>
        <w:tc>
          <w:tcPr>
            <w:tcW w:type="dxa" w:w="3169"/>
            <w:shd w:val="clear" w:color="auto" w:fill="074F6A"/>
          </w:tcPr>
          <w:p>
            <w:r/>
            <w:r>
              <w:rPr>
                <w:rFonts w:ascii="Aptos" w:hAnsi="Aptos"/>
                <w:b/>
                <w:color w:val="FFFFFF"/>
                <w:sz w:val="20"/>
              </w:rPr>
              <w:t>Durata</w:t>
            </w:r>
          </w:p>
        </w:tc>
        <w:tc>
          <w:tcPr>
            <w:tcW w:type="dxa" w:w="3169"/>
            <w:shd w:val="clear" w:color="auto" w:fill="074F6A"/>
          </w:tcPr>
          <w:p>
            <w:r/>
            <w:r>
              <w:rPr>
                <w:rFonts w:ascii="Aptos" w:hAnsi="Aptos"/>
                <w:b/>
                <w:color w:val="FFFFFF"/>
                <w:sz w:val="20"/>
              </w:rPr>
              <w:t>Deliverable</w:t>
            </w:r>
          </w:p>
        </w:tc>
      </w:tr>
      <w:tr>
        <w:tc>
          <w:tcPr>
            <w:tcW w:type="dxa" w:w="3169"/>
          </w:tcPr>
          <w:p>
            <w:r/>
            <w:r>
              <w:rPr>
                <w:rFonts w:ascii="Aptos" w:hAnsi="Aptos"/>
                <w:b/>
                <w:sz w:val="20"/>
              </w:rPr>
              <w:t>Discovery e Design</w:t>
            </w:r>
          </w:p>
        </w:tc>
        <w:tc>
          <w:tcPr>
            <w:tcW w:type="dxa" w:w="3169"/>
          </w:tcPr>
          <w:p>
            <w:r/>
            <w:r>
              <w:rPr>
                <w:rFonts w:ascii="Aptos" w:hAnsi="Aptos"/>
                <w:sz w:val="20"/>
              </w:rPr>
              <w:t>1-2 settimane</w:t>
            </w:r>
          </w:p>
        </w:tc>
        <w:tc>
          <w:tcPr>
            <w:tcW w:type="dxa" w:w="3169"/>
          </w:tcPr>
          <w:p>
            <w:r/>
            <w:r>
              <w:rPr>
                <w:rFonts w:ascii="Aptos" w:hAnsi="Aptos"/>
                <w:sz w:val="20"/>
              </w:rPr>
              <w:t>Allineamento requisiti, wireframe, definizione architettura, setup ambiente.</w:t>
            </w:r>
          </w:p>
        </w:tc>
      </w:tr>
      <w:tr>
        <w:tc>
          <w:tcPr>
            <w:tcW w:type="dxa" w:w="3169"/>
            <w:shd w:val="clear" w:color="auto" w:fill="F0F5F6"/>
          </w:tcPr>
          <w:p>
            <w:r/>
            <w:r>
              <w:rPr>
                <w:rFonts w:ascii="Aptos" w:hAnsi="Aptos"/>
                <w:b/>
                <w:sz w:val="20"/>
              </w:rPr>
              <w:t>Core Platform</w:t>
            </w:r>
          </w:p>
        </w:tc>
        <w:tc>
          <w:tcPr>
            <w:tcW w:type="dxa" w:w="3169"/>
            <w:shd w:val="clear" w:color="auto" w:fill="F0F5F6"/>
          </w:tcPr>
          <w:p>
            <w:r/>
            <w:r>
              <w:rPr>
                <w:rFonts w:ascii="Aptos" w:hAnsi="Aptos"/>
                <w:sz w:val="20"/>
              </w:rPr>
              <w:t>3-4 settimane</w:t>
            </w:r>
          </w:p>
        </w:tc>
        <w:tc>
          <w:tcPr>
            <w:tcW w:type="dxa" w:w="3169"/>
            <w:shd w:val="clear" w:color="auto" w:fill="F0F5F6"/>
          </w:tcPr>
          <w:p>
            <w:r/>
            <w:r>
              <w:rPr>
                <w:rFonts w:ascii="Aptos" w:hAnsi="Aptos"/>
                <w:sz w:val="20"/>
              </w:rPr>
              <w:t>Profili lavoratore e imprenditore, ricerca e filtri, gestione annunci, dashboard.</w:t>
            </w:r>
          </w:p>
        </w:tc>
      </w:tr>
      <w:tr>
        <w:tc>
          <w:tcPr>
            <w:tcW w:type="dxa" w:w="3169"/>
          </w:tcPr>
          <w:p>
            <w:r/>
            <w:r>
              <w:rPr>
                <w:rFonts w:ascii="Aptos" w:hAnsi="Aptos"/>
                <w:b/>
                <w:sz w:val="20"/>
              </w:rPr>
              <w:t>Reviews e Subscription</w:t>
            </w:r>
          </w:p>
        </w:tc>
        <w:tc>
          <w:tcPr>
            <w:tcW w:type="dxa" w:w="3169"/>
          </w:tcPr>
          <w:p>
            <w:r/>
            <w:r>
              <w:rPr>
                <w:rFonts w:ascii="Aptos" w:hAnsi="Aptos"/>
                <w:sz w:val="20"/>
              </w:rPr>
              <w:t>2-3 settimane</w:t>
            </w:r>
          </w:p>
        </w:tc>
        <w:tc>
          <w:tcPr>
            <w:tcW w:type="dxa" w:w="3169"/>
          </w:tcPr>
          <w:p>
            <w:r/>
            <w:r>
              <w:rPr>
                <w:rFonts w:ascii="Aptos" w:hAnsi="Aptos"/>
                <w:sz w:val="20"/>
              </w:rPr>
              <w:t>Recensioni con moderazione post-pubblicazione (V1), subscription con Stripe, paywall, pannello admin con coda di moderazione. Validazione manuale ex-ante delle recensioni inclusa nella Fase 2 post go-live.</w:t>
            </w:r>
          </w:p>
        </w:tc>
      </w:tr>
      <w:tr>
        <w:tc>
          <w:tcPr>
            <w:tcW w:type="dxa" w:w="3169"/>
            <w:shd w:val="clear" w:color="auto" w:fill="F0F5F6"/>
          </w:tcPr>
          <w:p>
            <w:r/>
            <w:r>
              <w:rPr>
                <w:rFonts w:ascii="Aptos" w:hAnsi="Aptos"/>
                <w:b/>
                <w:sz w:val="20"/>
              </w:rPr>
              <w:t>Testing e Go-Live</w:t>
            </w:r>
          </w:p>
        </w:tc>
        <w:tc>
          <w:tcPr>
            <w:tcW w:type="dxa" w:w="3169"/>
            <w:shd w:val="clear" w:color="auto" w:fill="F0F5F6"/>
          </w:tcPr>
          <w:p>
            <w:r/>
            <w:r>
              <w:rPr>
                <w:rFonts w:ascii="Aptos" w:hAnsi="Aptos"/>
                <w:sz w:val="20"/>
              </w:rPr>
              <w:t>1-2 settimane</w:t>
            </w:r>
          </w:p>
        </w:tc>
        <w:tc>
          <w:tcPr>
            <w:tcW w:type="dxa" w:w="3169"/>
            <w:shd w:val="clear" w:color="auto" w:fill="F0F5F6"/>
          </w:tcPr>
          <w:p>
            <w:r/>
            <w:r>
              <w:rPr>
                <w:rFonts w:ascii="Aptos" w:hAnsi="Aptos"/>
                <w:sz w:val="20"/>
              </w:rPr>
              <w:t>Test funzionali e di integrazione, ottimizzazioni, training, lancio.</w:t>
            </w:r>
          </w:p>
        </w:tc>
      </w:tr>
      <w:tr>
        <w:tc>
          <w:tcPr>
            <w:tcW w:type="dxa" w:w="3169"/>
          </w:tcPr>
          <w:p>
            <w:r/>
            <w:r>
              <w:rPr>
                <w:rFonts w:ascii="Aptos" w:hAnsi="Aptos"/>
                <w:b/>
                <w:sz w:val="20"/>
              </w:rPr>
              <w:t>TOTALE</w:t>
            </w:r>
          </w:p>
        </w:tc>
        <w:tc>
          <w:tcPr>
            <w:tcW w:type="dxa" w:w="3169"/>
          </w:tcPr>
          <w:p>
            <w:r/>
            <w:r>
              <w:rPr>
                <w:rFonts w:ascii="Aptos" w:hAnsi="Aptos"/>
                <w:sz w:val="20"/>
              </w:rPr>
              <w:t>8-10 settimane</w:t>
            </w:r>
          </w:p>
        </w:tc>
        <w:tc>
          <w:tcPr>
            <w:tcW w:type="dxa" w:w="3169"/>
          </w:tcPr>
          <w:p>
            <w:r/>
            <w:r>
              <w:rPr>
                <w:rFonts w:ascii="Aptos" w:hAnsi="Aptos"/>
                <w:sz w:val="20"/>
              </w:rPr>
              <w:t>Piattaforma completa e operativa</w:t>
            </w:r>
          </w:p>
        </w:tc>
      </w:tr>
    </w:tbl>
    <w:p/>
    <w:p>
      <w:pPr>
        <w:pStyle w:val="Titolo1"/>
      </w:pPr>
      <w:r>
        <w:rPr>
          <w:rFonts w:ascii="Aptos" w:hAnsi="Aptos"/>
        </w:rPr>
        <w:t>5. Proprietà Intellettuale e Modello di Collaborazione</w:t>
      </w:r>
    </w:p>
    <w:p>
      <w:r>
        <w:rPr>
          <w:rFonts w:ascii="Aptos" w:hAnsi="Aptos"/>
        </w:rPr>
        <w:t>HeyAI mantiene la proprietà intellettuale del codice sorgente e concede al Cliente una licenza d'uso esclusiva, perpetua e non trasferibile per l'utilizzo e la commercializzazione della piattaforma sul verticale HORECA.</w:t>
      </w:r>
    </w:p>
    <w:p>
      <w:r>
        <w:rPr>
          <w:rFonts w:ascii="Aptos" w:hAnsi="Aptos"/>
        </w:rPr>
        <w:t>Tutte le personalizzazioni sviluppate ad hoc (configurazioni, contenuti, regole di moderazione, parametri di rating) sono di proprietà esclusiva del Cliente.</w:t>
      </w:r>
    </w:p>
    <w:p>
      <w:r>
        <w:rPr>
          <w:rFonts w:ascii="Aptos" w:hAnsi="Aptos"/>
          <w:b/>
        </w:rPr>
        <w:t xml:space="preserve">Modello di collaborazione. </w:t>
      </w:r>
      <w:r>
        <w:rPr>
          <w:rFonts w:ascii="Aptos" w:hAnsi="Aptos"/>
        </w:rPr>
        <w:t>L'investimento iniziale è significativamente inferiore al valore di mercato della fornitura, in virtù della costruzione di una partnership commerciale sul prodotto. HeyAI partecipa ai ricavi generati dalla piattaforma attraverso una percentuale sulle subscription, allineando gli interessi delle due parti sul successo commerciale. Questo allineamento garantisce al Cliente che HeyAI ha un interesse diretto e continuativo al buon funzionamento della piattaforma.</w:t>
      </w:r>
    </w:p>
    <w:p>
      <w:pPr>
        <w:pStyle w:val="Titolo2"/>
      </w:pPr>
      <w:r>
        <w:rPr>
          <w:rFonts w:ascii="Aptos" w:hAnsi="Aptos"/>
        </w:rPr>
        <w:t>5.1 Termini essenziali della partnership</w:t>
      </w:r>
    </w:p>
    <w:p>
      <w:r>
        <w:rPr>
          <w:rFonts w:ascii="Aptos" w:hAnsi="Aptos"/>
          <w:i/>
          <w:color w:val="666666"/>
          <w:sz w:val="18"/>
        </w:rPr>
        <w:t>I parametri numerici indicati in questa sezione sono illustrativi e oggetto di calibrazione congiunta sul business plan del Cliente. La struttura dei meccanismi è parte non negoziabile del modello.</w:t>
      </w:r>
    </w:p>
    <w:p>
      <w:r>
        <w:rPr>
          <w:rFonts w:ascii="Aptos" w:hAnsi="Aptos"/>
          <w:b/>
        </w:rPr>
        <w:t xml:space="preserve">Revenue share. </w:t>
      </w:r>
      <w:r>
        <w:rPr>
          <w:rFonts w:ascii="Aptos" w:hAnsi="Aptos"/>
        </w:rPr>
        <w:t>HeyAI partecipa ai ricavi netti generati dalla piattaforma (ricavi lordi da subscription al netto di IVA, storni e rimborsi) nella misura illustrativa del 12%. Non sono deducibili dalla base di calcolo: commissioni gateway di pagamento, costi di marketing, costi del personale. I costi infrastrutturali cloud sono a carico del Cliente.</w:t>
      </w:r>
    </w:p>
    <w:p>
      <w:r>
        <w:rPr>
          <w:rFonts w:ascii="Aptos" w:hAnsi="Aptos"/>
          <w:b/>
        </w:rPr>
        <w:t xml:space="preserve">Reporting e audit. </w:t>
      </w:r>
      <w:r>
        <w:rPr>
          <w:rFonts w:ascii="Aptos" w:hAnsi="Aptos"/>
        </w:rPr>
        <w:t>Reporting trimestrale entro 30 giorni dalla chiusura del trimestre. Pagamento entro 45 giorni. Diritto di audit annuale di HeyAI a proprie spese; costi a carico del Cliente se scostamento superiore al 5%.</w:t>
      </w:r>
    </w:p>
    <w:p>
      <w:commentRangeStart w:id="4"/>
      <w:r>
        <w:rPr>
          <w:rFonts w:ascii="Aptos" w:hAnsi="Aptos"/>
          <w:b/>
        </w:rPr>
        <w:t xml:space="preserve">Floor garantito annuo. </w:t>
      </w:r>
      <w:commentRangeEnd w:id="4"/>
      <w:r>
        <w:rPr>
          <w:rStyle w:val="CommentReference"/>
        </w:rPr>
        <w:commentReference w:id="4"/>
      </w:r>
      <w:r>
        <w:rPr>
          <w:rFonts w:ascii="Aptos" w:hAnsi="Aptos"/>
        </w:rPr>
        <w:t>A partire dal secondo anno di commercializzazione, HeyAI ha diritto a incassare un minimo annuo di € 5.000, indipendentemente dai ricavi generati. Il primo anno è escluso dal floor.</w:t>
      </w:r>
    </w:p>
    <w:p>
      <w:r>
        <w:rPr>
          <w:rFonts w:ascii="Aptos" w:hAnsi="Aptos"/>
          <w:b/>
        </w:rPr>
        <w:t xml:space="preserve">Durata e recesso. </w:t>
      </w:r>
      <w:r>
        <w:rPr>
          <w:rFonts w:ascii="Aptos" w:hAnsi="Aptos"/>
        </w:rPr>
        <w:t>Durata iniziale 5 anni dal go-live, rinnovabile per ulteriori 3 anni salvo disdetta con preavviso di 6 mesi. Il Cliente può recedere anticipatamente esercitando il buyout. HeyAI può recedere per mancato pagamento protratto oltre 90 giorni o per violazione sostanziale delle clausole di riservatezza e non-circumvention.</w:t>
      </w:r>
    </w:p>
    <w:p>
      <w:commentRangeStart w:id="5"/>
      <w:r>
        <w:rPr>
          <w:rFonts w:ascii="Aptos" w:hAnsi="Aptos"/>
          <w:b/>
        </w:rPr>
        <w:t xml:space="preserve">Clausola di buyout. </w:t>
      </w:r>
      <w:commentRangeEnd w:id="5"/>
      <w:r>
        <w:rPr>
          <w:rStyle w:val="CommentReference"/>
        </w:rPr>
        <w:commentReference w:id="5"/>
      </w:r>
      <w:r>
        <w:rPr>
          <w:rFonts w:ascii="Aptos" w:hAnsi="Aptos"/>
        </w:rPr>
        <w:t>Il Cliente ha facoltà di acquisire la piena proprietà intellettuale del codice in qualsiasi momento dopo il primo anno dal go-live. Il prezzo di buyout è pari al maggiore tra: (a) il valore di mercato della fornitura (€ 32.000) capitalizzato a un tasso annuo dell'8% per il periodo intercorrente tra la firma e la data di esercizio, diminuito dell'investimento iniziale già versato e della revenue share cumulata già versata ad HeyAI, maggiorato di un premio fisso di partnership pari a € 5.000; oppure (b) 2,5 volte la revenue share incassata da HeyAI nei 12 mesi precedenti l'esercizio dell'opzione. La formula (a) garantisce ad HeyAI il riconoscimento del valore della fornitura capitalizzato a un tasso di mercato; la formula (b) subentra quando il prodotto ha generato performance significative.</w:t>
      </w:r>
    </w:p>
    <w:p>
      <w:r>
        <w:rPr>
          <w:rFonts w:ascii="Aptos" w:hAnsi="Aptos"/>
          <w:b/>
        </w:rPr>
        <w:t xml:space="preserve">Change of control. </w:t>
      </w:r>
      <w:r>
        <w:rPr>
          <w:rFonts w:ascii="Aptos" w:hAnsi="Aptos"/>
        </w:rPr>
        <w:t>In caso di cessione della piattaforma o dell'azienda del Cliente a un terzo, HeyAI ha diritto a un pagamento pari al maggiore tra il 12% del valore della transazione attribuibile al prodotto, oppure € 30.000. L'acquirente può in alternativa subentrare nell'accordo di partnership alle condizioni originarie, previa accettazione di HeyAI.</w:t>
      </w:r>
    </w:p>
    <w:p>
      <w:r>
        <w:rPr>
          <w:rFonts w:ascii="Aptos" w:hAnsi="Aptos"/>
          <w:b/>
        </w:rPr>
        <w:t xml:space="preserve">Clausola anti-aggiramento. </w:t>
      </w:r>
      <w:r>
        <w:rPr>
          <w:rFonts w:ascii="Aptos" w:hAnsi="Aptos"/>
        </w:rPr>
        <w:t>Qualora entro 18 mesi dall'esercizio del buyout si verifichi un evento riconducibile alla clausola di change of control, quest'ultima si applica retroattivamente con conguaglio a favore di HeyAI.</w:t>
      </w:r>
    </w:p>
    <w:p>
      <w:commentRangeStart w:id="6"/>
      <w:r>
        <w:rPr>
          <w:rFonts w:ascii="Aptos" w:hAnsi="Aptos"/>
          <w:b/>
        </w:rPr>
        <w:t xml:space="preserve">Non-circumvention e riservatezza. </w:t>
      </w:r>
      <w:commentRangeEnd w:id="6"/>
      <w:r>
        <w:rPr>
          <w:rStyle w:val="CommentReference"/>
        </w:rPr>
        <w:commentReference w:id="6"/>
      </w:r>
      <w:r>
        <w:rPr>
          <w:rFonts w:ascii="Aptos" w:hAnsi="Aptos"/>
        </w:rPr>
        <w:t>Il Cliente si impegna a non sviluppare autonomamente o tramite terzi, per la durata dell'accordo e per i 24 mesi successivi, una soluzione funzionalmente equivalente sul medesimo verticale. Obbligo di riservatezza reciproca per la durata del rapporto e per i 24 mesi successivi.</w:t>
      </w:r>
    </w:p>
    <w:p>
      <w:pPr>
        <w:pStyle w:val="Titolo1"/>
      </w:pPr>
      <w:r>
        <w:rPr>
          <w:rFonts w:ascii="Aptos" w:hAnsi="Aptos"/>
        </w:rPr>
        <w:t>6. Investimento</w:t>
      </w:r>
    </w:p>
    <w:p>
      <w:pPr>
        <w:pStyle w:val="Titolo2"/>
      </w:pPr>
      <w:r>
        <w:rPr>
          <w:rFonts w:ascii="Aptos" w:hAnsi="Aptos"/>
        </w:rPr>
        <w:t>6.1 MVP — Investimento</w:t>
      </w:r>
    </w:p>
    <w:tbl>
      <w:tblPr>
        <w:tblW w:type="auto" w:w="0"/>
        <w:tblLayout w:type="autofit"/>
        <w:tblLook w:firstColumn="1" w:firstRow="1" w:lastColumn="0" w:lastRow="0" w:noHBand="0" w:noVBand="1" w:val="04A0"/>
        <w:tblBorders>
          <w:top w:val="single" w:sz="4" w:color="D0D7DA"/>
          <w:left w:val="single" w:sz="4" w:color="D0D7DA"/>
          <w:bottom w:val="single" w:sz="4" w:color="D0D7DA"/>
          <w:right w:val="single" w:sz="4" w:color="D0D7DA"/>
          <w:insideH w:val="single" w:sz="4" w:color="D0D7DA"/>
          <w:insideV w:val="single" w:sz="4" w:color="D0D7DA"/>
        </w:tblBorders>
      </w:tblPr>
      <w:tblGrid>
        <w:gridCol w:w="4753"/>
        <w:gridCol w:w="4753"/>
      </w:tblGrid>
      <w:tr>
        <w:tc>
          <w:tcPr>
            <w:tcW w:type="dxa" w:w="4753"/>
            <w:shd w:val="clear" w:color="auto" w:fill="074F6A"/>
          </w:tcPr>
          <w:p>
            <w:r/>
            <w:r>
              <w:rPr>
                <w:rFonts w:ascii="Aptos" w:hAnsi="Aptos"/>
                <w:b/>
                <w:color w:val="FFFFFF"/>
                <w:sz w:val="20"/>
              </w:rPr>
              <w:t>Voce</w:t>
            </w:r>
          </w:p>
        </w:tc>
        <w:tc>
          <w:tcPr>
            <w:tcW w:type="dxa" w:w="4753"/>
            <w:shd w:val="clear" w:color="auto" w:fill="074F6A"/>
          </w:tcPr>
          <w:p>
            <w:r/>
            <w:r>
              <w:rPr>
                <w:rFonts w:ascii="Aptos" w:hAnsi="Aptos"/>
                <w:b/>
                <w:color w:val="FFFFFF"/>
                <w:sz w:val="20"/>
              </w:rPr>
              <w:t>Importo</w:t>
            </w:r>
          </w:p>
        </w:tc>
      </w:tr>
      <w:tr>
        <w:tc>
          <w:tcPr>
            <w:tcW w:type="dxa" w:w="4753"/>
          </w:tcPr>
          <w:p>
            <w:r/>
            <w:r>
              <w:rPr>
                <w:rFonts w:ascii="Aptos" w:hAnsi="Aptos"/>
                <w:b/>
                <w:sz w:val="20"/>
              </w:rPr>
              <w:t>Sviluppo della piattaforma — perimetro MVP fast-track per estate 2026 (Requirement Log Must Have rev. fast-track)</w:t>
            </w:r>
          </w:p>
        </w:tc>
        <w:tc>
          <w:tcPr>
            <w:tcW w:type="dxa" w:w="4753"/>
          </w:tcPr>
          <w:p>
            <w:r/>
            <w:r>
              <w:rPr>
                <w:rFonts w:ascii="Aptos" w:hAnsi="Aptos"/>
                <w:sz w:val="20"/>
              </w:rPr>
              <w:t>€ 24.000</w:t>
            </w:r>
          </w:p>
        </w:tc>
      </w:tr>
      <w:tr>
        <w:tc>
          <w:tcPr>
            <w:tcW w:type="dxa" w:w="4753"/>
            <w:shd w:val="clear" w:color="auto" w:fill="F0F5F6"/>
          </w:tcPr>
          <w:p>
            <w:r/>
            <w:r>
              <w:rPr>
                <w:rFonts w:ascii="Aptos" w:hAnsi="Aptos"/>
                <w:b/>
                <w:sz w:val="20"/>
              </w:rPr>
              <w:t>Integrazione Stripe per subscription e pagamenti ricorrenti</w:t>
            </w:r>
          </w:p>
        </w:tc>
        <w:tc>
          <w:tcPr>
            <w:tcW w:type="dxa" w:w="4753"/>
            <w:shd w:val="clear" w:color="auto" w:fill="F0F5F6"/>
          </w:tcPr>
          <w:p>
            <w:r/>
            <w:r>
              <w:rPr>
                <w:rFonts w:ascii="Aptos" w:hAnsi="Aptos"/>
                <w:sz w:val="20"/>
              </w:rPr>
              <w:t>Incluso</w:t>
            </w:r>
          </w:p>
        </w:tc>
      </w:tr>
      <w:tr>
        <w:tc>
          <w:tcPr>
            <w:tcW w:type="dxa" w:w="4753"/>
          </w:tcPr>
          <w:p>
            <w:r/>
            <w:r>
              <w:rPr>
                <w:rFonts w:ascii="Aptos" w:hAnsi="Aptos"/>
                <w:b/>
                <w:sz w:val="20"/>
              </w:rPr>
              <w:t>Pannello admin con moderazione recensioni</w:t>
            </w:r>
          </w:p>
        </w:tc>
        <w:tc>
          <w:tcPr>
            <w:tcW w:type="dxa" w:w="4753"/>
          </w:tcPr>
          <w:p>
            <w:r/>
            <w:r>
              <w:rPr>
                <w:rFonts w:ascii="Aptos" w:hAnsi="Aptos"/>
                <w:sz w:val="20"/>
              </w:rPr>
              <w:t>Incluso</w:t>
            </w:r>
          </w:p>
        </w:tc>
      </w:tr>
      <w:tr>
        <w:tc>
          <w:tcPr>
            <w:tcW w:type="dxa" w:w="4753"/>
            <w:shd w:val="clear" w:color="auto" w:fill="F0F5F6"/>
          </w:tcPr>
          <w:p>
            <w:r/>
            <w:r>
              <w:rPr>
                <w:rFonts w:ascii="Aptos" w:hAnsi="Aptos"/>
                <w:b/>
                <w:sz w:val="20"/>
              </w:rPr>
              <w:t>Infrastruttura cloud (setup iniziale)</w:t>
            </w:r>
          </w:p>
        </w:tc>
        <w:tc>
          <w:tcPr>
            <w:tcW w:type="dxa" w:w="4753"/>
            <w:shd w:val="clear" w:color="auto" w:fill="F0F5F6"/>
          </w:tcPr>
          <w:p>
            <w:r/>
            <w:r>
              <w:rPr>
                <w:rFonts w:ascii="Aptos" w:hAnsi="Aptos"/>
                <w:sz w:val="20"/>
              </w:rPr>
              <w:t>Incluso</w:t>
            </w:r>
          </w:p>
        </w:tc>
      </w:tr>
      <w:tr>
        <w:tc>
          <w:tcPr>
            <w:tcW w:type="dxa" w:w="4753"/>
          </w:tcPr>
          <w:p>
            <w:r/>
            <w:r>
              <w:rPr>
                <w:rFonts w:ascii="Aptos" w:hAnsi="Aptos"/>
                <w:b/>
                <w:sz w:val="20"/>
              </w:rPr>
              <w:t>Training operativo per il team (fino a 2 ore)</w:t>
            </w:r>
          </w:p>
        </w:tc>
        <w:tc>
          <w:tcPr>
            <w:tcW w:type="dxa" w:w="4753"/>
          </w:tcPr>
          <w:p>
            <w:r/>
            <w:r>
              <w:rPr>
                <w:rFonts w:ascii="Aptos" w:hAnsi="Aptos"/>
                <w:sz w:val="20"/>
              </w:rPr>
              <w:t>Incluso</w:t>
            </w:r>
          </w:p>
        </w:tc>
      </w:tr>
      <w:tr>
        <w:tc>
          <w:tcPr>
            <w:tcW w:type="dxa" w:w="4753"/>
            <w:shd w:val="clear" w:color="auto" w:fill="F0F5F6"/>
          </w:tcPr>
          <w:p>
            <w:r/>
            <w:r>
              <w:rPr>
                <w:rFonts w:ascii="Aptos" w:hAnsi="Aptos"/>
                <w:b/>
                <w:sz w:val="20"/>
              </w:rPr>
              <w:t>Assistenza correttiva post go-live (30 giorni, fino a 10 ore)</w:t>
            </w:r>
          </w:p>
        </w:tc>
        <w:tc>
          <w:tcPr>
            <w:tcW w:type="dxa" w:w="4753"/>
            <w:shd w:val="clear" w:color="auto" w:fill="F0F5F6"/>
          </w:tcPr>
          <w:p>
            <w:r/>
            <w:r>
              <w:rPr>
                <w:rFonts w:ascii="Aptos" w:hAnsi="Aptos"/>
                <w:sz w:val="20"/>
              </w:rPr>
              <w:t>Incluso</w:t>
            </w:r>
          </w:p>
        </w:tc>
      </w:tr>
      <w:tr>
        <w:tc>
          <w:tcPr>
            <w:tcW w:type="dxa" w:w="4753"/>
          </w:tcPr>
          <w:p>
            <w:r/>
            <w:r>
              <w:rPr>
                <w:rFonts w:ascii="Aptos" w:hAnsi="Aptos"/>
                <w:b/>
                <w:sz w:val="20"/>
              </w:rPr>
              <w:t>TOTALE MVP</w:t>
            </w:r>
          </w:p>
        </w:tc>
        <w:tc>
          <w:tcPr>
            <w:tcW w:type="dxa" w:w="4753"/>
          </w:tcPr>
          <w:p>
            <w:r/>
            <w:r>
              <w:rPr>
                <w:rFonts w:ascii="Aptos" w:hAnsi="Aptos"/>
                <w:sz w:val="20"/>
              </w:rPr>
              <w:t>€ 24.000 oltre IVA</w:t>
            </w:r>
          </w:p>
        </w:tc>
      </w:tr>
    </w:tbl>
    <w:p/>
    <w:p>
      <w:r>
        <w:rPr>
          <w:rFonts w:ascii="Aptos" w:hAnsi="Aptos"/>
          <w:i/>
          <w:color w:val="666666"/>
          <w:sz w:val="18"/>
        </w:rPr>
        <w:t>L'importo include la componente di investimento assorbita da HeyAI in virtù della partnership commerciale. Il valore di mercato standalone della fornitura è pari a € 32.000.</w:t>
      </w:r>
    </w:p>
    <w:p>
      <w:pPr>
        <w:pStyle w:val="Titolo2"/>
      </w:pPr>
      <w:r>
        <w:rPr>
          <w:rFonts w:ascii="Aptos" w:hAnsi="Aptos"/>
        </w:rPr>
        <w:t>6.2 Incluso nell'investimento</w:t>
      </w:r>
    </w:p>
    <w:p>
      <w:pPr>
        <w:pStyle w:val="Paragrafoelenco"/>
      </w:pPr>
      <w:r>
        <w:rPr>
          <w:rFonts w:ascii="Aptos" w:hAnsi="Aptos"/>
        </w:rPr>
        <w:t>Licenza d'uso esclusiva, perpetua e non trasferibile della piattaforma</w:t>
      </w:r>
    </w:p>
    <w:p>
      <w:pPr>
        <w:pStyle w:val="Paragrafoelenco"/>
      </w:pPr>
      <w:r>
        <w:rPr>
          <w:rFonts w:ascii="Aptos" w:hAnsi="Aptos"/>
        </w:rPr>
        <w:t>Personalizzazioni su misura di proprietà esclusiva del Cliente</w:t>
      </w:r>
    </w:p>
    <w:p>
      <w:pPr>
        <w:pStyle w:val="Paragrafoelenco"/>
      </w:pPr>
      <w:r>
        <w:rPr>
          <w:rFonts w:ascii="Aptos" w:hAnsi="Aptos"/>
        </w:rPr>
        <w:t>Profili lavoratore (B2C) e imprenditore (B2B) con dashboard dedicate</w:t>
      </w:r>
    </w:p>
    <w:p>
      <w:pPr>
        <w:pStyle w:val="Paragrafoelenco"/>
      </w:pPr>
      <w:r>
        <w:rPr>
          <w:rFonts w:ascii="Aptos" w:hAnsi="Aptos"/>
        </w:rPr>
        <w:t>Sistema di recensioni con moderazione post-pubblicazione in V1 (validazione manuale ex-ante prevista in Fase 2)</w:t>
      </w:r>
    </w:p>
    <w:p>
      <w:pPr>
        <w:pStyle w:val="Paragrafoelenco"/>
      </w:pPr>
      <w:r>
        <w:rPr>
          <w:rFonts w:ascii="Aptos" w:hAnsi="Aptos"/>
        </w:rPr>
        <w:t>Motore di ricerca con filtri per città/regione, ruolo, esperienza, disponibilità, certificazioni</w:t>
      </w:r>
    </w:p>
    <w:p>
      <w:pPr>
        <w:pStyle w:val="Paragrafoelenco"/>
      </w:pPr>
      <w:r>
        <w:rPr>
          <w:rFonts w:ascii="Aptos" w:hAnsi="Aptos"/>
        </w:rPr>
        <w:t>Engine di subscription con integrazione Stripe (abbonamenti mensili/annuali, paywall, fatturazione)</w:t>
      </w:r>
    </w:p>
    <w:p>
      <w:pPr>
        <w:pStyle w:val="Paragrafoelenco"/>
      </w:pPr>
      <w:r>
        <w:rPr>
          <w:rFonts w:ascii="Aptos" w:hAnsi="Aptos"/>
        </w:rPr>
        <w:t>Pannello admin con gestione utenti e moderazione</w:t>
      </w:r>
    </w:p>
    <w:p>
      <w:pPr>
        <w:pStyle w:val="Paragrafoelenco"/>
      </w:pPr>
      <w:r>
        <w:rPr>
          <w:rFonts w:ascii="Aptos" w:hAnsi="Aptos"/>
        </w:rPr>
        <w:t>Documentazione tecnica</w:t>
      </w:r>
    </w:p>
    <w:p>
      <w:pPr>
        <w:pStyle w:val="Paragrafoelenco"/>
      </w:pPr>
      <w:r>
        <w:rPr>
          <w:rFonts w:ascii="Aptos" w:hAnsi="Aptos"/>
        </w:rPr>
        <w:t>Training operativo (fino a 2 ore)</w:t>
      </w:r>
    </w:p>
    <w:p>
      <w:pPr>
        <w:pStyle w:val="Paragrafoelenco"/>
      </w:pPr>
      <w:r>
        <w:rPr>
          <w:rFonts w:ascii="Aptos" w:hAnsi="Aptos"/>
        </w:rPr>
        <w:t>30 giorni di assistenza correttiva post go-live (bug fixing, fino a 10 ore)</w:t>
      </w:r>
    </w:p>
    <w:p>
      <w:pPr>
        <w:pStyle w:val="Titolo2"/>
      </w:pPr>
      <w:r>
        <w:rPr>
          <w:rFonts w:ascii="Aptos" w:hAnsi="Aptos"/>
        </w:rPr>
        <w:t>6.3 Assistenza e manutenzione</w:t>
      </w:r>
    </w:p>
    <w:p>
      <w:r>
        <w:rPr>
          <w:rFonts w:ascii="Aptos" w:hAnsi="Aptos"/>
        </w:rPr>
        <w:t>In virtù della partnership commerciale e dell'allineamento di interessi tra le parti, HeyAI mantiene un coinvolgimento continuativo nel buon funzionamento della piattaforma per l'intera durata dell'accordo. L'assistenza correttiva iniziale (30 giorni, fino a 10 ore) copre i difetti di conformità ai requisiti emersi in fase di lancio.</w:t>
      </w:r>
    </w:p>
    <w:p>
      <w:r>
        <w:rPr>
          <w:rFonts w:ascii="Aptos" w:hAnsi="Aptos"/>
        </w:rPr>
        <w:t>Oltre il periodo di assistenza iniziale, gli interventi di manutenzione correttiva ed evolutiva sono quotati separatamente. Le evolutive richieste in regime di partnership sono quotate a tariffa agevolata rispetto al listino standard HeyAI, in coerenza con il modello di collaborazione.</w:t>
      </w:r>
    </w:p>
    <w:p>
      <w:pPr>
        <w:pStyle w:val="Titolo2"/>
      </w:pPr>
      <w:r>
        <w:rPr>
          <w:rFonts w:ascii="Aptos" w:hAnsi="Aptos"/>
        </w:rPr>
        <w:t>6.4 Costi operativi non inclusi</w:t>
      </w:r>
    </w:p>
    <w:tbl>
      <w:tblPr>
        <w:tblW w:type="auto" w:w="0"/>
        <w:tblLayout w:type="autofit"/>
        <w:tblLook w:firstColumn="1" w:firstRow="1" w:lastColumn="0" w:lastRow="0" w:noHBand="0" w:noVBand="1" w:val="04A0"/>
        <w:tblBorders>
          <w:top w:val="single" w:sz="4" w:color="D0D7DA"/>
          <w:left w:val="single" w:sz="4" w:color="D0D7DA"/>
          <w:bottom w:val="single" w:sz="4" w:color="D0D7DA"/>
          <w:right w:val="single" w:sz="4" w:color="D0D7DA"/>
          <w:insideH w:val="single" w:sz="4" w:color="D0D7DA"/>
          <w:insideV w:val="single" w:sz="4" w:color="D0D7DA"/>
        </w:tblBorders>
      </w:tblPr>
      <w:tblGrid>
        <w:gridCol w:w="4753"/>
        <w:gridCol w:w="4753"/>
      </w:tblGrid>
      <w:tr>
        <w:tc>
          <w:tcPr>
            <w:tcW w:type="dxa" w:w="4753"/>
            <w:shd w:val="clear" w:color="auto" w:fill="074F6A"/>
          </w:tcPr>
          <w:p>
            <w:r/>
            <w:r>
              <w:rPr>
                <w:rFonts w:ascii="Aptos" w:hAnsi="Aptos"/>
                <w:b/>
                <w:color w:val="FFFFFF"/>
                <w:sz w:val="20"/>
              </w:rPr>
              <w:t>Voce</w:t>
            </w:r>
          </w:p>
        </w:tc>
        <w:tc>
          <w:tcPr>
            <w:tcW w:type="dxa" w:w="4753"/>
            <w:shd w:val="clear" w:color="auto" w:fill="074F6A"/>
          </w:tcPr>
          <w:p>
            <w:r/>
            <w:r>
              <w:rPr>
                <w:rFonts w:ascii="Aptos" w:hAnsi="Aptos"/>
                <w:b/>
                <w:color w:val="FFFFFF"/>
                <w:sz w:val="20"/>
              </w:rPr>
              <w:t>Stima indicativa</w:t>
            </w:r>
          </w:p>
        </w:tc>
      </w:tr>
      <w:tr>
        <w:tc>
          <w:tcPr>
            <w:tcW w:type="dxa" w:w="4753"/>
          </w:tcPr>
          <w:p>
            <w:r/>
            <w:r>
              <w:rPr>
                <w:rFonts w:ascii="Aptos" w:hAnsi="Aptos"/>
                <w:b/>
                <w:sz w:val="20"/>
              </w:rPr>
              <w:t>Infrastruttura cloud</w:t>
            </w:r>
          </w:p>
        </w:tc>
        <w:tc>
          <w:tcPr>
            <w:tcW w:type="dxa" w:w="4753"/>
          </w:tcPr>
          <w:p>
            <w:r/>
            <w:r>
              <w:rPr>
                <w:rFonts w:ascii="Aptos" w:hAnsi="Aptos"/>
                <w:sz w:val="20"/>
              </w:rPr>
              <w:t>€ 100 – 300/mese in fase iniziale, scalabile</w:t>
            </w:r>
          </w:p>
        </w:tc>
      </w:tr>
      <w:tr>
        <w:tc>
          <w:tcPr>
            <w:tcW w:type="dxa" w:w="4753"/>
            <w:shd w:val="clear" w:color="auto" w:fill="F0F5F6"/>
          </w:tcPr>
          <w:p>
            <w:r/>
            <w:r>
              <w:rPr>
                <w:rFonts w:ascii="Aptos" w:hAnsi="Aptos"/>
                <w:b/>
                <w:sz w:val="20"/>
              </w:rPr>
              <w:t>Commissioni Stripe</w:t>
            </w:r>
          </w:p>
        </w:tc>
        <w:tc>
          <w:tcPr>
            <w:tcW w:type="dxa" w:w="4753"/>
            <w:shd w:val="clear" w:color="auto" w:fill="F0F5F6"/>
          </w:tcPr>
          <w:p>
            <w:r/>
            <w:r>
              <w:rPr>
                <w:rFonts w:ascii="Aptos" w:hAnsi="Aptos"/>
                <w:sz w:val="20"/>
              </w:rPr>
              <w:t>2,5% + 0,25€ per transazione (tariffe standard)</w:t>
            </w:r>
          </w:p>
        </w:tc>
      </w:tr>
      <w:tr>
        <w:tc>
          <w:tcPr>
            <w:tcW w:type="dxa" w:w="4753"/>
          </w:tcPr>
          <w:p>
            <w:r/>
            <w:r>
              <w:rPr>
                <w:rFonts w:ascii="Aptos" w:hAnsi="Aptos"/>
                <w:b/>
                <w:sz w:val="20"/>
              </w:rPr>
              <w:t>Contenuti legali (T&amp;C, Privacy Policy)</w:t>
            </w:r>
          </w:p>
        </w:tc>
        <w:tc>
          <w:tcPr>
            <w:tcW w:type="dxa" w:w="4753"/>
          </w:tcPr>
          <w:p>
            <w:r/>
            <w:r>
              <w:rPr>
                <w:rFonts w:ascii="Aptos" w:hAnsi="Aptos"/>
                <w:sz w:val="20"/>
              </w:rPr>
              <w:t>A carico del Cliente</w:t>
            </w:r>
          </w:p>
        </w:tc>
      </w:tr>
    </w:tbl>
    <w:p/>
    <w:p>
      <w:r>
        <w:rPr>
          <w:rFonts w:ascii="Aptos" w:hAnsi="Aptos"/>
        </w:rPr>
        <w:t>HeyAI supporta il Cliente nel setup dell'infrastruttura e nella stima puntuale dei costi operativi in fase di kick-off.</w:t>
      </w:r>
    </w:p>
    <w:p>
      <w:pPr>
        <w:pStyle w:val="Titolo1"/>
      </w:pPr>
      <w:r>
        <w:rPr>
          <w:rFonts w:ascii="Aptos" w:hAnsi="Aptos"/>
        </w:rPr>
        <w:t>7. Funzionalità Evolutive — Add-on</w:t>
      </w:r>
    </w:p>
    <w:p>
      <w:r>
        <w:rPr>
          <w:rFonts w:ascii="Aptos" w:hAnsi="Aptos"/>
        </w:rPr>
        <w:t>Attivabili singolarmente o in combinazione, anche dopo il rilascio dell'MVP:</w:t>
      </w:r>
    </w:p>
    <w:tbl>
      <w:tblPr>
        <w:tblW w:type="auto" w:w="0"/>
        <w:tblLayout w:type="autofit"/>
        <w:tblLook w:firstColumn="1" w:firstRow="1" w:lastColumn="0" w:lastRow="0" w:noHBand="0" w:noVBand="1" w:val="04A0"/>
        <w:tblBorders>
          <w:top w:val="single" w:sz="4" w:color="D0D7DA"/>
          <w:left w:val="single" w:sz="4" w:color="D0D7DA"/>
          <w:bottom w:val="single" w:sz="4" w:color="D0D7DA"/>
          <w:right w:val="single" w:sz="4" w:color="D0D7DA"/>
          <w:insideH w:val="single" w:sz="4" w:color="D0D7DA"/>
          <w:insideV w:val="single" w:sz="4" w:color="D0D7DA"/>
        </w:tblBorders>
      </w:tblPr>
      <w:tblGrid>
        <w:gridCol w:w="3169"/>
        <w:gridCol w:w="3169"/>
        <w:gridCol w:w="3169"/>
      </w:tblGrid>
      <w:tr>
        <w:tc>
          <w:tcPr>
            <w:tcW w:type="dxa" w:w="3169"/>
            <w:shd w:val="clear" w:color="auto" w:fill="074F6A"/>
          </w:tcPr>
          <w:p>
            <w:r/>
            <w:r>
              <w:rPr>
                <w:rFonts w:ascii="Aptos" w:hAnsi="Aptos"/>
                <w:b/>
                <w:color w:val="FFFFFF"/>
                <w:sz w:val="20"/>
              </w:rPr>
              <w:t>Funzionalità</w:t>
            </w:r>
          </w:p>
        </w:tc>
        <w:tc>
          <w:tcPr>
            <w:tcW w:type="dxa" w:w="3169"/>
            <w:shd w:val="clear" w:color="auto" w:fill="074F6A"/>
          </w:tcPr>
          <w:p>
            <w:r/>
            <w:r>
              <w:rPr>
                <w:rFonts w:ascii="Aptos" w:hAnsi="Aptos"/>
                <w:b/>
                <w:color w:val="FFFFFF"/>
                <w:sz w:val="20"/>
              </w:rPr>
              <w:t>Descrizione</w:t>
            </w:r>
          </w:p>
        </w:tc>
        <w:tc>
          <w:tcPr>
            <w:tcW w:type="dxa" w:w="3169"/>
            <w:shd w:val="clear" w:color="auto" w:fill="074F6A"/>
          </w:tcPr>
          <w:p>
            <w:r/>
            <w:r>
              <w:rPr>
                <w:rFonts w:ascii="Aptos" w:hAnsi="Aptos"/>
                <w:b/>
                <w:color w:val="FFFFFF"/>
                <w:sz w:val="20"/>
              </w:rPr>
              <w:t>Stima</w:t>
            </w:r>
          </w:p>
        </w:tc>
      </w:tr>
      <w:tr>
        <w:tc>
          <w:tcPr>
            <w:tcW w:type="dxa" w:w="3169"/>
          </w:tcPr>
          <w:p>
            <w:r/>
            <w:r>
              <w:rPr>
                <w:rFonts w:ascii="Aptos" w:hAnsi="Aptos"/>
                <w:b/>
                <w:sz w:val="20"/>
              </w:rPr>
              <w:t>Multi-utenza aziendale</w:t>
            </w:r>
          </w:p>
        </w:tc>
        <w:tc>
          <w:tcPr>
            <w:tcW w:type="dxa" w:w="3169"/>
          </w:tcPr>
          <w:p>
            <w:r/>
            <w:r>
              <w:rPr>
                <w:rFonts w:ascii="Aptos" w:hAnsi="Aptos"/>
                <w:sz w:val="20"/>
              </w:rPr>
              <w:t>Account master + collaboratori con permessi per il recruiting.</w:t>
            </w:r>
          </w:p>
        </w:tc>
        <w:tc>
          <w:tcPr>
            <w:tcW w:type="dxa" w:w="3169"/>
          </w:tcPr>
          <w:p>
            <w:r/>
            <w:r>
              <w:rPr>
                <w:rFonts w:ascii="Aptos" w:hAnsi="Aptos"/>
                <w:sz w:val="20"/>
              </w:rPr>
              <w:t>€ 2.000 – 3.500</w:t>
            </w:r>
          </w:p>
        </w:tc>
      </w:tr>
      <w:tr>
        <w:tc>
          <w:tcPr>
            <w:tcW w:type="dxa" w:w="3169"/>
            <w:shd w:val="clear" w:color="auto" w:fill="F0F5F6"/>
          </w:tcPr>
          <w:p>
            <w:r/>
            <w:r>
              <w:rPr>
                <w:rFonts w:ascii="Aptos" w:hAnsi="Aptos"/>
                <w:b/>
                <w:sz w:val="20"/>
              </w:rPr>
              <w:t>Geolocalizzazione</w:t>
            </w:r>
          </w:p>
        </w:tc>
        <w:tc>
          <w:tcPr>
            <w:tcW w:type="dxa" w:w="3169"/>
            <w:shd w:val="clear" w:color="auto" w:fill="F0F5F6"/>
          </w:tcPr>
          <w:p>
            <w:r/>
            <w:r>
              <w:rPr>
                <w:rFonts w:ascii="Aptos" w:hAnsi="Aptos"/>
                <w:sz w:val="20"/>
              </w:rPr>
              <w:t>Filtro per raggio con calcolo distanza e visualizzazione nei risultati.</w:t>
            </w:r>
          </w:p>
        </w:tc>
        <w:tc>
          <w:tcPr>
            <w:tcW w:type="dxa" w:w="3169"/>
            <w:shd w:val="clear" w:color="auto" w:fill="F0F5F6"/>
          </w:tcPr>
          <w:p>
            <w:r/>
            <w:r>
              <w:rPr>
                <w:rFonts w:ascii="Aptos" w:hAnsi="Aptos"/>
                <w:sz w:val="20"/>
              </w:rPr>
              <w:t>€ 2.000 – 3.000</w:t>
            </w:r>
          </w:p>
        </w:tc>
      </w:tr>
      <w:tr>
        <w:tc>
          <w:tcPr>
            <w:tcW w:type="dxa" w:w="3169"/>
          </w:tcPr>
          <w:p>
            <w:r/>
            <w:r>
              <w:rPr>
                <w:rFonts w:ascii="Aptos" w:hAnsi="Aptos"/>
                <w:b/>
                <w:sz w:val="20"/>
              </w:rPr>
              <w:t>Analytics pannello admin</w:t>
            </w:r>
          </w:p>
        </w:tc>
        <w:tc>
          <w:tcPr>
            <w:tcW w:type="dxa" w:w="3169"/>
          </w:tcPr>
          <w:p>
            <w:r/>
            <w:r>
              <w:rPr>
                <w:rFonts w:ascii="Aptos" w:hAnsi="Aptos"/>
                <w:sz w:val="20"/>
              </w:rPr>
              <w:t>Dashboard KPI: iscritti, abbonamenti, revenue, andamento.</w:t>
            </w:r>
          </w:p>
        </w:tc>
        <w:tc>
          <w:tcPr>
            <w:tcW w:type="dxa" w:w="3169"/>
          </w:tcPr>
          <w:p>
            <w:r/>
            <w:r>
              <w:rPr>
                <w:rFonts w:ascii="Aptos" w:hAnsi="Aptos"/>
                <w:sz w:val="20"/>
              </w:rPr>
              <w:t>€ 2.000 – 3.000</w:t>
            </w:r>
          </w:p>
        </w:tc>
      </w:tr>
      <w:tr>
        <w:tc>
          <w:tcPr>
            <w:tcW w:type="dxa" w:w="3169"/>
            <w:shd w:val="clear" w:color="auto" w:fill="F0F5F6"/>
          </w:tcPr>
          <w:p>
            <w:r/>
            <w:commentRangeStart w:id="10"/>
            <w:r>
              <w:rPr>
                <w:rFonts w:ascii="Aptos" w:hAnsi="Aptos"/>
                <w:b/>
                <w:sz w:val="20"/>
              </w:rPr>
              <w:t>Predisposizione internazionale</w:t>
            </w:r>
            <w:commentRangeEnd w:id="10"/>
            <w:r>
              <w:rPr>
                <w:rStyle w:val="CommentReference"/>
              </w:rPr>
              <w:commentReference w:id="10"/>
            </w:r>
          </w:p>
        </w:tc>
        <w:tc>
          <w:tcPr>
            <w:tcW w:type="dxa" w:w="3169"/>
            <w:shd w:val="clear" w:color="auto" w:fill="F0F5F6"/>
          </w:tcPr>
          <w:p>
            <w:r/>
            <w:r>
              <w:rPr>
                <w:rFonts w:ascii="Aptos" w:hAnsi="Aptos"/>
                <w:sz w:val="20"/>
              </w:rPr>
              <w:t>Architettura i18n multi-lingua, multi-country, valuta.</w:t>
            </w:r>
          </w:p>
        </w:tc>
        <w:tc>
          <w:tcPr>
            <w:tcW w:type="dxa" w:w="3169"/>
            <w:shd w:val="clear" w:color="auto" w:fill="F0F5F6"/>
          </w:tcPr>
          <w:p>
            <w:r/>
            <w:r>
              <w:rPr>
                <w:rFonts w:ascii="Aptos" w:hAnsi="Aptos"/>
                <w:sz w:val="20"/>
              </w:rPr>
              <w:t>€ 2.500 – 4.000</w:t>
            </w:r>
          </w:p>
        </w:tc>
      </w:tr>
      <w:tr>
        <w:tc>
          <w:tcPr>
            <w:tcW w:type="dxa" w:w="3169"/>
          </w:tcPr>
          <w:p>
            <w:r/>
            <w:r>
              <w:rPr>
                <w:rFonts w:ascii="Aptos" w:hAnsi="Aptos"/>
                <w:b/>
                <w:sz w:val="20"/>
              </w:rPr>
              <w:t>App Mobile Nativa</w:t>
            </w:r>
          </w:p>
        </w:tc>
        <w:tc>
          <w:tcPr>
            <w:tcW w:type="dxa" w:w="3169"/>
          </w:tcPr>
          <w:p>
            <w:r/>
            <w:r>
              <w:rPr>
                <w:rFonts w:ascii="Aptos" w:hAnsi="Aptos"/>
                <w:sz w:val="20"/>
              </w:rPr>
              <w:t>Versione iOS e Android con funzionalità core.</w:t>
            </w:r>
          </w:p>
        </w:tc>
        <w:tc>
          <w:tcPr>
            <w:tcW w:type="dxa" w:w="3169"/>
          </w:tcPr>
          <w:p>
            <w:r/>
            <w:r>
              <w:rPr>
                <w:rFonts w:ascii="Aptos" w:hAnsi="Aptos"/>
                <w:sz w:val="20"/>
              </w:rPr>
              <w:t>€ 8.000 – 12.000</w:t>
            </w:r>
          </w:p>
        </w:tc>
      </w:tr>
      <w:tr>
        <w:tc>
          <w:tcPr>
            <w:tcW w:type="dxa" w:w="3169"/>
            <w:shd w:val="clear" w:color="auto" w:fill="F0F5F6"/>
          </w:tcPr>
          <w:p>
            <w:r/>
            <w:r>
              <w:rPr>
                <w:rFonts w:ascii="Aptos" w:hAnsi="Aptos"/>
                <w:b/>
                <w:sz w:val="20"/>
              </w:rPr>
              <w:t>Chat In-App</w:t>
            </w:r>
          </w:p>
        </w:tc>
        <w:tc>
          <w:tcPr>
            <w:tcW w:type="dxa" w:w="3169"/>
            <w:shd w:val="clear" w:color="auto" w:fill="F0F5F6"/>
          </w:tcPr>
          <w:p>
            <w:r/>
            <w:r>
              <w:rPr>
                <w:rFonts w:ascii="Aptos" w:hAnsi="Aptos"/>
                <w:sz w:val="20"/>
              </w:rPr>
              <w:t>Messaggistica diretta con moderazione e filtri anti-spam.</w:t>
            </w:r>
          </w:p>
        </w:tc>
        <w:tc>
          <w:tcPr>
            <w:tcW w:type="dxa" w:w="3169"/>
            <w:shd w:val="clear" w:color="auto" w:fill="F0F5F6"/>
          </w:tcPr>
          <w:p>
            <w:r/>
            <w:r>
              <w:rPr>
                <w:rFonts w:ascii="Aptos" w:hAnsi="Aptos"/>
                <w:sz w:val="20"/>
              </w:rPr>
              <w:t>€ 2.000 – 3.500</w:t>
            </w:r>
          </w:p>
        </w:tc>
      </w:tr>
      <w:tr>
        <w:tc>
          <w:tcPr>
            <w:tcW w:type="dxa" w:w="3169"/>
          </w:tcPr>
          <w:p>
            <w:r/>
            <w:commentRangeStart w:id="3"/>
            <w:r>
              <w:rPr>
                <w:rFonts w:ascii="Aptos" w:hAnsi="Aptos"/>
                <w:b/>
                <w:sz w:val="20"/>
              </w:rPr>
              <w:t>Matching AI</w:t>
            </w:r>
            <w:commentRangeEnd w:id="3"/>
            <w:r>
              <w:rPr>
                <w:rStyle w:val="CommentReference"/>
              </w:rPr>
              <w:commentReference w:id="3"/>
            </w:r>
          </w:p>
        </w:tc>
        <w:tc>
          <w:tcPr>
            <w:tcW w:type="dxa" w:w="3169"/>
          </w:tcPr>
          <w:p>
            <w:r/>
            <w:r>
              <w:rPr>
                <w:rFonts w:ascii="Aptos" w:hAnsi="Aptos"/>
                <w:sz w:val="20"/>
              </w:rPr>
              <w:t>Suggerimento automatico candidati/opportunità basato su profili e storico.</w:t>
            </w:r>
          </w:p>
        </w:tc>
        <w:tc>
          <w:tcPr>
            <w:tcW w:type="dxa" w:w="3169"/>
          </w:tcPr>
          <w:p>
            <w:r/>
            <w:r>
              <w:rPr>
                <w:rFonts w:ascii="Aptos" w:hAnsi="Aptos"/>
                <w:sz w:val="20"/>
              </w:rPr>
              <w:t>€ 3.000 – 5.000</w:t>
            </w:r>
          </w:p>
        </w:tc>
      </w:tr>
      <w:tr>
        <w:tc>
          <w:tcPr>
            <w:tcW w:type="dxa" w:w="3169"/>
            <w:shd w:val="clear" w:color="auto" w:fill="F0F5F6"/>
          </w:tcPr>
          <w:p>
            <w:r/>
            <w:r>
              <w:rPr>
                <w:rFonts w:ascii="Aptos" w:hAnsi="Aptos"/>
                <w:b/>
                <w:sz w:val="20"/>
              </w:rPr>
              <w:t>Notifiche Push</w:t>
            </w:r>
          </w:p>
        </w:tc>
        <w:tc>
          <w:tcPr>
            <w:tcW w:type="dxa" w:w="3169"/>
            <w:shd w:val="clear" w:color="auto" w:fill="F0F5F6"/>
          </w:tcPr>
          <w:p>
            <w:r/>
            <w:r>
              <w:rPr>
                <w:rFonts w:ascii="Aptos" w:hAnsi="Aptos"/>
                <w:sz w:val="20"/>
              </w:rPr>
              <w:t>Notifiche email e in-app per offerte, candidature, recensioni, scadenze.</w:t>
            </w:r>
          </w:p>
        </w:tc>
        <w:tc>
          <w:tcPr>
            <w:tcW w:type="dxa" w:w="3169"/>
            <w:shd w:val="clear" w:color="auto" w:fill="F0F5F6"/>
          </w:tcPr>
          <w:p>
            <w:r/>
            <w:r>
              <w:rPr>
                <w:rFonts w:ascii="Aptos" w:hAnsi="Aptos"/>
                <w:sz w:val="20"/>
              </w:rPr>
              <w:t>€ 1.500 – 2.500</w:t>
            </w:r>
          </w:p>
        </w:tc>
      </w:tr>
      <w:tr>
        <w:tc>
          <w:tcPr>
            <w:tcW w:type="dxa" w:w="3169"/>
          </w:tcPr>
          <w:p>
            <w:r/>
            <w:r>
              <w:rPr>
                <w:rFonts w:ascii="Aptos" w:hAnsi="Aptos"/>
                <w:b/>
                <w:sz w:val="20"/>
              </w:rPr>
              <w:t>Lingua Aggiuntiva</w:t>
            </w:r>
          </w:p>
        </w:tc>
        <w:tc>
          <w:tcPr>
            <w:tcW w:type="dxa" w:w="3169"/>
          </w:tcPr>
          <w:p>
            <w:r/>
            <w:r>
              <w:rPr>
                <w:rFonts w:ascii="Aptos" w:hAnsi="Aptos"/>
                <w:sz w:val="20"/>
              </w:rPr>
              <w:t>Traduzione interfaccia e contenuti per mercato target. Per lingua.</w:t>
            </w:r>
          </w:p>
        </w:tc>
        <w:tc>
          <w:tcPr>
            <w:tcW w:type="dxa" w:w="3169"/>
          </w:tcPr>
          <w:p>
            <w:r/>
            <w:r>
              <w:rPr>
                <w:rFonts w:ascii="Aptos" w:hAnsi="Aptos"/>
                <w:sz w:val="20"/>
              </w:rPr>
              <w:t>€ 2.000 – 3.000</w:t>
            </w:r>
          </w:p>
        </w:tc>
      </w:tr>
      <w:tr>
        <w:tc>
          <w:tcPr>
            <w:tcW w:type="dxa" w:w="3169"/>
            <w:shd w:val="clear" w:color="auto" w:fill="F0F5F6"/>
          </w:tcPr>
          <w:p>
            <w:r/>
            <w:r>
              <w:rPr>
                <w:rFonts w:ascii="Aptos" w:hAnsi="Aptos"/>
                <w:b/>
                <w:sz w:val="20"/>
              </w:rPr>
              <w:t>Manutenzione Evolutiva</w:t>
            </w:r>
          </w:p>
        </w:tc>
        <w:tc>
          <w:tcPr>
            <w:tcW w:type="dxa" w:w="3169"/>
            <w:shd w:val="clear" w:color="auto" w:fill="F0F5F6"/>
          </w:tcPr>
          <w:p>
            <w:r/>
            <w:r>
              <w:rPr>
                <w:rFonts w:ascii="Aptos" w:hAnsi="Aptos"/>
                <w:sz w:val="20"/>
              </w:rPr>
              <w:t>Supporto, evoluzioni e aggiornamenti funzionali.</w:t>
            </w:r>
          </w:p>
        </w:tc>
        <w:tc>
          <w:tcPr>
            <w:tcW w:type="dxa" w:w="3169"/>
            <w:shd w:val="clear" w:color="auto" w:fill="F0F5F6"/>
          </w:tcPr>
          <w:p>
            <w:r/>
            <w:r>
              <w:rPr>
                <w:rFonts w:ascii="Aptos" w:hAnsi="Aptos"/>
                <w:sz w:val="20"/>
              </w:rPr>
              <w:t>Proposta separata</w:t>
            </w:r>
          </w:p>
        </w:tc>
      </w:tr>
    </w:tbl>
    <w:p/>
    <w:p>
      <w:r>
        <w:rPr>
          <w:rFonts w:ascii="Aptos" w:hAnsi="Aptos"/>
          <w:i/>
          <w:color w:val="666666"/>
          <w:sz w:val="18"/>
        </w:rPr>
        <w:t>Stime indicative, da consolidare in fase di analisi. Le evolutive richieste in regime di partnership sono quotate a tariffa agevolata.</w:t>
      </w:r>
    </w:p>
    <w:p>
      <w:pPr>
        <w:pStyle w:val="Titolo1"/>
      </w:pPr>
      <w:r>
        <w:rPr>
          <w:rFonts w:ascii="Aptos" w:hAnsi="Aptos"/>
        </w:rPr>
        <w:t>8. Modalità di Pagamento</w:t>
      </w:r>
    </w:p>
    <w:p>
      <w:pPr>
        <w:pStyle w:val="Paragrafoelenco"/>
      </w:pPr>
      <w:r>
        <w:rPr>
          <w:rFonts w:ascii="Aptos" w:hAnsi="Aptos"/>
        </w:rPr>
        <w:t>40% alla firma del contratto e avvio operativo</w:t>
      </w:r>
    </w:p>
    <w:p>
      <w:pPr>
        <w:pStyle w:val="Paragrafoelenco"/>
      </w:pPr>
      <w:r>
        <w:rPr>
          <w:rFonts w:ascii="Aptos" w:hAnsi="Aptos"/>
        </w:rPr>
        <w:t>30% al completamento dei profili e del motore di ricerca</w:t>
      </w:r>
    </w:p>
    <w:p>
      <w:pPr>
        <w:pStyle w:val="Paragrafoelenco"/>
      </w:pPr>
      <w:r>
        <w:rPr>
          <w:rFonts w:ascii="Aptos" w:hAnsi="Aptos"/>
        </w:rPr>
        <w:t>20% al go-live e messa in produzione</w:t>
      </w:r>
    </w:p>
    <w:p>
      <w:pPr>
        <w:pStyle w:val="Paragrafoelenco"/>
      </w:pPr>
      <w:r>
        <w:rPr>
          <w:rFonts w:ascii="Aptos" w:hAnsi="Aptos"/>
        </w:rPr>
        <w:t>10% al termine dei 30 giorni di assistenza correttiva</w:t>
      </w:r>
    </w:p>
    <w:p>
      <w:pPr>
        <w:pStyle w:val="Titolo1"/>
      </w:pPr>
      <w:r>
        <w:rPr>
          <w:rFonts w:ascii="Aptos" w:hAnsi="Aptos"/>
        </w:rPr>
        <w:t>9. Governance e Presidi Contrattuali</w:t>
      </w:r>
    </w:p>
    <w:tbl>
      <w:tblPr>
        <w:tblW w:type="auto" w:w="0"/>
        <w:tblLayout w:type="autofit"/>
        <w:tblLook w:firstColumn="1" w:firstRow="1" w:lastColumn="0" w:lastRow="0" w:noHBand="0" w:noVBand="1" w:val="04A0"/>
        <w:tblBorders>
          <w:top w:val="single" w:sz="4" w:color="D0D7DA"/>
          <w:left w:val="single" w:sz="4" w:color="D0D7DA"/>
          <w:bottom w:val="single" w:sz="4" w:color="D0D7DA"/>
          <w:right w:val="single" w:sz="4" w:color="D0D7DA"/>
          <w:insideH w:val="single" w:sz="4" w:color="D0D7DA"/>
          <w:insideV w:val="single" w:sz="4" w:color="D0D7DA"/>
        </w:tblBorders>
      </w:tblPr>
      <w:tblGrid>
        <w:gridCol w:w="4753"/>
        <w:gridCol w:w="4753"/>
      </w:tblGrid>
      <w:tr>
        <w:tc>
          <w:tcPr>
            <w:tcW w:type="dxa" w:w="4753"/>
            <w:shd w:val="clear" w:color="auto" w:fill="074F6A"/>
          </w:tcPr>
          <w:p>
            <w:r/>
            <w:r>
              <w:rPr>
                <w:rFonts w:ascii="Aptos" w:hAnsi="Aptos"/>
                <w:b/>
                <w:color w:val="FFFFFF"/>
                <w:sz w:val="20"/>
              </w:rPr>
              <w:t>Condizione</w:t>
            </w:r>
          </w:p>
        </w:tc>
        <w:tc>
          <w:tcPr>
            <w:tcW w:type="dxa" w:w="4753"/>
            <w:shd w:val="clear" w:color="auto" w:fill="074F6A"/>
          </w:tcPr>
          <w:p>
            <w:r/>
            <w:r>
              <w:rPr>
                <w:rFonts w:ascii="Aptos" w:hAnsi="Aptos"/>
                <w:b/>
                <w:color w:val="FFFFFF"/>
                <w:sz w:val="20"/>
              </w:rPr>
              <w:t>Dettaglio</w:t>
            </w:r>
          </w:p>
        </w:tc>
      </w:tr>
      <w:tr>
        <w:tc>
          <w:tcPr>
            <w:tcW w:type="dxa" w:w="4753"/>
          </w:tcPr>
          <w:p>
            <w:r/>
            <w:r>
              <w:rPr>
                <w:rFonts w:ascii="Aptos" w:hAnsi="Aptos"/>
                <w:b/>
                <w:sz w:val="20"/>
              </w:rPr>
              <w:t>Tempi di consegna</w:t>
            </w:r>
          </w:p>
        </w:tc>
        <w:tc>
          <w:tcPr>
            <w:tcW w:type="dxa" w:w="4753"/>
          </w:tcPr>
          <w:p>
            <w:r/>
            <w:r>
              <w:rPr>
                <w:rFonts w:ascii="Aptos" w:hAnsi="Aptos"/>
                <w:sz w:val="20"/>
              </w:rPr>
              <w:t>8-10 settimane dalla firma con perimetro MVP fast-track, obiettivo go-live entro la stagione estiva 2026; Fase 2 (validazione manuale recensioni ed evolutive) post go-live</w:t>
            </w:r>
          </w:p>
        </w:tc>
      </w:tr>
      <w:tr>
        <w:tc>
          <w:tcPr>
            <w:tcW w:type="dxa" w:w="4753"/>
            <w:shd w:val="clear" w:color="auto" w:fill="F0F5F6"/>
          </w:tcPr>
          <w:p>
            <w:r/>
            <w:r>
              <w:rPr>
                <w:rFonts w:ascii="Aptos" w:hAnsi="Aptos"/>
                <w:b/>
                <w:sz w:val="20"/>
              </w:rPr>
              <w:t>Proprietà intellettuale</w:t>
            </w:r>
          </w:p>
        </w:tc>
        <w:tc>
          <w:tcPr>
            <w:tcW w:type="dxa" w:w="4753"/>
            <w:shd w:val="clear" w:color="auto" w:fill="F0F5F6"/>
          </w:tcPr>
          <w:p>
            <w:r/>
            <w:r>
              <w:rPr>
                <w:rFonts w:ascii="Aptos" w:hAnsi="Aptos"/>
                <w:sz w:val="20"/>
              </w:rPr>
              <w:t>IP di HeyAI. Licenza d'uso esclusiva, perpetua e non trasferibile al Cliente. Personalizzazioni di proprietà del Cliente.</w:t>
            </w:r>
          </w:p>
        </w:tc>
      </w:tr>
      <w:tr>
        <w:tc>
          <w:tcPr>
            <w:tcW w:type="dxa" w:w="4753"/>
          </w:tcPr>
          <w:p>
            <w:r/>
            <w:r>
              <w:rPr>
                <w:rFonts w:ascii="Aptos" w:hAnsi="Aptos"/>
                <w:b/>
                <w:sz w:val="20"/>
              </w:rPr>
              <w:t>Garanzia</w:t>
            </w:r>
          </w:p>
        </w:tc>
        <w:tc>
          <w:tcPr>
            <w:tcW w:type="dxa" w:w="4753"/>
          </w:tcPr>
          <w:p>
            <w:r/>
            <w:r>
              <w:rPr>
                <w:rFonts w:ascii="Aptos" w:hAnsi="Aptos"/>
                <w:sz w:val="20"/>
              </w:rPr>
              <w:t>30 giorni assistenza correttiva post go-live (fino a 10 ore)</w:t>
            </w:r>
          </w:p>
        </w:tc>
      </w:tr>
      <w:tr>
        <w:tc>
          <w:tcPr>
            <w:tcW w:type="dxa" w:w="4753"/>
            <w:shd w:val="clear" w:color="auto" w:fill="F0F5F6"/>
          </w:tcPr>
          <w:p>
            <w:r/>
            <w:r>
              <w:rPr>
                <w:rFonts w:ascii="Aptos" w:hAnsi="Aptos"/>
                <w:b/>
                <w:sz w:val="20"/>
              </w:rPr>
              <w:t>Change request</w:t>
            </w:r>
          </w:p>
        </w:tc>
        <w:tc>
          <w:tcPr>
            <w:tcW w:type="dxa" w:w="4753"/>
            <w:shd w:val="clear" w:color="auto" w:fill="F0F5F6"/>
          </w:tcPr>
          <w:p>
            <w:r/>
            <w:r>
              <w:rPr>
                <w:rFonts w:ascii="Aptos" w:hAnsi="Aptos"/>
                <w:sz w:val="20"/>
              </w:rPr>
              <w:t>Valutate, quotate e approvate per iscritto prima dell'esecuzione</w:t>
            </w:r>
          </w:p>
        </w:tc>
      </w:tr>
      <w:tr>
        <w:tc>
          <w:tcPr>
            <w:tcW w:type="dxa" w:w="4753"/>
          </w:tcPr>
          <w:p>
            <w:r/>
            <w:r>
              <w:rPr>
                <w:rFonts w:ascii="Aptos" w:hAnsi="Aptos"/>
                <w:b/>
                <w:sz w:val="20"/>
              </w:rPr>
              <w:t>Riservatezza</w:t>
            </w:r>
          </w:p>
        </w:tc>
        <w:tc>
          <w:tcPr>
            <w:tcW w:type="dxa" w:w="4753"/>
          </w:tcPr>
          <w:p>
            <w:r/>
            <w:r>
              <w:rPr>
                <w:rFonts w:ascii="Aptos" w:hAnsi="Aptos"/>
                <w:sz w:val="20"/>
              </w:rPr>
              <w:t>Obbligo reciproco per durata rapporto + 24 mesi</w:t>
            </w:r>
          </w:p>
        </w:tc>
      </w:tr>
      <w:tr>
        <w:tc>
          <w:tcPr>
            <w:tcW w:type="dxa" w:w="4753"/>
            <w:shd w:val="clear" w:color="auto" w:fill="F0F5F6"/>
          </w:tcPr>
          <w:p>
            <w:r/>
            <w:r>
              <w:rPr>
                <w:rFonts w:ascii="Aptos" w:hAnsi="Aptos"/>
                <w:b/>
                <w:sz w:val="20"/>
              </w:rPr>
              <w:t>Non-circumvention</w:t>
            </w:r>
          </w:p>
        </w:tc>
        <w:tc>
          <w:tcPr>
            <w:tcW w:type="dxa" w:w="4753"/>
            <w:shd w:val="clear" w:color="auto" w:fill="F0F5F6"/>
          </w:tcPr>
          <w:p>
            <w:r/>
            <w:r>
              <w:rPr>
                <w:rFonts w:ascii="Aptos" w:hAnsi="Aptos"/>
                <w:sz w:val="20"/>
              </w:rPr>
              <w:t>Il Cliente non replica autonomamente o tramite terzi soluzione equivalente</w:t>
            </w:r>
          </w:p>
        </w:tc>
      </w:tr>
      <w:tr>
        <w:tc>
          <w:tcPr>
            <w:tcW w:type="dxa" w:w="4753"/>
          </w:tcPr>
          <w:p>
            <w:r/>
            <w:r>
              <w:rPr>
                <w:rFonts w:ascii="Aptos" w:hAnsi="Aptos"/>
                <w:b/>
                <w:sz w:val="20"/>
              </w:rPr>
              <w:t>Costi operativi</w:t>
            </w:r>
          </w:p>
        </w:tc>
        <w:tc>
          <w:tcPr>
            <w:tcW w:type="dxa" w:w="4753"/>
          </w:tcPr>
          <w:p>
            <w:r/>
            <w:r>
              <w:rPr>
                <w:rFonts w:ascii="Aptos" w:hAnsi="Aptos"/>
                <w:sz w:val="20"/>
              </w:rPr>
              <w:t>Cloud, commissioni Stripe e contenuti legali a carico del Cliente</w:t>
            </w:r>
          </w:p>
        </w:tc>
      </w:tr>
      <w:tr>
        <w:tc>
          <w:tcPr>
            <w:tcW w:type="dxa" w:w="4753"/>
            <w:shd w:val="clear" w:color="auto" w:fill="F0F5F6"/>
          </w:tcPr>
          <w:p>
            <w:r/>
            <w:r>
              <w:rPr>
                <w:rFonts w:ascii="Aptos" w:hAnsi="Aptos"/>
                <w:b/>
                <w:sz w:val="20"/>
              </w:rPr>
              <w:t>Validità offerta</w:t>
            </w:r>
          </w:p>
        </w:tc>
        <w:tc>
          <w:tcPr>
            <w:tcW w:type="dxa" w:w="4753"/>
            <w:shd w:val="clear" w:color="auto" w:fill="F0F5F6"/>
          </w:tcPr>
          <w:p>
            <w:r/>
            <w:r>
              <w:rPr>
                <w:rFonts w:ascii="Aptos" w:hAnsi="Aptos"/>
                <w:sz w:val="20"/>
              </w:rPr>
              <w:t>30 giorni</w:t>
            </w:r>
          </w:p>
        </w:tc>
      </w:tr>
      <w:tr>
        <w:tc>
          <w:tcPr>
            <w:tcW w:type="dxa" w:w="4753"/>
          </w:tcPr>
          <w:p>
            <w:r/>
            <w:commentRangeStart w:id="9"/>
            <w:r>
              <w:rPr>
                <w:rFonts w:ascii="Aptos" w:hAnsi="Aptos"/>
                <w:b/>
                <w:sz w:val="20"/>
              </w:rPr>
              <w:t>Foro competente</w:t>
            </w:r>
            <w:commentRangeEnd w:id="9"/>
            <w:r>
              <w:rPr>
                <w:rStyle w:val="CommentReference"/>
              </w:rPr>
              <w:commentReference w:id="9"/>
            </w:r>
          </w:p>
        </w:tc>
        <w:tc>
          <w:tcPr>
            <w:tcW w:type="dxa" w:w="4753"/>
          </w:tcPr>
          <w:p>
            <w:r/>
            <w:r>
              <w:rPr>
                <w:rFonts w:ascii="Aptos" w:hAnsi="Aptos"/>
                <w:sz w:val="20"/>
              </w:rPr>
              <w:t>Roma, legge italiana</w:t>
            </w:r>
          </w:p>
        </w:tc>
      </w:tr>
    </w:tbl>
    <w:p/>
    <w:p>
      <w:pPr>
        <w:pStyle w:val="Titolo1"/>
      </w:pPr>
      <w:r>
        <w:rPr>
          <w:rFonts w:ascii="Aptos" w:hAnsi="Aptos"/>
        </w:rPr>
        <w:t>10. Responsabilità</w:t>
      </w:r>
    </w:p>
    <w:p>
      <w:r>
        <w:rPr>
          <w:rFonts w:ascii="Aptos" w:hAnsi="Aptos"/>
          <w:b/>
        </w:rPr>
        <w:t>Da parte di HeyAI:</w:t>
      </w:r>
    </w:p>
    <w:p>
      <w:pPr>
        <w:pStyle w:val="Paragrafoelenco"/>
      </w:pPr>
      <w:r>
        <w:rPr>
          <w:rFonts w:ascii="Aptos" w:hAnsi="Aptos"/>
        </w:rPr>
        <w:t>Analisi funzionale, progettazione e sviluppo completo della piattaforma</w:t>
      </w:r>
    </w:p>
    <w:p>
      <w:pPr>
        <w:pStyle w:val="Paragrafoelenco"/>
      </w:pPr>
      <w:r>
        <w:rPr>
          <w:rFonts w:ascii="Aptos" w:hAnsi="Aptos"/>
        </w:rPr>
        <w:t>Integrazione Stripe e configurazione subscription engine</w:t>
      </w:r>
    </w:p>
    <w:p>
      <w:pPr>
        <w:pStyle w:val="Paragrafoelenco"/>
      </w:pPr>
      <w:r>
        <w:rPr>
          <w:rFonts w:ascii="Aptos" w:hAnsi="Aptos"/>
        </w:rPr>
        <w:t>Testing, rilascio e assistenza correttiva post go-live</w:t>
      </w:r>
    </w:p>
    <w:p>
      <w:pPr>
        <w:pStyle w:val="Paragrafoelenco"/>
      </w:pPr>
      <w:r>
        <w:rPr>
          <w:rFonts w:ascii="Aptos" w:hAnsi="Aptos"/>
        </w:rPr>
        <w:t>Training operativo</w:t>
      </w:r>
    </w:p>
    <w:p>
      <w:pPr>
        <w:pStyle w:val="Paragrafoelenco"/>
      </w:pPr>
      <w:r>
        <w:rPr>
          <w:rFonts w:ascii="Aptos" w:hAnsi="Aptos"/>
        </w:rPr>
        <w:t>Project management e interlocuzione unica</w:t>
      </w:r>
    </w:p>
    <w:p>
      <w:r>
        <w:rPr>
          <w:rFonts w:ascii="Aptos" w:hAnsi="Aptos"/>
          <w:b/>
        </w:rPr>
        <w:t>Da parte del Cliente:</w:t>
      </w:r>
    </w:p>
    <w:p>
      <w:pPr>
        <w:pStyle w:val="Paragrafoelenco"/>
      </w:pPr>
      <w:r>
        <w:rPr>
          <w:rFonts w:ascii="Aptos" w:hAnsi="Aptos"/>
        </w:rPr>
        <w:t>Definizione dei ruoli professionali, dei parametri di rating e delle regole di moderazione</w:t>
      </w:r>
    </w:p>
    <w:p>
      <w:pPr>
        <w:pStyle w:val="Paragrafoelenco"/>
      </w:pPr>
      <w:r>
        <w:rPr>
          <w:rFonts w:ascii="Aptos" w:hAnsi="Aptos"/>
        </w:rPr>
        <w:t>Produzione dei contenuti legali (T&amp;C, Privacy Policy) con proprio consulente</w:t>
      </w:r>
    </w:p>
    <w:p>
      <w:pPr>
        <w:pStyle w:val="Paragrafoelenco"/>
      </w:pPr>
      <w:r>
        <w:rPr>
          <w:rFonts w:ascii="Aptos" w:hAnsi="Aptos"/>
        </w:rPr>
        <w:t>Feedback e approvazioni entro i tempi concordati su ciascuna milestone</w:t>
      </w:r>
    </w:p>
    <w:p>
      <w:pPr>
        <w:pStyle w:val="Paragrafoelenco"/>
      </w:pPr>
      <w:r>
        <w:rPr>
          <w:rFonts w:ascii="Aptos" w:hAnsi="Aptos"/>
        </w:rPr>
        <w:t>Setup e gestione dell'infrastruttura cloud e dei costi operativi</w:t>
      </w:r>
    </w:p>
    <w:p>
      <w:pPr>
        <w:pStyle w:val="Paragrafoelenco"/>
      </w:pPr>
      <w:r>
        <w:rPr>
          <w:rFonts w:ascii="Aptos" w:hAnsi="Aptos"/>
        </w:rPr>
        <w:t>Attività di marketing, acquisizione utenti e go-to-market della piattaforma</w:t>
      </w:r>
    </w:p>
    <w:p>
      <w:pPr>
        <w:pStyle w:val="Titolo1"/>
      </w:pPr>
      <w:r>
        <w:rPr>
          <w:rFonts w:ascii="Aptos" w:hAnsi="Aptos"/>
        </w:rPr>
        <w:t>11. Next Steps</w:t>
      </w:r>
    </w:p>
    <w:p>
      <w:pPr>
        <w:pStyle w:val="Paragrafoelenco"/>
      </w:pPr>
      <w:r>
        <w:rPr>
          <w:rFonts w:ascii="Aptos" w:hAnsi="Aptos"/>
        </w:rPr>
        <w:t>Accettazione della proposta e conferma delle condizioni</w:t>
      </w:r>
    </w:p>
    <w:p>
      <w:pPr>
        <w:pStyle w:val="Paragrafoelenco"/>
      </w:pPr>
      <w:r>
        <w:rPr>
          <w:rFonts w:ascii="Aptos" w:hAnsi="Aptos"/>
        </w:rPr>
        <w:t>Firma del contratto con formalizzazione dell'accordo di partnership e prima tranche di pagamento</w:t>
      </w:r>
    </w:p>
    <w:p>
      <w:pPr>
        <w:pStyle w:val="Paragrafoelenco"/>
      </w:pPr>
      <w:r>
        <w:rPr>
          <w:rFonts w:ascii="Aptos" w:hAnsi="Aptos"/>
        </w:rPr>
        <w:t>Kick-off congiunto: definizione ruoli professionali, parametri di rating, wireframe</w:t>
      </w:r>
    </w:p>
    <w:p>
      <w:pPr>
        <w:pStyle w:val="Paragrafoelenco"/>
      </w:pPr>
      <w:r>
        <w:rPr>
          <w:rFonts w:ascii="Aptos" w:hAnsi="Aptos"/>
        </w:rPr>
        <w:t>Avvio sviluppo con obiettivo go-live entro la stagione estiva 2026 (perimetro MVP fast-track) e roadmap Fase 2 condivisa</w:t>
      </w:r>
    </w:p>
    <w:p/>
    <w:p>
      <w:r>
        <w:rPr>
          <w:rFonts w:ascii="Aptos" w:hAnsi="Aptos"/>
          <w:i/>
          <w:color w:val="666666"/>
          <w:sz w:val="18"/>
        </w:rPr>
        <w:t>Proposta valida 30 giorni dalla data di invio.</w:t>
      </w:r>
    </w:p>
    <w:sectPr w:rsidR="00C019FF" w:rsidRPr="00253DC4">
      <w:headerReference w:type="default" r:id="rId7"/>
      <w:pgSz w:w="11906" w:h="16838"/>
      <w:pgMar w:top="1200" w:right="1200" w:bottom="120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05T00:43:47Z" w:initials="C">
    <w:p w14:paraId="22D0D156" w14:textId="77777777">
      <w:r>
        <w:rPr>
          <w:rStyle w:val="CommentReference"/>
        </w:rPr>
        <w:annotationRef/>
      </w:r>
      <w:r>
        <w:rPr>
          <w:color w:val="000000"/>
          <w:sz w:val="20"/>
          <w:szCs w:val="20"/>
        </w:rPr>
        <w:t>RISCHIO REGOLATORIO ALTO — Intermediazione di manodopera: in Italia è attività regolata dal D.Lgs. 276/2003. Se la piattaforma agisce come intermediario (non come mero job-board) potrebbe richiedere autorizzazione del Ministero del Lavoro come Agenzia per il Lavoro / portale di intermediazione. Consiglio: chiarire formalmente nel contratto che il Cliente è titolare dell'eventuale autorizzazione e che HeyAI è mero fornitore tecnologico. Verificare con consulente giuslavorista prima della firma.</w:t>
      </w:r>
    </w:p>
  </w:comment>
  <w:comment w:id="1" w:author="Claude" w:date="2026-05-05T00:43:47Z" w:initials="C">
    <w:p w14:paraId="67F8C8CC" w14:textId="77777777">
      <w:r>
        <w:rPr>
          <w:rStyle w:val="CommentReference"/>
        </w:rPr>
        <w:annotationRef/>
      </w:r>
      <w:r>
        <w:rPr>
          <w:color w:val="000000"/>
          <w:sz w:val="20"/>
          <w:szCs w:val="20"/>
        </w:rPr>
        <w:t>RISCHIO GDPR/REPUTAZIONALE — Recensioni nominative: implicano trattamento di dati personali con base giuridica delicata (legittimo interesse vs. consenso), diritto di replica, diritto all'oblio, rischio diffamazione. Servono: (i) policy chiara di moderazione e contestazione, (ii) procedure di rimozione documentate, (iii) clausole di indennizzo Cliente verso HeyAI per contenuti pubblicati, (iv) DPIA prima del go-live data la natura sensibile.</w:t>
      </w:r>
    </w:p>
  </w:comment>
  <w:comment w:id="2" w:author="Claude" w:date="2026-05-05T00:43:47Z" w:initials="C">
    <w:p w14:paraId="1C298282" w14:textId="77777777">
      <w:r>
        <w:rPr>
          <w:rStyle w:val="CommentReference"/>
        </w:rPr>
        <w:annotationRef/>
      </w:r>
      <w:r>
        <w:rPr>
          <w:color w:val="000000"/>
          <w:sz w:val="20"/>
          <w:szCs w:val="20"/>
        </w:rPr>
        <w:t>DSA (Digital Services Act, Reg. UE 2022/2065) — In quanto online intermediary platform, la piattaforma rientra nell'ambito DSA: obblighi di notice and action, trasparenza algoritmi di ranking/matching, punto di contatto unico, condizioni d'uso chiare, Termini e Condizioni in lingua. Verificare classificazione come 'piattaforma online'.</w:t>
      </w:r>
    </w:p>
  </w:comment>
  <w:comment w:id="3" w:author="Claude" w:date="2026-05-05T00:43:47Z" w:initials="C">
    <w:p w14:paraId="36BE1202" w14:textId="77777777">
      <w:r>
        <w:rPr>
          <w:rStyle w:val="CommentReference"/>
        </w:rPr>
        <w:annotationRef/>
      </w:r>
      <w:r>
        <w:rPr>
          <w:color w:val="000000"/>
          <w:sz w:val="20"/>
          <w:szCs w:val="20"/>
        </w:rPr>
        <w:t>EU AI Act — L'add-on 'Matching AI' rischia di rientrare tra i sistemi ad alto rischio (Allegato III, area Lavoro: sistemi per recruiting, screening candidati). Implica: documentazione tecnica, gestione rischio, sorveglianza umana, dataset di qualità, registrazione UE. Il costo €3-5k è insufficiente se la compliance AI Act è inclusa. Suggerimento: scope-out compliance e quotarla separatamente.</w:t>
      </w:r>
    </w:p>
  </w:comment>
  <w:comment w:id="4" w:author="Claude" w:date="2026-05-05T00:43:47Z" w:initials="C">
    <w:p w14:paraId="03437E41" w14:textId="77777777">
      <w:r>
        <w:rPr>
          <w:rStyle w:val="CommentReference"/>
        </w:rPr>
        <w:annotationRef/>
      </w:r>
      <w:r>
        <w:rPr>
          <w:color w:val="000000"/>
          <w:sz w:val="20"/>
          <w:szCs w:val="20"/>
        </w:rPr>
        <w:t>RISCHIO SOSTENIBILITÀ FLOOR — Floor di €5.000/anno dal secondo anno: in scenario di basso traffico il Cliente paga €5k/anno indipendentemente dal fatturato. A revenue share 12% il break-even è €41.667/anno di ricavi netti; sotto soglia il Cliente è in perdita sulla partnership. Considerare: escalation graduale del floor, trigger basato su soglia minima di subscribers, clausola di rinegoziazione se ricavi sotto soglia.</w:t>
      </w:r>
    </w:p>
  </w:comment>
  <w:comment w:id="5" w:author="Claude" w:date="2026-05-05T00:43:47Z" w:initials="C">
    <w:p w14:paraId="2A3E76EE" w14:textId="77777777">
      <w:r>
        <w:rPr>
          <w:rStyle w:val="CommentReference"/>
        </w:rPr>
        <w:annotationRef/>
      </w:r>
      <w:r>
        <w:rPr>
          <w:color w:val="000000"/>
          <w:sz w:val="20"/>
          <w:szCs w:val="20"/>
        </w:rPr>
        <w:t>BUYOUT — Tasso 8% e formula (a): valutare attentamente. Con tasso 8% capitalizzato dopo 3 anni il valore base passa da €32k a circa €40,3k. Sommando il premio €5k e sottraendo investimento e revenue share già versata, la formula può portare a valori contenuti se gli incassi sono stati elevati. La formula (b), 2,5x revenue share ultimi 12 mesi, può crescere in caso di successo. Stress-test numerico a 12/24/36 mesi su scenari base/ottimistico/conservativo prima della firma.</w:t>
      </w:r>
    </w:p>
  </w:comment>
  <w:comment w:id="6" w:author="Claude" w:date="2026-05-05T00:43:47Z" w:initials="C">
    <w:p w14:paraId="771BFB50" w14:textId="77777777">
      <w:r>
        <w:rPr>
          <w:rStyle w:val="CommentReference"/>
        </w:rPr>
        <w:annotationRef/>
      </w:r>
      <w:r>
        <w:rPr>
          <w:color w:val="000000"/>
          <w:sz w:val="20"/>
          <w:szCs w:val="20"/>
        </w:rPr>
        <w:t>NON-CIRCUMVENTION 24 MESI — Sotto profilo Antitrust e art. 2596 c.c. (patti limitativi della concorrenza), il vincolo esteso a 24 mesi post-rapporto su un intero verticale (HORECA) può essere ridimensionato in giudizio per eccessiva ampiezza. Suggerimento: (i) limitarlo a una specifica replica funzionale anziché a 'soluzione equivalente', (ii) ridurre a 12 mesi, (iii) prevedere corrispettivo per il vincolo se esteso.</w:t>
      </w:r>
    </w:p>
  </w:comment>
  <w:comment w:id="7" w:author="Claude" w:date="2026-05-05T00:43:47Z" w:initials="C">
    <w:p w14:paraId="217D54D1" w14:textId="77777777">
      <w:r>
        <w:rPr>
          <w:rStyle w:val="CommentReference"/>
        </w:rPr>
        <w:annotationRef/>
      </w:r>
      <w:r>
        <w:rPr>
          <w:color w:val="000000"/>
          <w:sz w:val="20"/>
          <w:szCs w:val="20"/>
        </w:rPr>
        <w:t>STRIPE CONNECT — Per un marketplace a due lati andrebbe valutato Stripe Connect (Standard/Express/Custom) anziché Stripe standard, in caso di flussi tra imprenditori e lavoratori intermediati dalla piattaforma. Implica KYC dei merchant e compliance antiriciclaggio. Se il modello è solo subscription pagata dal lato B2B alla piattaforma, Stripe standard è sufficiente — da confermare in kick-off.</w:t>
      </w:r>
    </w:p>
  </w:comment>
  <w:comment w:id="8" w:author="Claude" w:date="2026-05-05T00:43:47Z" w:initials="C">
    <w:p w14:paraId="31D4A875" w14:textId="77777777">
      <w:r>
        <w:rPr>
          <w:rStyle w:val="CommentReference"/>
        </w:rPr>
        <w:annotationRef/>
      </w:r>
      <w:r>
        <w:rPr>
          <w:color w:val="000000"/>
          <w:sz w:val="20"/>
          <w:szCs w:val="20"/>
        </w:rPr>
        <w:t>SCALABILITÀ MODERAZIONE MANUALE — La validazione manuale ex-ante (Fase 2) ha costo operativo lineare con i volumi: a 1.000 recensioni/mese, circa 30-50 ore/mese di moderazione admin. Definire: SLA tempo di moderazione, scalabilità del team Cliente, modello ibrido con auto-approvazione su trust score crescente. Da includere nel business plan della partnership.</w:t>
      </w:r>
    </w:p>
  </w:comment>
  <w:comment w:id="9" w:author="Claude" w:date="2026-05-05T00:43:47Z" w:initials="C">
    <w:p w14:paraId="405D0B62" w14:textId="77777777">
      <w:r>
        <w:rPr>
          <w:rStyle w:val="CommentReference"/>
        </w:rPr>
        <w:annotationRef/>
      </w:r>
      <w:r>
        <w:rPr>
          <w:color w:val="000000"/>
          <w:sz w:val="20"/>
          <w:szCs w:val="20"/>
        </w:rPr>
        <w:t>FORO ROMA — Confermare compatibilità con sede legale di HeyAI e/o del Cliente. Se entrambe le parti operano fuori Roma, considerare clausola arbitrale (Camera Arbitrale Milano) o foro neutro. Sotto €50k il rito ordinario è economicamente sproporzionato — valutare clausola di mediazione obbligatoria preventiva.</w:t>
      </w:r>
    </w:p>
  </w:comment>
  <w:comment w:id="10" w:author="Claude" w:date="2026-05-05T00:43:47Z" w:initials="C">
    <w:p w14:paraId="020D0A10" w14:textId="77777777">
      <w:r>
        <w:rPr>
          <w:rStyle w:val="CommentReference"/>
        </w:rPr>
        <w:annotationRef/>
      </w:r>
      <w:r>
        <w:rPr>
          <w:color w:val="000000"/>
          <w:sz w:val="20"/>
          <w:szCs w:val="20"/>
        </w:rPr>
        <w:t>LINGUE E MERCATO — Il personale HORECA stagionale italiano include una quota significativa di lavoratori non italofoni (Est Europa, Nord Africa, Asia). Considerare almeno EN come lingua secondaria nell'MVP, anche con traduzione parziale. Costo aggiuntivo limitato se gestito in fase di sviluppo, alto se aggiunto post go-live (debito tecnico i18n).</w:t>
      </w:r>
    </w:p>
  </w:comment>
  <w:comment w:id="11" w:author="Claude" w:date="2026-05-05T00:43:47Z" w:initials="C">
    <w:p w14:paraId="1B85F081" w14:textId="77777777">
      <w:r>
        <w:rPr>
          <w:rStyle w:val="CommentReference"/>
        </w:rPr>
        <w:annotationRef/>
      </w:r>
      <w:r>
        <w:rPr>
          <w:color w:val="000000"/>
          <w:sz w:val="20"/>
          <w:szCs w:val="20"/>
        </w:rPr>
        <w:t>TEMPISTICHE FAST-TRACK — Con firma a maggio 2026 e 8-10 settimane, il go-live cade tra metà luglio e fine agosto: il picco assunzioni stagionali estive (maggio-giugno) sarà parzialmente o totalmente perso. Il valore commerciale del go-live entro la stagione 2026 risulta ridotto. Scenari alternativi da valutare: soft-launch con onboarding limitato; target stagione invernale (montagna) nov 2026; target piena stagione 2027 con MVP più ricco.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D0D156" w15:done="0"/>
  <w15:commentEx w15:paraId="67F8C8CC" w15:done="0"/>
  <w15:commentEx w15:paraId="1C298282" w15:done="0"/>
  <w15:commentEx w15:paraId="36BE1202" w15:done="0"/>
  <w15:commentEx w15:paraId="03437E41" w15:done="0"/>
  <w15:commentEx w15:paraId="2A3E76EE" w15:done="0"/>
  <w15:commentEx w15:paraId="771BFB50" w15:done="0"/>
  <w15:commentEx w15:paraId="217D54D1" w15:done="0"/>
  <w15:commentEx w15:paraId="31D4A875" w15:done="0"/>
  <w15:commentEx w15:paraId="405D0B62" w15:done="0"/>
  <w15:commentEx w15:paraId="020D0A10" w15:done="0"/>
  <w15:commentEx w15:paraId="1B85F0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F5EF188" w16cex:dateUtc="2026-05-05T00:43:47Z"/>
  <w16cex:commentExtensible w16cex:durableId="57E8DEB6" w16cex:dateUtc="2026-05-05T00:43:47Z"/>
  <w16cex:commentExtensible w16cex:durableId="57246C80" w16cex:dateUtc="2026-05-05T00:43:47Z"/>
  <w16cex:commentExtensible w16cex:durableId="75408F72" w16cex:dateUtc="2026-05-05T00:43:47Z"/>
  <w16cex:commentExtensible w16cex:durableId="6CBC15DE" w16cex:dateUtc="2026-05-05T00:43:47Z"/>
  <w16cex:commentExtensible w16cex:durableId="6F054589" w16cex:dateUtc="2026-05-05T00:43:47Z"/>
  <w16cex:commentExtensible w16cex:durableId="45476C68" w16cex:dateUtc="2026-05-05T00:43:47Z"/>
  <w16cex:commentExtensible w16cex:durableId="1F473D7D" w16cex:dateUtc="2026-05-05T00:43:47Z"/>
  <w16cex:commentExtensible w16cex:durableId="4D796134" w16cex:dateUtc="2026-05-05T00:43:47Z"/>
  <w16cex:commentExtensible w16cex:durableId="2DA89DAB" w16cex:dateUtc="2026-05-05T00:43:47Z"/>
  <w16cex:commentExtensible w16cex:durableId="5D1705F0" w16cex:dateUtc="2026-05-05T00:43:47Z"/>
  <w16cex:commentExtensible w16cex:durableId="1C12170A" w16cex:dateUtc="2026-05-05T00:43:4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D0D156" w16cid:durableId="3F5EF188"/>
  <w16cid:commentId w16cid:paraId="67F8C8CC" w16cid:durableId="57E8DEB6"/>
  <w16cid:commentId w16cid:paraId="1C298282" w16cid:durableId="57246C80"/>
  <w16cid:commentId w16cid:paraId="36BE1202" w16cid:durableId="75408F72"/>
  <w16cid:commentId w16cid:paraId="03437E41" w16cid:durableId="6CBC15DE"/>
  <w16cid:commentId w16cid:paraId="2A3E76EE" w16cid:durableId="6F054589"/>
  <w16cid:commentId w16cid:paraId="771BFB50" w16cid:durableId="45476C68"/>
  <w16cid:commentId w16cid:paraId="217D54D1" w16cid:durableId="1F473D7D"/>
  <w16cid:commentId w16cid:paraId="31D4A875" w16cid:durableId="4D796134"/>
  <w16cid:commentId w16cid:paraId="405D0B62" w16cid:durableId="2DA89DAB"/>
  <w16cid:commentId w16cid:paraId="020D0A10" w16cid:durableId="5D1705F0"/>
  <w16cid:commentId w16cid:paraId="1B85F081" w16cid:durableId="1C1217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A6BF6" w14:textId="77777777" w:rsidR="00672BC6" w:rsidRDefault="00672BC6" w:rsidP="004021AB">
      <w:r>
        <w:separator/>
      </w:r>
    </w:p>
  </w:endnote>
  <w:endnote w:type="continuationSeparator" w:id="0">
    <w:p w14:paraId="59F2B1DE" w14:textId="77777777" w:rsidR="00672BC6" w:rsidRDefault="00672BC6" w:rsidP="0040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83573" w14:textId="77777777" w:rsidR="00672BC6" w:rsidRDefault="00672BC6" w:rsidP="004021AB">
      <w:r>
        <w:separator/>
      </w:r>
    </w:p>
  </w:footnote>
  <w:footnote w:type="continuationSeparator" w:id="0">
    <w:p w14:paraId="059FFC7C" w14:textId="77777777" w:rsidR="00672BC6" w:rsidRDefault="00672BC6" w:rsidP="0040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18D2" w14:textId="77777777" w:rsidR="004021AB" w:rsidRPr="006447B6" w:rsidRDefault="004021AB" w:rsidP="004021AB">
    <w:pPr>
      <w:pStyle w:val="Intestazione"/>
      <w:ind w:left="7080"/>
      <w:rPr>
        <w:rFonts w:ascii="Acre Medium" w:hAnsi="Acre Medium"/>
        <w:sz w:val="21"/>
        <w:szCs w:val="21"/>
      </w:rPr>
    </w:pPr>
    <w:r>
      <w:rPr>
        <w:noProof/>
      </w:rPr>
      <w:drawing>
        <wp:anchor distT="0" distB="0" distL="114300" distR="114300" simplePos="0" relativeHeight="251659264" behindDoc="0" locked="0" layoutInCell="1" allowOverlap="1" wp14:anchorId="0F1C645A" wp14:editId="4F427B2E">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5F23F1C6" w14:textId="77777777" w:rsidR="004021AB" w:rsidRDefault="004021AB" w:rsidP="004021AB">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00FF2FB2" w14:textId="77777777" w:rsidR="004021AB" w:rsidRDefault="004021AB" w:rsidP="004021AB">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58D56F51" w14:textId="77777777" w:rsidR="004021AB" w:rsidRDefault="004021AB" w:rsidP="004021AB">
    <w:pPr>
      <w:pStyle w:val="Intestazione"/>
      <w:ind w:left="7080"/>
    </w:pPr>
    <w:r>
      <w:rPr>
        <w:rFonts w:ascii="Acre Medium" w:hAnsi="Acre Medium"/>
        <w:sz w:val="21"/>
        <w:szCs w:val="21"/>
      </w:rPr>
      <w:t>www.heyaidigital.it</w:t>
    </w:r>
  </w:p>
  <w:p w14:paraId="600F7F5E" w14:textId="77777777" w:rsidR="004021AB" w:rsidRDefault="004021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47C9"/>
    <w:multiLevelType w:val="hybridMultilevel"/>
    <w:tmpl w:val="BD8C5710"/>
    <w:lvl w:ilvl="0" w:tplc="9C888D74">
      <w:start w:val="1"/>
      <w:numFmt w:val="bullet"/>
      <w:lvlText w:val="●"/>
      <w:lvlJc w:val="left"/>
      <w:pPr>
        <w:ind w:left="720" w:hanging="360"/>
      </w:pPr>
    </w:lvl>
    <w:lvl w:ilvl="1" w:tplc="FBAE0732">
      <w:start w:val="1"/>
      <w:numFmt w:val="bullet"/>
      <w:lvlText w:val="○"/>
      <w:lvlJc w:val="left"/>
      <w:pPr>
        <w:ind w:left="1440" w:hanging="360"/>
      </w:pPr>
    </w:lvl>
    <w:lvl w:ilvl="2" w:tplc="4C14257C">
      <w:start w:val="1"/>
      <w:numFmt w:val="bullet"/>
      <w:lvlText w:val="■"/>
      <w:lvlJc w:val="left"/>
      <w:pPr>
        <w:ind w:left="2160" w:hanging="360"/>
      </w:pPr>
    </w:lvl>
    <w:lvl w:ilvl="3" w:tplc="8FA29B8A">
      <w:start w:val="1"/>
      <w:numFmt w:val="bullet"/>
      <w:lvlText w:val="●"/>
      <w:lvlJc w:val="left"/>
      <w:pPr>
        <w:ind w:left="2880" w:hanging="360"/>
      </w:pPr>
    </w:lvl>
    <w:lvl w:ilvl="4" w:tplc="9E5A78B6">
      <w:start w:val="1"/>
      <w:numFmt w:val="bullet"/>
      <w:lvlText w:val="○"/>
      <w:lvlJc w:val="left"/>
      <w:pPr>
        <w:ind w:left="3600" w:hanging="360"/>
      </w:pPr>
    </w:lvl>
    <w:lvl w:ilvl="5" w:tplc="5426CC32">
      <w:start w:val="1"/>
      <w:numFmt w:val="bullet"/>
      <w:lvlText w:val="■"/>
      <w:lvlJc w:val="left"/>
      <w:pPr>
        <w:ind w:left="4320" w:hanging="360"/>
      </w:pPr>
    </w:lvl>
    <w:lvl w:ilvl="6" w:tplc="138E6AF8">
      <w:start w:val="1"/>
      <w:numFmt w:val="bullet"/>
      <w:lvlText w:val="●"/>
      <w:lvlJc w:val="left"/>
      <w:pPr>
        <w:ind w:left="5040" w:hanging="360"/>
      </w:pPr>
    </w:lvl>
    <w:lvl w:ilvl="7" w:tplc="068C962E">
      <w:start w:val="1"/>
      <w:numFmt w:val="bullet"/>
      <w:lvlText w:val="●"/>
      <w:lvlJc w:val="left"/>
      <w:pPr>
        <w:ind w:left="5760" w:hanging="360"/>
      </w:pPr>
    </w:lvl>
    <w:lvl w:ilvl="8" w:tplc="EA76724C">
      <w:start w:val="1"/>
      <w:numFmt w:val="bullet"/>
      <w:lvlText w:val="●"/>
      <w:lvlJc w:val="left"/>
      <w:pPr>
        <w:ind w:left="6480" w:hanging="360"/>
      </w:pPr>
    </w:lvl>
  </w:abstractNum>
  <w:abstractNum w:abstractNumId="1" w15:restartNumberingAfterBreak="0">
    <w:nsid w:val="322D1D32"/>
    <w:multiLevelType w:val="hybridMultilevel"/>
    <w:tmpl w:val="99A4D9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4836E0A"/>
    <w:multiLevelType w:val="hybridMultilevel"/>
    <w:tmpl w:val="93E08FDA"/>
    <w:lvl w:ilvl="0" w:tplc="181C5C3E">
      <w:start w:val="1"/>
      <w:numFmt w:val="decimal"/>
      <w:lvlText w:val="%1."/>
      <w:lvlJc w:val="left"/>
      <w:pPr>
        <w:ind w:left="720" w:hanging="360"/>
      </w:pPr>
    </w:lvl>
    <w:lvl w:ilvl="1" w:tplc="261EC2A0">
      <w:numFmt w:val="decimal"/>
      <w:lvlText w:val=""/>
      <w:lvlJc w:val="left"/>
    </w:lvl>
    <w:lvl w:ilvl="2" w:tplc="1A00D58E">
      <w:numFmt w:val="decimal"/>
      <w:lvlText w:val=""/>
      <w:lvlJc w:val="left"/>
    </w:lvl>
    <w:lvl w:ilvl="3" w:tplc="4A1C9F16">
      <w:numFmt w:val="decimal"/>
      <w:lvlText w:val=""/>
      <w:lvlJc w:val="left"/>
    </w:lvl>
    <w:lvl w:ilvl="4" w:tplc="7686567A">
      <w:numFmt w:val="decimal"/>
      <w:lvlText w:val=""/>
      <w:lvlJc w:val="left"/>
    </w:lvl>
    <w:lvl w:ilvl="5" w:tplc="23082FF6">
      <w:numFmt w:val="decimal"/>
      <w:lvlText w:val=""/>
      <w:lvlJc w:val="left"/>
    </w:lvl>
    <w:lvl w:ilvl="6" w:tplc="6C02EA40">
      <w:numFmt w:val="decimal"/>
      <w:lvlText w:val=""/>
      <w:lvlJc w:val="left"/>
    </w:lvl>
    <w:lvl w:ilvl="7" w:tplc="29A0286A">
      <w:numFmt w:val="decimal"/>
      <w:lvlText w:val=""/>
      <w:lvlJc w:val="left"/>
    </w:lvl>
    <w:lvl w:ilvl="8" w:tplc="D4CC10D2">
      <w:numFmt w:val="decimal"/>
      <w:lvlText w:val=""/>
      <w:lvlJc w:val="left"/>
    </w:lvl>
  </w:abstractNum>
  <w:abstractNum w:abstractNumId="3" w15:restartNumberingAfterBreak="0">
    <w:nsid w:val="704716F3"/>
    <w:multiLevelType w:val="multilevel"/>
    <w:tmpl w:val="4A225ABE"/>
    <w:lvl w:ilvl="0">
      <w:start w:val="10"/>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F80E4E"/>
    <w:multiLevelType w:val="hybridMultilevel"/>
    <w:tmpl w:val="00343E86"/>
    <w:lvl w:ilvl="0" w:tplc="F5682AD8">
      <w:start w:val="1"/>
      <w:numFmt w:val="bullet"/>
      <w:lvlText w:val="•"/>
      <w:lvlJc w:val="left"/>
      <w:pPr>
        <w:ind w:left="720" w:hanging="360"/>
      </w:pPr>
    </w:lvl>
    <w:lvl w:ilvl="1" w:tplc="03C85330">
      <w:start w:val="1"/>
      <w:numFmt w:val="bullet"/>
      <w:lvlText w:val="–"/>
      <w:lvlJc w:val="left"/>
      <w:pPr>
        <w:ind w:left="1440" w:hanging="360"/>
      </w:pPr>
    </w:lvl>
    <w:lvl w:ilvl="2" w:tplc="EC923D82">
      <w:numFmt w:val="decimal"/>
      <w:lvlText w:val=""/>
      <w:lvlJc w:val="left"/>
    </w:lvl>
    <w:lvl w:ilvl="3" w:tplc="38B6EC48">
      <w:numFmt w:val="decimal"/>
      <w:lvlText w:val=""/>
      <w:lvlJc w:val="left"/>
    </w:lvl>
    <w:lvl w:ilvl="4" w:tplc="0E82CCD8">
      <w:numFmt w:val="decimal"/>
      <w:lvlText w:val=""/>
      <w:lvlJc w:val="left"/>
    </w:lvl>
    <w:lvl w:ilvl="5" w:tplc="33C6BE14">
      <w:numFmt w:val="decimal"/>
      <w:lvlText w:val=""/>
      <w:lvlJc w:val="left"/>
    </w:lvl>
    <w:lvl w:ilvl="6" w:tplc="84F62F8A">
      <w:numFmt w:val="decimal"/>
      <w:lvlText w:val=""/>
      <w:lvlJc w:val="left"/>
    </w:lvl>
    <w:lvl w:ilvl="7" w:tplc="0764C696">
      <w:numFmt w:val="decimal"/>
      <w:lvlText w:val=""/>
      <w:lvlJc w:val="left"/>
    </w:lvl>
    <w:lvl w:ilvl="8" w:tplc="F89C4600">
      <w:numFmt w:val="decimal"/>
      <w:lvlText w:val=""/>
      <w:lvlJc w:val="left"/>
    </w:lvl>
  </w:abstractNum>
  <w:num w:numId="1" w16cid:durableId="120392701">
    <w:abstractNumId w:val="0"/>
    <w:lvlOverride w:ilvl="0">
      <w:startOverride w:val="1"/>
    </w:lvlOverride>
  </w:num>
  <w:num w:numId="2" w16cid:durableId="743795072">
    <w:abstractNumId w:val="4"/>
    <w:lvlOverride w:ilvl="0">
      <w:startOverride w:val="1"/>
    </w:lvlOverride>
  </w:num>
  <w:num w:numId="3" w16cid:durableId="1451782841">
    <w:abstractNumId w:val="3"/>
  </w:num>
  <w:num w:numId="4" w16cid:durableId="182662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FF"/>
    <w:rsid w:val="001E42E1"/>
    <w:rsid w:val="00253DC4"/>
    <w:rsid w:val="00254461"/>
    <w:rsid w:val="002868E6"/>
    <w:rsid w:val="003453BE"/>
    <w:rsid w:val="003B4045"/>
    <w:rsid w:val="004021AB"/>
    <w:rsid w:val="00421DC5"/>
    <w:rsid w:val="00476B59"/>
    <w:rsid w:val="00672BC6"/>
    <w:rsid w:val="006D4DAF"/>
    <w:rsid w:val="006F0A37"/>
    <w:rsid w:val="007E2167"/>
    <w:rsid w:val="00966062"/>
    <w:rsid w:val="009D728F"/>
    <w:rsid w:val="00A0176A"/>
    <w:rsid w:val="00AD5952"/>
    <w:rsid w:val="00C019FF"/>
    <w:rsid w:val="00D4138F"/>
    <w:rsid w:val="00E148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FC42A49"/>
  <w15:docId w15:val="{88279F56-B05D-094B-B1AD-679B9C8F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343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208591"/>
      <w:sz w:val="32"/>
      <w:szCs w:val="32"/>
    </w:rPr>
  </w:style>
  <w:style w:type="paragraph" w:styleId="Titolo2">
    <w:name w:val="heading 2"/>
    <w:uiPriority w:val="9"/>
    <w:unhideWhenUsed/>
    <w:qFormat/>
    <w:pPr>
      <w:spacing w:before="280" w:after="160"/>
      <w:outlineLvl w:val="1"/>
    </w:pPr>
    <w:rPr>
      <w:b/>
      <w:bCs/>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4021AB"/>
    <w:pPr>
      <w:tabs>
        <w:tab w:val="center" w:pos="4819"/>
        <w:tab w:val="right" w:pos="9638"/>
      </w:tabs>
    </w:pPr>
  </w:style>
  <w:style w:type="character" w:customStyle="1" w:styleId="IntestazioneCarattere">
    <w:name w:val="Intestazione Carattere"/>
    <w:basedOn w:val="Carpredefinitoparagrafo"/>
    <w:link w:val="Intestazione"/>
    <w:uiPriority w:val="99"/>
    <w:rsid w:val="004021AB"/>
  </w:style>
  <w:style w:type="paragraph" w:styleId="Pidipagina">
    <w:name w:val="footer"/>
    <w:basedOn w:val="Normale"/>
    <w:link w:val="PidipaginaCarattere"/>
    <w:uiPriority w:val="99"/>
    <w:unhideWhenUsed/>
    <w:rsid w:val="004021AB"/>
    <w:pPr>
      <w:tabs>
        <w:tab w:val="center" w:pos="4819"/>
        <w:tab w:val="right" w:pos="9638"/>
      </w:tabs>
    </w:pPr>
  </w:style>
  <w:style w:type="character" w:customStyle="1" w:styleId="PidipaginaCarattere">
    <w:name w:val="Piè di pagina Carattere"/>
    <w:basedOn w:val="Carpredefinitoparagrafo"/>
    <w:link w:val="Pidipagina"/>
    <w:uiPriority w:val="99"/>
    <w:rsid w:val="00402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comments" Target="comments.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_rels/header1.xml.rels><?xml version="1.0" encoding="UTF-8"?><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1084</Words>
  <Characters>6183</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Sanvoisin</cp:lastModifiedBy>
  <cp:revision>2</cp:revision>
  <cp:lastPrinted>2026-03-26T16:47:00Z</cp:lastPrinted>
  <dcterms:created xsi:type="dcterms:W3CDTF">2026-04-03T13:53:00Z</dcterms:created>
  <dcterms:modified xsi:type="dcterms:W3CDTF">2026-04-03T13:53:00Z</dcterms:modified>
</cp:coreProperties>
</file>