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2B8C96"/>
          <w:sz w:val="28"/>
          <w:szCs w:val="28"/>
        </w:rPr>
        <w:t xml:space="preserve">HeyAI S.r.l.</w:t>
      </w:r>
    </w:p>
    <w:p>
      <w:pPr>
        <w:spacing w:after="0"/>
      </w:pPr>
      <w:r>
        <w:rPr>
          <w:rFonts w:ascii="Arial" w:cs="Arial" w:eastAsia="Arial" w:hAnsi="Arial"/>
          <w:color w:val="666666"/>
          <w:sz w:val="18"/>
          <w:szCs w:val="18"/>
        </w:rPr>
        <w:t xml:space="preserve">Sede legale: Via Parigi 11, 00185 Roma (RM)</w:t>
      </w:r>
    </w:p>
    <w:p>
      <w:pPr>
        <w:spacing w:after="0"/>
      </w:pPr>
      <w:r>
        <w:rPr>
          <w:rFonts w:ascii="Arial" w:cs="Arial" w:eastAsia="Arial" w:hAnsi="Arial"/>
          <w:color w:val="666666"/>
          <w:sz w:val="18"/>
          <w:szCs w:val="18"/>
        </w:rPr>
        <w:t xml:space="preserve">info@heyaidigital.it | www.heyaidigital.it</w:t>
      </w:r>
    </w:p>
    <w:p>
      <w:pPr>
        <w:spacing w:after="400"/>
      </w:pPr>
      <w:r>
        <w:rPr>
          <w:rFonts w:ascii="Arial" w:cs="Arial" w:eastAsia="Arial" w:hAnsi="Arial"/>
          <w:color w:val="999999"/>
          <w:sz w:val="16"/>
          <w:szCs w:val="16"/>
        </w:rPr>
        <w:t xml:space="preserve">PEC: heyai@pec.it | REA RM – 1751505 | Cod. Fiscale: 17947791004</w:t>
      </w:r>
    </w:p>
    <w:p>
      <w:pPr>
        <w:pBdr>
          <w:bottom w:val="single" w:color="2B8C96" w:sz="2"/>
        </w:pBdr>
        <w:spacing w:after="400"/>
      </w:pPr>
    </w:p>
    <w:p>
      <w:pPr>
        <w:spacing w:after="100" w:before="200"/>
      </w:pPr>
      <w:r>
        <w:rPr>
          <w:rFonts w:ascii="Arial" w:cs="Arial" w:eastAsia="Arial" w:hAnsi="Arial"/>
          <w:b/>
          <w:bCs/>
          <w:color w:val="2B8C96"/>
          <w:sz w:val="36"/>
          <w:szCs w:val="36"/>
        </w:rPr>
        <w:t xml:space="preserve">Proposta di Investimento:</w:t>
      </w:r>
    </w:p>
    <w:p>
      <w:pPr>
        <w:spacing w:after="100"/>
      </w:pPr>
      <w:r>
        <w:rPr>
          <w:rFonts w:ascii="Arial" w:cs="Arial" w:eastAsia="Arial" w:hAnsi="Arial"/>
          <w:b/>
          <w:bCs/>
          <w:color w:val="1A1A1A"/>
          <w:sz w:val="44"/>
          <w:szCs w:val="44"/>
        </w:rPr>
        <w:t xml:space="preserve">Achipont AI — Motore Bandi e Gare</w:t>
      </w:r>
    </w:p>
    <w:p>
      <w:pPr>
        <w:spacing w:after="400"/>
      </w:pPr>
      <w:r>
        <w:rPr>
          <w:rFonts w:ascii="Arial" w:cs="Arial" w:eastAsia="Arial" w:hAnsi="Arial"/>
          <w:i/>
          <w:iCs/>
          <w:color w:val="666666"/>
          <w:sz w:val="24"/>
          <w:szCs w:val="24"/>
        </w:rPr>
        <w:t xml:space="preserve">Sistema intelligente per l’identificazione automatica di gare e bandi in linea con il profilo di Achipont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B8C96"/>
                <w:sz w:val="20"/>
                <w:szCs w:val="20"/>
              </w:rPr>
              <w:t xml:space="preserve">Cliente:</w:t>
            </w:r>
          </w:p>
        </w:tc>
        <w:tc>
          <w:tcPr>
            <w:tcW w:type="dxa" w:w="6526"/>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Achipont S.r.l.</w:t>
            </w:r>
          </w:p>
        </w:tc>
      </w:tr>
      <w:tr>
        <w:tc>
          <w:tcPr>
            <w:tcW w:type="dxa" w:w="25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B8C96"/>
                <w:sz w:val="20"/>
                <w:szCs w:val="20"/>
              </w:rPr>
              <w:t xml:space="preserve">Riferimento:</w:t>
            </w:r>
          </w:p>
        </w:tc>
        <w:tc>
          <w:tcPr>
            <w:tcW w:type="dxa" w:w="6526"/>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Sig. Luigi [TODO: cognome] — produzione@achipont.it</w:t>
            </w:r>
          </w:p>
        </w:tc>
      </w:tr>
      <w:tr>
        <w:tc>
          <w:tcPr>
            <w:tcW w:type="dxa" w:w="25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B8C96"/>
                <w:sz w:val="20"/>
                <w:szCs w:val="20"/>
              </w:rPr>
              <w:t xml:space="preserve">Data:</w:t>
            </w:r>
          </w:p>
        </w:tc>
        <w:tc>
          <w:tcPr>
            <w:tcW w:type="dxa" w:w="6526"/>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Maggio 2026</w:t>
            </w:r>
          </w:p>
        </w:tc>
      </w:tr>
      <w:tr>
        <w:tc>
          <w:tcPr>
            <w:tcW w:type="dxa" w:w="25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B8C96"/>
                <w:sz w:val="20"/>
                <w:szCs w:val="20"/>
              </w:rPr>
              <w:t xml:space="preserve">Rif. Documento:</w:t>
            </w:r>
          </w:p>
        </w:tc>
        <w:tc>
          <w:tcPr>
            <w:tcW w:type="dxa" w:w="6526"/>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ACH-RM-2026-001</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317" w:sz="2"/>
              <w:left w:val="single" w:color="CCCCCC" w:sz="1"/>
              <w:bottom w:val="single" w:color="CCCCCC" w:sz="1"/>
              <w:right w:val="single" w:color="CCCCCC" w:sz="1"/>
            </w:tcBorders>
            <w:shd w:fill="FFF8E7" w:val="clear"/>
            <w:tcMar>
              <w:top w:type="dxa" w:w="120"/>
              <w:left w:type="dxa" w:w="200"/>
              <w:bottom w:type="dxa" w:w="120"/>
              <w:right w:type="dxa" w:w="200"/>
            </w:tcMar>
          </w:tcPr>
          <w:p>
            <w:pPr>
              <w:spacing w:after="60"/>
            </w:pPr>
            <w:r>
              <w:rPr>
                <w:rFonts w:ascii="Arial" w:cs="Arial" w:eastAsia="Arial" w:hAnsi="Arial"/>
                <w:b/>
                <w:bCs/>
                <w:color w:val="B8860B"/>
                <w:sz w:val="20"/>
                <w:szCs w:val="20"/>
              </w:rPr>
              <w:t xml:space="preserve">BOZZA INTERNA — NON INVIARE AL CLIENTE</w:t>
            </w:r>
          </w:p>
          <w:p>
            <w:r>
              <w:rPr>
                <w:rFonts w:ascii="Arial" w:cs="Arial" w:eastAsia="Arial" w:hAnsi="Arial"/>
                <w:i/>
                <w:iCs/>
                <w:color w:val="666666"/>
                <w:sz w:val="18"/>
                <w:szCs w:val="18"/>
              </w:rPr>
              <w:t xml:space="preserve">Documento di lavoro. Tutti i campi marcati [TODO: …] vanno completati prima dell’invio. Pricing e tempistiche da consolidare in seguito alla risposta Silencio (5/5/2026) e alla validazione del perimetro con il cliente.</w:t>
            </w:r>
          </w:p>
        </w:tc>
      </w:tr>
    </w:tbl>
    <w:p>
      <w:pPr>
        <w:spacing w:after="200"/>
      </w:pPr>
    </w:p>
    <w:p>
      <w:r>
        <w:br w:type="page"/>
      </w:r>
    </w:p>
    <w:p>
      <w:pPr>
        <w:pStyle w:val="Heading1"/>
        <w:spacing w:after="200" w:before="200"/>
      </w:pPr>
      <w:r>
        <w:rPr>
          <w:rFonts w:ascii="Arial" w:cs="Arial" w:eastAsia="Arial" w:hAnsi="Arial"/>
          <w:b/>
          <w:bCs/>
          <w:color w:val="2B8C96"/>
          <w:sz w:val="32"/>
          <w:szCs w:val="32"/>
        </w:rPr>
        <w:t xml:space="preserve">1. Oggetto della Proposta</w:t>
      </w:r>
    </w:p>
    <w:p>
      <w:pPr>
        <w:spacing w:after="200"/>
      </w:pPr>
      <w:r>
        <w:rPr>
          <w:rFonts w:ascii="Arial" w:cs="Arial" w:eastAsia="Arial" w:hAnsi="Arial"/>
          <w:sz w:val="20"/>
          <w:szCs w:val="20"/>
        </w:rPr>
        <w:t xml:space="preserve">La presente proposta riguarda lo sviluppo di un sistema di intelligenza artificiale, costruito su misura per Achipont, capace di identificare automaticamente le opportunità di gare d’appalto pubbliche e bandi privati realmente coerenti con il profilo, le competenze e i limiti operativi dell’azienda.</w:t>
      </w:r>
    </w:p>
    <w:p>
      <w:pPr>
        <w:spacing w:after="200"/>
      </w:pPr>
      <w:r>
        <w:rPr>
          <w:rFonts w:ascii="Arial" w:cs="Arial" w:eastAsia="Arial" w:hAnsi="Arial"/>
          <w:sz w:val="20"/>
          <w:szCs w:val="20"/>
        </w:rPr>
        <w:t xml:space="preserve">Lo strumento non è un semplice aggregatore di bandi. È un agente AI personalizzato che, ogni giorno, raccoglie, filtra, analizza e seleziona le sole opportunità in target per Achipont — con un livello di precisione che strumenti generici come Pronto Pro non possono offrire — restituendovi una shortlist di gare pronte per essere valutate.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8C96" w:sz="3"/>
              <w:left w:val="single" w:color="CCCCCC" w:sz="1"/>
              <w:bottom w:val="single" w:color="CCCCCC" w:sz="1"/>
              <w:right w:val="single" w:color="CCCCCC" w:sz="1"/>
            </w:tcBorders>
            <w:shd w:fill="E8F4F6" w:val="clear"/>
            <w:tcMar>
              <w:top w:type="dxa" w:w="120"/>
              <w:left w:type="dxa" w:w="200"/>
              <w:bottom w:type="dxa" w:w="120"/>
              <w:right w:type="dxa" w:w="200"/>
            </w:tcMar>
          </w:tcPr>
          <w:p>
            <w:pPr>
              <w:spacing w:after="100"/>
            </w:pPr>
            <w:r>
              <w:rPr>
                <w:rFonts w:ascii="Arial" w:cs="Arial" w:eastAsia="Arial" w:hAnsi="Arial"/>
                <w:b/>
                <w:bCs/>
                <w:color w:val="2B8C96"/>
                <w:sz w:val="22"/>
                <w:szCs w:val="22"/>
              </w:rPr>
              <w:t xml:space="preserve">Perché un motore AI dedicato?</w:t>
            </w:r>
          </w:p>
          <w:p>
            <w:pPr>
              <w:spacing w:after="60"/>
            </w:pPr>
            <w:r>
              <w:rPr>
                <w:rFonts w:ascii="Arial" w:cs="Arial" w:eastAsia="Arial" w:hAnsi="Arial"/>
                <w:color w:val="1A1A1A"/>
                <w:sz w:val="20"/>
                <w:szCs w:val="20"/>
              </w:rPr>
              <w:t xml:space="preserve">Oggi la ricerca di gare è manuale, occasionale e fortemente dipendente dal tempo libero del titolare. Molte opportunità in target passano inosservate; quelle valutate richiedono ore di lettura di documenti tecnici di centinaia di pagine. Il motore AI Achipont automatizza la prima parte di questo processo, permettendovi di concentrare il tempo di analisi solo sulle gare effettivamente vincibili.</w:t>
            </w:r>
          </w:p>
        </w:tc>
      </w:tr>
    </w:tbl>
    <w:p>
      <w:pPr>
        <w:spacing w:after="200"/>
      </w:pPr>
    </w:p>
    <w:p>
      <w:pPr>
        <w:pStyle w:val="Heading1"/>
        <w:spacing w:after="200" w:before="200"/>
      </w:pPr>
      <w:r>
        <w:rPr>
          <w:rFonts w:ascii="Arial" w:cs="Arial" w:eastAsia="Arial" w:hAnsi="Arial"/>
          <w:b/>
          <w:bCs/>
          <w:color w:val="2B8C96"/>
          <w:sz w:val="32"/>
          <w:szCs w:val="32"/>
        </w:rPr>
        <w:t xml:space="preserve">2. Perimetro e Risultati Attesi</w:t>
      </w:r>
    </w:p>
    <w:p>
      <w:pPr>
        <w:spacing w:after="200"/>
      </w:pPr>
      <w:r>
        <w:rPr>
          <w:rFonts w:ascii="Arial" w:cs="Arial" w:eastAsia="Arial" w:hAnsi="Arial"/>
          <w:sz w:val="20"/>
          <w:szCs w:val="20"/>
        </w:rPr>
        <w:t xml:space="preserve">La piattaforma copre tre aree complementari, calibrate sul profilo specifico di Achipont (fino a € 250.000 di soglia appalti pubblici, certificazioni ISO 9001/14001/45001/SA8000, specializzazioni in ponteggi, restauri e pronti interventi):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8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Obiettivo</w:t>
            </w:r>
          </w:p>
        </w:tc>
        <w:tc>
          <w:tcPr>
            <w:tcW w:type="dxa" w:w="3826"/>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Cosa monitora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APPALTI PUBBLICI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Vincere lavori entro la soglia € 250K</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BDNCP / ANAC, MEPA, Sovrintendenza, SOGIN, ADR, Senato, [TODO: altri albi pubblici da confermare]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ALBI PRIVATI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Intercettare richieste di big buyer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Poste, ENI, [TODO: lista completa albi privati da raccogliere con cliente]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PRONTI INTERVENTI / NICCHIE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Selezionare lavori ad alto margine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Restauro monumenti, sovrintendenze, post-emergenza, ponteggi specialistici</w:t>
            </w:r>
          </w:p>
        </w:tc>
      </w:tr>
    </w:tbl>
    <w:p>
      <w:pPr>
        <w:spacing w:after="200"/>
      </w:pPr>
    </w:p>
    <w:p>
      <w:pPr>
        <w:pStyle w:val="Heading1"/>
        <w:spacing w:after="200" w:before="200"/>
      </w:pPr>
      <w:r>
        <w:rPr>
          <w:rFonts w:ascii="Arial" w:cs="Arial" w:eastAsia="Arial" w:hAnsi="Arial"/>
          <w:b/>
          <w:bCs/>
          <w:color w:val="2B8C96"/>
          <w:sz w:val="32"/>
          <w:szCs w:val="32"/>
        </w:rPr>
        <w:t xml:space="preserve">3. Soluzione Tecnica</w:t>
      </w:r>
    </w:p>
    <w:p>
      <w:pPr>
        <w:spacing w:after="200"/>
      </w:pPr>
      <w:r>
        <w:rPr>
          <w:rFonts w:ascii="Arial" w:cs="Arial" w:eastAsia="Arial" w:hAnsi="Arial"/>
          <w:sz w:val="20"/>
          <w:szCs w:val="20"/>
        </w:rPr>
        <w:t xml:space="preserve">L’architettura si basa su fonti dati ufficiali e API certificate, garantendo conformità legale e qualità dei dati. La soluzione è modulare: il primo rilascio (Modulo A) copre l’identificazione e il filtraggio intelligente; i moduli evolutivi sono attivabili in fase due secondo l’effettivo ritorno percepito.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Modulo</w:t>
            </w:r>
          </w:p>
        </w:tc>
        <w:tc>
          <w:tcPr>
            <w:tcW w:type="dxa" w:w="6026"/>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Descrizione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Modulo A — Raccolta e aggregazione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Connessione automatica alle fonti pubbliche prioritarie (BDNCP/ANAC, MEPA, fonti istituzionali) con aggiornamento giornaliero dei bandi rilevanti.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Modulo A — Filtraggio intelligente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Prefiltri deterministici sul profilo Achipont: codici di gara pertinenti, soglia massima € 250K, area geografica [TODO: confermare — Roma/Lazio + estensioni], esclusione categorie non in target.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Modulo A — AI Scoring semantico</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LLM che analizza il testo completo di ogni bando in shortlist, applica le regole di selezione condivise con voi (e con il vostro architetto di fiducia) e genera uno scoring 0-100% con sintesi operativa.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Modulo A — Interfaccia web e configurazione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Console web protetta da autenticazione, lista delle opportunità, scheda di dettaglio del bando, configurazione del profilo aziendale, trigger manuale di ricerca.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Moduli evolutivi (Fase 2)</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Chat AI con memoria sui documenti di gara (RAG), generazione assistita della documentazione di risposta, integrazione con portali aggiuntivi (ADR, ENI, Poste, Senato), apertura mercato europeo (TED). Quotati separatamente in fase 2.</w:t>
            </w:r>
          </w:p>
        </w:tc>
      </w:tr>
    </w:tbl>
    <w:p>
      <w:pPr>
        <w:spacing w:after="200"/>
      </w:pPr>
    </w:p>
    <w:p>
      <w:pPr>
        <w:pStyle w:val="Heading1"/>
        <w:spacing w:after="200" w:before="200"/>
      </w:pPr>
      <w:r>
        <w:rPr>
          <w:rFonts w:ascii="Arial" w:cs="Arial" w:eastAsia="Arial" w:hAnsi="Arial"/>
          <w:b/>
          <w:bCs/>
          <w:color w:val="2B8C96"/>
          <w:sz w:val="32"/>
          <w:szCs w:val="32"/>
        </w:rPr>
        <w:t xml:space="preserve">4. Fonti Dati di Riferimento</w:t>
      </w:r>
    </w:p>
    <w:p>
      <w:pPr>
        <w:spacing w:after="200"/>
      </w:pPr>
      <w:r>
        <w:rPr>
          <w:rFonts w:ascii="Arial" w:cs="Arial" w:eastAsia="Arial" w:hAnsi="Arial"/>
          <w:sz w:val="20"/>
          <w:szCs w:val="20"/>
        </w:rPr>
        <w:t xml:space="preserve">Il primo rilascio si concentra sulle fonti ad alta copertura per il vostro settore. Le altre fonti (albi privati, Senato, ADR) saranno valutate in fase di analisi preliminare e potranno entrare in fase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26"/>
        <w:gridCol w:w="1800"/>
      </w:tblGrid>
      <w:tr>
        <w:tc>
          <w:tcPr>
            <w:tcW w:type="dxa" w:w="24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Fonte</w:t>
            </w:r>
          </w:p>
        </w:tc>
        <w:tc>
          <w:tcPr>
            <w:tcW w:type="dxa" w:w="16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Copertura</w:t>
            </w:r>
          </w:p>
        </w:tc>
        <w:tc>
          <w:tcPr>
            <w:tcW w:type="dxa" w:w="3226"/>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Contenuto</w:t>
            </w:r>
          </w:p>
        </w:tc>
        <w:tc>
          <w:tcPr>
            <w:tcW w:type="dxa" w:w="18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BDNCP / ANAC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Italia</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Banca Dati Nazionale Contratti Pubblici — fonte autoritativa appalti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Modulo 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MEPA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Italia</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Mercato Elettronico PA, ~80-90% delle gare in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Modulo 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Sovrintendenza / Belle Arti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Italia</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Bandi specialistici per restauri e monumenti storici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[TODO: validare]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SOGIN / ADR / Senato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Italia</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Albi specialistici (energia, aeroporto, istituzionale)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Fase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Albi privati (Poste, ENI, …)</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Italia</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Richieste fornitori di grandi gruppi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TED Open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Europa (UE 27)</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Gare sopra soglia europea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Opzionale</w:t>
            </w:r>
          </w:p>
        </w:tc>
      </w:tr>
    </w:tbl>
    <w:p>
      <w:pPr>
        <w:spacing w:after="100"/>
      </w:pPr>
    </w:p>
    <w:p>
      <w:pPr>
        <w:spacing w:after="200"/>
      </w:pPr>
      <w:r>
        <w:rPr>
          <w:rFonts w:ascii="Arial" w:cs="Arial" w:eastAsia="Arial" w:hAnsi="Arial"/>
          <w:i/>
          <w:iCs/>
          <w:color w:val="666666"/>
          <w:sz w:val="18"/>
          <w:szCs w:val="18"/>
        </w:rPr>
        <w:t xml:space="preserve">Nota: l’accesso ad alcune fonti (ANAC tramite PDND, albi privati con autenticazione dedicata) può richiedere accreditamento o procedure dedicate. Queste dipendenze esterne saranno gestite in parallelo allo sviluppo per minimizzare l’impatto sulla timeline.</w:t>
      </w:r>
    </w:p>
    <w:p>
      <w:r>
        <w:br w:type="page"/>
      </w:r>
    </w:p>
    <w:p>
      <w:pPr>
        <w:pStyle w:val="Heading1"/>
        <w:spacing w:after="200" w:before="200"/>
      </w:pPr>
      <w:r>
        <w:rPr>
          <w:rFonts w:ascii="Arial" w:cs="Arial" w:eastAsia="Arial" w:hAnsi="Arial"/>
          <w:b/>
          <w:bCs/>
          <w:color w:val="2B8C96"/>
          <w:sz w:val="32"/>
          <w:szCs w:val="32"/>
        </w:rPr>
        <w:t xml:space="preserve">5. Piano di Lavoro</w:t>
      </w:r>
    </w:p>
    <w:p>
      <w:pPr>
        <w:spacing w:after="200"/>
      </w:pPr>
      <w:r>
        <w:rPr>
          <w:rFonts w:ascii="Arial" w:cs="Arial" w:eastAsia="Arial" w:hAnsi="Arial"/>
          <w:sz w:val="20"/>
          <w:szCs w:val="20"/>
        </w:rPr>
        <w:t xml:space="preserve">Lo sviluppo del Modulo A segue un approccio agile articolato in 4 fasi, per un totale di circa 12 settimane (3 mesi) dalla firma del contratto.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c>
          <w:tcPr>
            <w:tcW w:type="dxa" w:w="26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16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Durata</w:t>
            </w:r>
          </w:p>
        </w:tc>
        <w:tc>
          <w:tcPr>
            <w:tcW w:type="dxa" w:w="4826"/>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Foundation &amp; Data Pipeline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settimane</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Architettura, autenticazione, ingestione fonti dati prioritarie (BDNCP, MEPA), prefiltri deterministici, pipeline di aggregazione.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AI Engine &amp; Scoring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settimane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Motore AI semantico, definizione regole di filtraggio personalizzate sul profilo Achipont (con il vostro coinvolgimento e quello dell’architetto di fiducia), sistema di scoring.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Interfaccia Web &amp; Configurazione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settimane</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Console web, scheda bando, configurazione profilo aziendale, trigger di ricerca, sistema di notifiche.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Testing, UAT &amp; Go-Live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settimane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Testing congiunto su bandi reali, ottimizzazione regole di scoring, training operativo, lancio in produzione.</w:t>
            </w:r>
          </w:p>
        </w:tc>
      </w:tr>
      <w:tr>
        <w:tc>
          <w:tcPr>
            <w:tcW w:type="dxa" w:w="260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TOTALE</w:t>
            </w:r>
          </w:p>
        </w:tc>
        <w:tc>
          <w:tcPr>
            <w:tcW w:type="dxa" w:w="160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~12 settimane</w:t>
            </w:r>
          </w:p>
        </w:tc>
        <w:tc>
          <w:tcPr>
            <w:tcW w:type="dxa" w:w="4826"/>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Modulo A operativo, integrato nei flussi Achipont</w:t>
            </w:r>
          </w:p>
        </w:tc>
      </w:tr>
    </w:tbl>
    <w:p>
      <w:pPr>
        <w:spacing w:after="200"/>
      </w:pPr>
    </w:p>
    <w:p>
      <w:pPr>
        <w:pStyle w:val="Heading1"/>
        <w:spacing w:after="200" w:before="200"/>
      </w:pPr>
      <w:r>
        <w:rPr>
          <w:rFonts w:ascii="Arial" w:cs="Arial" w:eastAsia="Arial" w:hAnsi="Arial"/>
          <w:b/>
          <w:bCs/>
          <w:color w:val="2B8C96"/>
          <w:sz w:val="32"/>
          <w:szCs w:val="32"/>
        </w:rPr>
        <w:t xml:space="preserve">6. Investimento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8C96" w:sz="3"/>
              <w:left w:val="single" w:color="CCCCCC" w:sz="1"/>
              <w:bottom w:val="single" w:color="CCCCCC" w:sz="1"/>
              <w:right w:val="single" w:color="CCCCCC" w:sz="1"/>
            </w:tcBorders>
            <w:shd w:fill="E8F4F6" w:val="clear"/>
            <w:tcMar>
              <w:top w:type="dxa" w:w="120"/>
              <w:left w:type="dxa" w:w="200"/>
              <w:bottom w:type="dxa" w:w="120"/>
              <w:right w:type="dxa" w:w="200"/>
            </w:tcMar>
          </w:tcPr>
          <w:p>
            <w:pPr>
              <w:spacing w:after="80"/>
            </w:pPr>
            <w:r>
              <w:rPr>
                <w:rFonts w:ascii="Arial" w:cs="Arial" w:eastAsia="Arial" w:hAnsi="Arial"/>
                <w:b/>
                <w:bCs/>
                <w:color w:val="2B8C96"/>
                <w:sz w:val="22"/>
                <w:szCs w:val="22"/>
              </w:rPr>
              <w:t xml:space="preserve">Modello a costo ridotto: Licenza d’uso</w:t>
            </w:r>
          </w:p>
          <w:p>
            <w:r>
              <w:rPr>
                <w:rFonts w:ascii="Arial" w:cs="Arial" w:eastAsia="Arial" w:hAnsi="Arial"/>
                <w:color w:val="1A1A1A"/>
                <w:sz w:val="20"/>
                <w:szCs w:val="20"/>
              </w:rPr>
              <w:t xml:space="preserve">HeyAI mantiene la proprietà intellettuale del motore AI di base e concede ad Achipont una licenza d’uso esclusiva e illimitata della piattaforma, comprensiva di tutte le personalizzazioni sviluppate ad hoc sul vostro profilo aziendale. Questo modello consente di accedere a una soluzione tecnologica avanzata a una frazione del costo di sviluppo completo.</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Voce</w:t>
            </w:r>
          </w:p>
        </w:tc>
        <w:tc>
          <w:tcPr>
            <w:tcW w:type="dxa" w:w="3526"/>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Importo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Modulo A — Sviluppo, configurazione, personalizzazione e interfaccia web</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[TODO: € 38.000 – € 45.000]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Project management e change management lato HeyAI</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Incluso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Servizi AI/ML (API LLM per scoring semantico)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Incluso (3 mesi)</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Infrastruttura cloud (setup + 3 mesi operatività)</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Incluso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Sessione di training operativo per il vostro team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Incluso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TOTALE PROGETTO (Modulo A)</w:t>
            </w:r>
          </w:p>
        </w:tc>
        <w:tc>
          <w:tcPr>
            <w:tcW w:type="dxa" w:w="3526"/>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vAlign w:val="center"/>
          </w:tcPr>
          <w:p>
            <w:pPr>
              <w:jc w:val="right"/>
            </w:pPr>
            <w:r>
              <w:rPr>
                <w:rFonts w:ascii="Arial" w:cs="Arial" w:eastAsia="Arial" w:hAnsi="Arial"/>
                <w:b/>
                <w:bCs/>
                <w:color w:val="2B8C96"/>
                <w:sz w:val="22"/>
                <w:szCs w:val="22"/>
              </w:rPr>
              <w:t xml:space="preserve">[TODO: € 38.000 – € 45.000]</w:t>
            </w:r>
          </w:p>
        </w:tc>
      </w:tr>
    </w:tbl>
    <w:p>
      <w:pPr>
        <w:spacing w:after="100"/>
      </w:pPr>
    </w:p>
    <w:p>
      <w:pPr>
        <w:spacing w:after="200"/>
      </w:pPr>
      <w:r>
        <w:rPr>
          <w:rFonts w:ascii="Arial" w:cs="Arial" w:eastAsia="Arial" w:hAnsi="Arial"/>
          <w:i/>
          <w:iCs/>
          <w:color w:val="666666"/>
          <w:sz w:val="18"/>
          <w:szCs w:val="18"/>
        </w:rPr>
        <w:t xml:space="preserve">Nota: il prezzo definitivo sarà consolidato al completamento dell’analisi preliminare (volumi giornalieri reali di bandi, criteri di filtraggio specifici, numero finale di fonti integrate nel Modulo A). Il range riflette la variabilità legata alla complessità delle regole AI e alle integrazioni richieste.</w:t>
      </w:r>
    </w:p>
    <w:p>
      <w:pPr>
        <w:spacing w:after="100" w:before="100"/>
      </w:pPr>
      <w:r>
        <w:rPr>
          <w:rFonts w:ascii="Arial" w:cs="Arial" w:eastAsia="Arial" w:hAnsi="Arial"/>
          <w:b/>
          <w:bCs/>
          <w:color w:val="1A1A1A"/>
          <w:sz w:val="20"/>
          <w:szCs w:val="20"/>
        </w:rPr>
        <w:t xml:space="preserve">Incluso nell’investimento:</w:t>
      </w:r>
    </w:p>
    <w:p>
      <w:pPr>
        <w:spacing w:after="60"/>
      </w:pPr>
      <w:r>
        <w:rPr>
          <w:rFonts w:ascii="Arial" w:cs="Arial" w:eastAsia="Arial" w:hAnsi="Arial"/>
          <w:sz w:val="20"/>
          <w:szCs w:val="20"/>
        </w:rPr>
        <w:t xml:space="preserve">Licenza d’uso esclusiva e illimitata, personalizzazioni su misura, documentazione tecnica e operativa, sessione di training per il team Achipont, 2 mesi di assistenza post-lancio (bug fixing e supporto operativo).</w:t>
      </w:r>
    </w:p>
    <w:p>
      <w:pPr>
        <w:spacing w:after="100" w:before="200"/>
      </w:pPr>
      <w:r>
        <w:rPr>
          <w:rFonts w:ascii="Arial" w:cs="Arial" w:eastAsia="Arial" w:hAnsi="Arial"/>
          <w:b/>
          <w:bCs/>
          <w:color w:val="1A1A1A"/>
          <w:sz w:val="20"/>
          <w:szCs w:val="20"/>
        </w:rPr>
        <w:t xml:space="preserve">Costi ricorrenti post go-live:</w:t>
      </w:r>
    </w:p>
    <w:p>
      <w:pPr>
        <w:spacing w:after="200"/>
      </w:pPr>
      <w:r>
        <w:rPr>
          <w:rFonts w:ascii="Arial" w:cs="Arial" w:eastAsia="Arial" w:hAnsi="Arial"/>
          <w:sz w:val="20"/>
          <w:szCs w:val="20"/>
        </w:rPr>
        <w:t xml:space="preserve">Hosting cloud, manutenzione ordinaria e consumo token AI saranno fatturati tramite pacchetto manutenzione dedicato, [TODO: cifra mensile da definire dopo risposta Silencio — ipotesi € 250-400/mese forfait, includendo evolutive minori].</w:t>
      </w:r>
    </w:p>
    <w:p>
      <w:pPr>
        <w:spacing w:after="100" w:before="200"/>
      </w:pPr>
      <w:r>
        <w:rPr>
          <w:rFonts w:ascii="Arial" w:cs="Arial" w:eastAsia="Arial" w:hAnsi="Arial"/>
          <w:b/>
          <w:bCs/>
          <w:color w:val="1A1A1A"/>
          <w:sz w:val="20"/>
          <w:szCs w:val="20"/>
        </w:rPr>
        <w:t xml:space="preserve">Sviluppi futuri (Fase 2 — opzionali):</w:t>
      </w:r>
    </w:p>
    <w:p>
      <w:pPr>
        <w:spacing w:after="200"/>
      </w:pPr>
      <w:r>
        <w:rPr>
          <w:rFonts w:ascii="Arial" w:cs="Arial" w:eastAsia="Arial" w:hAnsi="Arial"/>
          <w:sz w:val="20"/>
          <w:szCs w:val="20"/>
        </w:rPr>
        <w:t xml:space="preserve">Chat AI con memoria documentale (RAG), generazione assistita della documentazione di risposta, integrazioni con albi privati, apertura mercato europeo. Quotazione separata sulla base dell’effettivo perimetro richiesto e del valore generato dal Modulo A.</w:t>
      </w:r>
    </w:p>
    <w:p>
      <w:pPr>
        <w:spacing w:after="200"/>
      </w:pPr>
    </w:p>
    <w:p>
      <w:pPr>
        <w:pStyle w:val="Heading1"/>
        <w:spacing w:after="200" w:before="200"/>
      </w:pPr>
      <w:r>
        <w:rPr>
          <w:rFonts w:ascii="Arial" w:cs="Arial" w:eastAsia="Arial" w:hAnsi="Arial"/>
          <w:b/>
          <w:bCs/>
          <w:color w:val="2B8C96"/>
          <w:sz w:val="32"/>
          <w:szCs w:val="32"/>
        </w:rPr>
        <w:t xml:space="preserve">7. Modalità di Pagamento</w:t>
      </w:r>
    </w:p>
    <w:p>
      <w:pPr>
        <w:spacing w:after="200"/>
      </w:pPr>
      <w:r>
        <w:rPr>
          <w:rFonts w:ascii="Arial" w:cs="Arial" w:eastAsia="Arial" w:hAnsi="Arial"/>
          <w:sz w:val="20"/>
          <w:szCs w:val="20"/>
        </w:rPr>
        <w:t xml:space="preserve">Il pagamento è articolato in 3 tranche legate alle milestone di progetto, garantendo trasparenza e allineamento tra investimento e avanzamento lavori: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263"/>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Quota</w:t>
            </w:r>
          </w:p>
        </w:tc>
        <w:tc>
          <w:tcPr>
            <w:tcW w:type="dxa" w:w="2263"/>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Rif. Range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alla firma del contratto / inizio lavori</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40%</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[TODO: € 15.200 – € 18.000]</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all’ingresso in fase di Testing &amp; UAT</w:t>
            </w:r>
          </w:p>
        </w:tc>
        <w:tc>
          <w:tcPr>
            <w:tcW w:type="dxa" w:w="2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2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[TODO: € 11.400 – € 13.500]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alla consegna definitiva post go-live</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[TODO: € 11.400 – € 13.500]</w:t>
            </w:r>
          </w:p>
        </w:tc>
      </w:tr>
    </w:tbl>
    <w:p>
      <w:pPr>
        <w:spacing w:after="200"/>
      </w:pPr>
    </w:p>
    <w:p>
      <w:pPr>
        <w:pStyle w:val="Heading1"/>
        <w:spacing w:after="200" w:before="200"/>
      </w:pPr>
      <w:r>
        <w:rPr>
          <w:rFonts w:ascii="Arial" w:cs="Arial" w:eastAsia="Arial" w:hAnsi="Arial"/>
          <w:b/>
          <w:bCs/>
          <w:color w:val="2B8C96"/>
          <w:sz w:val="32"/>
          <w:szCs w:val="32"/>
        </w:rPr>
        <w:t xml:space="preserve">8. Vantaggi Competitivi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Vantaggio</w:t>
            </w:r>
          </w:p>
        </w:tc>
        <w:tc>
          <w:tcPr>
            <w:tcW w:type="dxa" w:w="6026"/>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Dettaglio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Personalizzato sul profilo Achipont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Filtri sul vostro perimetro reale: soglia € 250K, codici di gara pertinenti, area geografica, certificazioni. Niente “mail spazzatura” come l’esperienza precedente.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AI che seleziona, non solo cerca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L’Agent legge il contenuto completo del bando, applica le vostre regole e produce uno scoring con sintesi operativa, risparmiando ore di analisi manuale.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Dipendente virtuale h24</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Lavora ogni giorno per voi, anche nei weekend, e migliora nel tempo grazie al feedback sulle gare effettivamente vinte.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ROI tangibile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È sufficiente intercettare 1–2 gare aggiuntive l’anno, anche su lavori medi (€ 150-200K) con margine 10-25%, per ripagare l’investimento entro il primo anno di attività.</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Solo dati ufficiali, zero rischi legali</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Solo API ufficiali e fonti istituzionali certificate. Nessun scraping su portali protetti, nessuna violazione di termini di servizio.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Operativo in ~12 settimane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Modulo A funzionante e integrato nei vostri flussi operativi entro 3 mesi dalla firma.</w:t>
            </w:r>
          </w:p>
        </w:tc>
      </w:tr>
    </w:tbl>
    <w:p>
      <w:pPr>
        <w:spacing w:after="200"/>
      </w:pPr>
    </w:p>
    <w:p>
      <w:pPr>
        <w:pStyle w:val="Heading1"/>
        <w:spacing w:after="200" w:before="200"/>
      </w:pPr>
      <w:r>
        <w:rPr>
          <w:rFonts w:ascii="Arial" w:cs="Arial" w:eastAsia="Arial" w:hAnsi="Arial"/>
          <w:b/>
          <w:bCs/>
          <w:color w:val="2B8C96"/>
          <w:sz w:val="32"/>
          <w:szCs w:val="32"/>
        </w:rPr>
        <w:t xml:space="preserve">9. Condizioni Generali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Condizione</w:t>
            </w:r>
          </w:p>
        </w:tc>
        <w:tc>
          <w:tcPr>
            <w:tcW w:type="dxa" w:w="6026"/>
            <w:tcBorders>
              <w:top w:val="single" w:color="CCCCCC" w:sz="1"/>
              <w:left w:val="single" w:color="CCCCCC" w:sz="1"/>
              <w:bottom w:val="single" w:color="CCCCCC" w:sz="1"/>
              <w:right w:val="single" w:color="CCCCCC" w:sz="1"/>
            </w:tcBorders>
            <w:shd w:fill="2B8C96" w:val="clear"/>
            <w:tcMar>
              <w:top w:type="dxa" w:w="80"/>
              <w:left w:type="dxa" w:w="120"/>
              <w:bottom w:type="dxa" w:w="80"/>
              <w:right w:type="dxa" w:w="120"/>
            </w:tcMar>
            <w:vAlign w:val="center"/>
          </w:tcPr>
          <w:p>
            <w:r>
              <w:rPr>
                <w:rFonts w:ascii="Arial" w:cs="Arial" w:eastAsia="Arial" w:hAnsi="Arial"/>
                <w:b/>
                <w:bCs/>
                <w:color w:val="FFFFFF"/>
                <w:sz w:val="20"/>
                <w:szCs w:val="20"/>
              </w:rPr>
              <w:t xml:space="preserve">Dettaglio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Tempi di consegna</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 settimane dalla firma del contratto (Modulo A operativo)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Proprietà intellettuale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Licenza d’uso esclusiva e illimitata concessa al Cliente. La IP del motore AI di base resta di HeyAI. Tutte le configurazioni e regole AI sviluppate per Achipont sono di proprietà esclusiva del Cliente.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Garanzia</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mesi di assistenza post-lancio inclusa (bug fixing e supporto operativo)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Costi ricorrenti post-MVP</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[TODO: pacchetto manutenzione + hosting + token — € 250-400/mese da consolidare]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Change request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Modifiche allo scope saranno quotate separatamente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Validità offerta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giorni dalla data del presente documento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Stakeholder lato Cliente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 Luigi (founder), Responsabile operativa, Architetto di fiducia [TODO: nome] per validazione regole filtraggio</w:t>
            </w:r>
          </w:p>
        </w:tc>
      </w:tr>
    </w:tbl>
    <w:p>
      <w:pPr>
        <w:spacing w:after="400"/>
      </w:pPr>
    </w:p>
    <w:p>
      <w:pPr>
        <w:pBdr>
          <w:bottom w:val="single" w:color="2B8C96" w:sz="2"/>
        </w:pBdr>
        <w:spacing w:after="200" w:before="200"/>
      </w:pPr>
    </w:p>
    <w:p>
      <w:pPr>
        <w:spacing w:after="100"/>
      </w:pPr>
      <w:r>
        <w:rPr>
          <w:rFonts w:ascii="Arial" w:cs="Arial" w:eastAsia="Arial" w:hAnsi="Arial"/>
          <w:color w:val="1A1A1A"/>
          <w:sz w:val="20"/>
          <w:szCs w:val="20"/>
        </w:rPr>
        <w:t xml:space="preserve">Restiamo a disposizione per qualsiasi chiarimento o approfondimento.</w:t>
      </w:r>
    </w:p>
    <w:p>
      <w:pPr>
        <w:spacing w:after="60"/>
      </w:pPr>
      <w:r>
        <w:rPr>
          <w:rFonts w:ascii="Arial" w:cs="Arial" w:eastAsia="Arial" w:hAnsi="Arial"/>
          <w:b/>
          <w:bCs/>
          <w:color w:val="1A1A1A"/>
          <w:sz w:val="20"/>
          <w:szCs w:val="20"/>
        </w:rPr>
        <w:t xml:space="preserve">Ing. Bruno Mattucci</w:t>
      </w:r>
    </w:p>
    <w:p>
      <w:pPr>
        <w:spacing w:after="0"/>
      </w:pPr>
      <w:r>
        <w:rPr>
          <w:rFonts w:ascii="Arial" w:cs="Arial" w:eastAsia="Arial" w:hAnsi="Arial"/>
          <w:color w:val="666666"/>
          <w:sz w:val="20"/>
          <w:szCs w:val="20"/>
        </w:rPr>
        <w:t xml:space="preserve">Amministratore Unico – HeyAI S.r.l.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PEC: heyai@pec.it | REA RM – 1751505 | Cod. Fiscale: 17947791004 | Amministratore Unico: Ing. Bruno Mattucci</w:t>
    </w:r>
  </w:p>
  <w:p>
    <w:pPr>
      <w:jc w:val="center"/>
    </w:pPr>
    <w:r>
      <w:rPr>
        <w:rFonts w:ascii="Arial" w:cs="Arial" w:eastAsia="Arial" w:hAnsi="Arial"/>
        <w:color w:val="999999"/>
        <w:sz w:val="14"/>
        <w:szCs w:val="14"/>
      </w:rPr>
      <w:t xml:space="preserve">Pagina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HeyAI S.r.l. | Proposta Achipont | Maggio 2026 [BOZZA]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2B8C96"/>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B8C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2026-05-05T00:48:51.268Z</dcterms:created>
  <dcterms:modified xsi:type="dcterms:W3CDTF">2026-05-05T00:48:51.275Z</dcterms:modified>
</cp:coreProperties>
</file>

<file path=docProps/custom.xml><?xml version="1.0" encoding="utf-8"?>
<Properties xmlns="http://schemas.openxmlformats.org/officeDocument/2006/custom-properties" xmlns:vt="http://schemas.openxmlformats.org/officeDocument/2006/docPropsVTypes"/>
</file>