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Angelini Academy — Domande Q&amp;A per il pitch dell'8/5/2026</w:t>
      </w:r>
    </w:p>
    <w:p>
      <w:pPr>
        <w:pStyle w:val="Heading1"/>
      </w:pPr>
      <w:bookmarkStart w:id="20" w:name="X5123d10b711b8f39a1d279248d47f51d958b736"/>
      <w:r>
        <w:t xml:space="preserve">❓ Angelini Academy — Domande per il Q&amp;A 8/5/2026</w:t>
      </w:r>
      <w:bookmarkEnd w:id="20"/>
    </w:p>
    <w:p>
      <w:pPr>
        <w:pStyle w:val="BlockText"/>
      </w:pPr>
      <w:r>
        <w:t xml:space="preserve">Lista operativa di domande da portare alla videochiamata con il cliente Angelini Academy + FuturItaly + HeyAI.</w:t>
      </w:r>
      <w:r>
        <w:t xml:space="preserve"> </w:t>
      </w:r>
      <w:r>
        <w:t xml:space="preserve">Carlo lascia gestire la chiamata a FuturItaly ([[Daniele Caporale]] e [[Elena Chiti]]) e interviene a supporto sui temi che toccano direttamente HeyAI/sito.</w:t>
      </w:r>
      <w:r>
        <w:t xml:space="preserve"> </w:t>
      </w:r>
      <w:r>
        <w:t xml:space="preserve">Le domande sono raggruppate per ambito; per ciascuna è indicato chi la pone (FuturItaly o Carlo) e priorità.</w:t>
      </w:r>
    </w:p>
    <w:p>
      <w:pPr>
        <w:pStyle w:val="Heading2"/>
      </w:pPr>
      <w:bookmarkStart w:id="21" w:name="a.-scope-reale-del-sito"/>
      <w:r>
        <w:t xml:space="preserve">A. Scope reale del sito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Il sito esistente</w:t>
            </w:r>
            <w:r>
              <w:t xml:space="preserve"> </w:t>
            </w:r>
            <w:r>
              <w:t xml:space="preserve">“</w:t>
            </w:r>
            <w:r>
              <w:t xml:space="preserve">Growing together</w:t>
            </w:r>
            <w:r>
              <w:t xml:space="preserve">”</w:t>
            </w:r>
            <w:r>
              <w:t xml:space="preserve"> </w:t>
            </w:r>
            <w:r>
              <w:t xml:space="preserve">va aggiornato sezione per sezione o si parte con un sito nuovo? Quali sezioni vanno mantenute, riscritte, create ex novo?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Discrimina opzione</w:t>
            </w:r>
            <w:r>
              <w:t xml:space="preserve"> </w:t>
            </w:r>
            <w:r>
              <w:t xml:space="preserve">“</w:t>
            </w:r>
            <w:r>
              <w:t xml:space="preserve">aggiornamento contenuti</w:t>
            </w:r>
            <w:r>
              <w:t xml:space="preserve">”</w:t>
            </w:r>
            <w:r>
              <w:t xml:space="preserve"> </w:t>
            </w:r>
            <w:r>
              <w:t xml:space="preserve">(brief slide 30) da</w:t>
            </w:r>
            <w:r>
              <w:t xml:space="preserve"> </w:t>
            </w:r>
            <w:r>
              <w:t xml:space="preserve">“</w:t>
            </w:r>
            <w:r>
              <w:t xml:space="preserve">sito rifatto</w:t>
            </w:r>
            <w:r>
              <w:t xml:space="preserve">”</w:t>
            </w:r>
            <w:r>
              <w:t xml:space="preserve"> </w:t>
            </w:r>
            <w:r>
              <w:t xml:space="preserve">(lettura HeyAI) e fissa il pricing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Quali nuove sezioni dovrebbero comparire in coerenza con i 4 pilastri (Engaged Research, Corporate Learning, Educational Think Tanks, MBA Gateway)?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Permette di prevedere ore di IA + copywriting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Il sito attuale è già bilingue IT/EN nativo: manteniamo entrambe le lingue al lancio della nuova SRL? Vogliamo asimmetria linguistica per pagina (es. MBA Gateway primariamente EN, Masterclass primariamente IT)?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Il bilinguismo non è scelta da introdurre ma da preservare; cambia il dimensionamento del copywriting e l’organizzazione editoriale per pagina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Il sito deve servire anche da landing per il</w:t>
            </w:r>
            <w:r>
              <w:t xml:space="preserve"> </w:t>
            </w:r>
            <w:r>
              <w:rPr>
                <w:b/>
              </w:rPr>
              <w:t xml:space="preserve">Roadshow Università</w:t>
            </w:r>
            <w:r>
              <w:t xml:space="preserve"> </w:t>
            </w:r>
            <w:r>
              <w:t xml:space="preserve">e per l’</w:t>
            </w:r>
            <w:r>
              <w:rPr>
                <w:b/>
              </w:rPr>
              <w:t xml:space="preserve">Angelini Academy Forum</w:t>
            </w:r>
            <w:r>
              <w:t xml:space="preserve"> </w:t>
            </w:r>
            <w:r>
              <w:t xml:space="preserve">(eventi seeding GIU-DIC ’26)? Con form lead gen dedicati?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Capisce se il sito è solo vetrina o anche conversion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È previsto un percorso di</w:t>
            </w:r>
            <w:r>
              <w:t xml:space="preserve"> </w:t>
            </w:r>
            <w:r>
              <w:rPr>
                <w:b/>
              </w:rPr>
              <w:t xml:space="preserve">iscrizione/candidatura MBA</w:t>
            </w:r>
            <w:r>
              <w:t xml:space="preserve"> </w:t>
            </w:r>
            <w:r>
              <w:t xml:space="preserve">dentro il sito (form, upload CV, pagamento tassa di iscrizione 20K€), o questo flusso resta su IE Madrid?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Definisce se serve integrazione e-commerce/payment vs solo redirect</w:t>
            </w:r>
          </w:p>
        </w:tc>
      </w:tr>
    </w:tbl>
    <w:p>
      <w:pPr>
        <w:pStyle w:val="Heading3"/>
      </w:pPr>
      <w:bookmarkStart w:id="22" w:name="scenari-di-risposta-a1-a2-a3-p1"/>
      <w:r>
        <w:t xml:space="preserve">Scenari di risposta — A1, A2, A3 🔴 P1</w:t>
      </w:r>
      <w:bookmarkEnd w:id="22"/>
    </w:p>
    <w:p>
      <w:pPr>
        <w:pStyle w:val="Heading4"/>
      </w:pPr>
      <w:bookmarkStart w:id="23" w:name="a1-sito-esistente-da-aggiornare-o-nuovo"/>
      <w:r>
        <w:t xml:space="preserve">A1 — Sito esistente da aggiornare o nuovo?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Vogliamo un sito nuovo, il rebranding cambia il posizionamento e i contenuti attuali non reggono più</w:t>
      </w:r>
      <w:r>
        <w:t xml:space="preserve">”</w:t>
      </w:r>
      <w:r>
        <w:t xml:space="preserve">. REAZIONE per Carlo: confermare in modo asciutto che è la lettura HeyAI e che il mockup che mostriamo è già costruito su quell’ipotesi — senza enfatizzare. FOLLOW-UP: se mantengono dominio</w:t>
      </w:r>
      <w:r>
        <w:t xml:space="preserve"> </w:t>
      </w:r>
      <w:r>
        <w:rPr>
          <w:rStyle w:val="VerbatimChar"/>
        </w:rPr>
        <w:t xml:space="preserve">angeliniacademy.com</w:t>
      </w:r>
      <w:r>
        <w:t xml:space="preserve"> </w:t>
      </w:r>
      <w:r>
        <w:t xml:space="preserve">e se il sito attuale resta in parallelo durante la transizione (per non bruciare SEO accumulata).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Aggiornamento contenuti come da brief slide 30, partiamo dalle sezioni esistenti</w:t>
      </w:r>
      <w:r>
        <w:t xml:space="preserve">”</w:t>
      </w:r>
      <w:r>
        <w:t xml:space="preserve">. REAZIONE per Carlo: non contraddire frontalmente; argomentare in due frasi che aggiornare contenuti su un’architettura datata rischia di rendere il rebranding obsoleto entro 6 mesi, e usare il mockup come illustrazione di</w:t>
      </w:r>
      <w:r>
        <w:t xml:space="preserve"> </w:t>
      </w:r>
      <w:r>
        <w:t xml:space="preserve">“</w:t>
      </w:r>
      <w:r>
        <w:t xml:space="preserve">cosa significherebbe un sito coerente con il nuovo posizionamento</w:t>
      </w:r>
      <w:r>
        <w:t xml:space="preserve">”</w:t>
      </w:r>
      <w:r>
        <w:t xml:space="preserve">, lasciando al cliente la decisione. FOLLOW-UP: quali sezioni del sito attuale considerano</w:t>
      </w:r>
      <w:r>
        <w:t xml:space="preserve"> </w:t>
      </w:r>
      <w:r>
        <w:t xml:space="preserve">“</w:t>
      </w:r>
      <w:r>
        <w:t xml:space="preserve">intoccabili</w:t>
      </w:r>
      <w:r>
        <w:t xml:space="preserve">”</w:t>
      </w:r>
      <w:r>
        <w:t xml:space="preserve"> </w:t>
      </w:r>
      <w:r>
        <w:t xml:space="preserve">per ragioni di contenuti storici o SEO.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Lo proponete voi nella proposta, decideremo dopo</w:t>
      </w:r>
      <w:r>
        <w:t xml:space="preserve">”</w:t>
      </w:r>
      <w:r>
        <w:t xml:space="preserve">. REAZIONE per Carlo: accogliere come segnale positivo (porta aperta) ma non sbilanciarsi in call; chiedere criteri di scelta interni (budget, tempi, attaccamento ai contenuti attuali) per orientare la proposta scritta. FOLLOW-UP: chi internamente è custode dei contenuti attuali, per dimensionare la frizione di un rifacimento.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deviano su</w:t>
      </w:r>
      <w:r>
        <w:t xml:space="preserve"> </w:t>
      </w:r>
      <w:r>
        <w:t xml:space="preserve">“</w:t>
      </w:r>
      <w:r>
        <w:t xml:space="preserve">vediamo poi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 definiamo in fase successiva</w:t>
      </w:r>
      <w:r>
        <w:t xml:space="preserve">”</w:t>
      </w:r>
      <w:r>
        <w:t xml:space="preserve">, o cambiano tema senza chiudere — non insistere. La scelta sito-nuovo/aggiornamento la riproponiamo in modalità affermativa nella proposta scritta post-Q&amp;A, mostrando il mockup come fait accompli.</w:t>
      </w:r>
    </w:p>
    <w:p>
      <w:pPr>
        <w:pStyle w:val="Heading4"/>
      </w:pPr>
      <w:bookmarkStart w:id="24" w:name="Xe0cd4aa18d2eadaceab7f36256b69b98398f8d1"/>
      <w:r>
        <w:t xml:space="preserve">A2 — Sezioni nuove coerenti con i 4 pilastri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Sì, una sezione per ognuno dei 4 pilastri (Corporate Learning, Innovazione tech/manageriale, Educational Think Tanks, MBA Gateway) + nucleo Engaged Research come hub</w:t>
      </w:r>
      <w:r>
        <w:t xml:space="preserve">”</w:t>
      </w:r>
      <w:r>
        <w:t xml:space="preserve">. REAZIONE per Carlo: confermare che è coerente con il mockup HeyAI; aggiungere che ha senso una sezione</w:t>
      </w:r>
      <w:r>
        <w:t xml:space="preserve"> </w:t>
      </w:r>
      <w:r>
        <w:t xml:space="preserve">“</w:t>
      </w:r>
      <w:r>
        <w:t xml:space="preserve">Eventi</w:t>
      </w:r>
      <w:r>
        <w:t xml:space="preserve">”</w:t>
      </w:r>
      <w:r>
        <w:t xml:space="preserve"> </w:t>
      </w:r>
      <w:r>
        <w:t xml:space="preserve">trasversale (Forum, Hackathon, Roadshow) come hub di lead gen — questo lo dice solo se utile, senza forzare. FOLLOW-UP: priorità di go-live tra le sezioni — quali devono esserci a Festival Trento, quali possono arrivare in fase 2.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Sì sui 4 pilastri ma ci sono altre voci che il brief non racconta (es. ricerca pubblicata, alumni network, area stampa)</w:t>
      </w:r>
      <w:r>
        <w:t xml:space="preserve">”</w:t>
      </w:r>
      <w:r>
        <w:t xml:space="preserve">. REAZIONE per Carlo: prendere nota e chiedere la mappa al referente operativo cliente; evitare di proporre architetture sul momento perché il mockup andrà aggiornato. FOLLOW-UP: chiedere se hanno un sitemap di lavoro interno, anche embrionale, condivisibile.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I 4 pilastri sono concept di brand book, sul sito teniamo l’architettura attuale</w:t>
      </w:r>
      <w:r>
        <w:t xml:space="preserve"> </w:t>
      </w:r>
      <w:r>
        <w:t xml:space="preserve">‘</w:t>
      </w:r>
      <w:r>
        <w:t xml:space="preserve">Su di noi · Formazione · Blog</w:t>
      </w:r>
      <w:r>
        <w:t xml:space="preserve">’</w:t>
      </w:r>
      <w:r>
        <w:t xml:space="preserve"> </w:t>
      </w:r>
      <w:r>
        <w:t xml:space="preserve">rinnovata</w:t>
      </w:r>
      <w:r>
        <w:t xml:space="preserve">”</w:t>
      </w:r>
      <w:r>
        <w:t xml:space="preserve">. REAZIONE per Carlo: non contraddire; segnalare con prudenza che il brief stesso (slide 9) propone i 4 pilastri come asse narrativo e che il sito può essere il luogo dove vengono materializzati per la prima volta, ma lasciare la decisione al cliente. FOLLOW-UP: se mantengono</w:t>
      </w:r>
      <w:r>
        <w:t xml:space="preserve"> </w:t>
      </w:r>
      <w:r>
        <w:t xml:space="preserve">“</w:t>
      </w:r>
      <w:r>
        <w:t xml:space="preserve">Formazione per tutti</w:t>
      </w:r>
      <w:r>
        <w:t xml:space="preserve">”</w:t>
      </w:r>
      <w:r>
        <w:t xml:space="preserve"> </w:t>
      </w:r>
      <w:r>
        <w:t xml:space="preserve">come voce-ombrello, come si lega ai 4 pilastri sotto?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non sanno rispondere in dettaglio o rimandano al brand book / al communication strategist Daniele — fermarsi. L’architettura informativa la decideremo nel mockup proposto e validato in fase post-Q&amp;A; in call basta avere una conferma di principio sui 4 pilastri.</w:t>
      </w:r>
    </w:p>
    <w:p>
      <w:pPr>
        <w:pStyle w:val="Heading4"/>
      </w:pPr>
      <w:bookmarkStart w:id="25" w:name="X9d8165fdccc4cda0677e865d350dd14df8c7300"/>
      <w:r>
        <w:t xml:space="preserve">A3 — Bilinguismo IT/EN: manteniamo le due lingue al lancio? Asimmetria per pagina?</w:t>
      </w:r>
      <w:bookmarkEnd w:id="25"/>
    </w:p>
    <w:p>
      <w:pPr>
        <w:pStyle w:val="BlockText"/>
      </w:pPr>
      <w:r>
        <w:t xml:space="preserve">Premessa (verificata 5/5/2026 su</w:t>
      </w:r>
      <w:r>
        <w:t xml:space="preserve"> </w:t>
      </w:r>
      <w:r>
        <w:rPr>
          <w:rStyle w:val="VerbatimChar"/>
        </w:rPr>
        <w:t xml:space="preserve">angeliniacademy.com</w:t>
      </w:r>
      <w:r>
        <w:t xml:space="preserve">, vedi [[Angelini Academy - Wireframe e Architettura]] §0.3): il sito attuale è già bilingue IT/EN nativo, con homepage</w:t>
      </w:r>
      <w:r>
        <w:t xml:space="preserve"> </w:t>
      </w:r>
      <w:r>
        <w:rPr>
          <w:rStyle w:val="VerbatimChar"/>
        </w:rPr>
        <w:t xml:space="preserve">/it/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/en/</w:t>
      </w:r>
      <w:r>
        <w:t xml:space="preserve"> </w:t>
      </w:r>
      <w:r>
        <w:t xml:space="preserve">e tutte le sezioni di livello 1 popolate in entrambe le lingue. La domanda non è</w:t>
      </w:r>
      <w:r>
        <w:t xml:space="preserve"> </w:t>
      </w:r>
      <w:r>
        <w:t xml:space="preserve">“</w:t>
      </w:r>
      <w:r>
        <w:t xml:space="preserve">vogliamo aggiungere l’inglese?</w:t>
      </w:r>
      <w:r>
        <w:t xml:space="preserve">”</w:t>
      </w:r>
      <w:r>
        <w:t xml:space="preserve"> </w:t>
      </w:r>
      <w:r>
        <w:t xml:space="preserve">ma</w:t>
      </w:r>
      <w:r>
        <w:t xml:space="preserve"> </w:t>
      </w:r>
      <w:r>
        <w:t xml:space="preserve">“</w:t>
      </w:r>
      <w:r>
        <w:t xml:space="preserve">manteniamo entrambe le lingue al lancio della nuova SRL?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vogliamo asimmetria editoriale per pagina (es. MBA Gateway primariamente EN, Masterclass primariamente IT)?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Sì, manteniamo IT/EN al lancio così come oggi, è coerente con la propensione internazionale e con il MBA con IE Madrid</w:t>
      </w:r>
      <w:r>
        <w:t xml:space="preserve">”</w:t>
      </w:r>
      <w:r>
        <w:t xml:space="preserve">. REAZIONE per Carlo: confermare che il mockup preserva la struttura URL</w:t>
      </w:r>
      <w:r>
        <w:t xml:space="preserve"> </w:t>
      </w:r>
      <w:r>
        <w:rPr>
          <w:rStyle w:val="VerbatimChar"/>
        </w:rPr>
        <w:t xml:space="preserve">/it/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/en/</w:t>
      </w:r>
      <w:r>
        <w:t xml:space="preserve"> </w:t>
      </w:r>
      <w:r>
        <w:t xml:space="preserve">esistente; sondare se il livello di copy sarà paritetico in entrambe le lingue o se accettano asimmetria per pagina (es. MBA Gateway primariamente EN per il candidato internazionale, Masterclass primariamente IT per il pubblico italiano di manager, Engaged Research e Forum bilingue paritetiche per l’audience accademica mista). FOLLOW-UP: chi produce e valida il copy nelle due lingue — comunicazione interna Angelini, agenzia separata, o il fornitore selezionato?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Manteniamo IT/EN ma con priorità al lancio sull’italiano, l’inglese si allinea entro qualche mese</w:t>
      </w:r>
      <w:r>
        <w:t xml:space="preserve">”</w:t>
      </w:r>
      <w:r>
        <w:t xml:space="preserve">. REAZIONE per Carlo: confermare che è gestibile e che il mockup può prevedere una matrice di copertura linguistica pagina per pagina (IT al go-live, EN entro X settimane). FOLLOW-UP: c’è un evento target a cui agganciare il completamento EN — lancio MBA SET ’26, Forum, partnership Financial Times?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Tagliamo l’inglese e teniamo solo italiano per ora</w:t>
      </w:r>
      <w:r>
        <w:t xml:space="preserve">”</w:t>
      </w:r>
      <w:r>
        <w:t xml:space="preserve">. REAZIONE per Carlo: segnalare con misura che eliminare l’inglese da un sito che già lo ha vuol dire smentire il posizionamento</w:t>
      </w:r>
      <w:r>
        <w:t xml:space="preserve"> </w:t>
      </w:r>
      <w:r>
        <w:t xml:space="preserve">“</w:t>
      </w:r>
      <w:r>
        <w:t xml:space="preserve">global leadership</w:t>
      </w:r>
      <w:r>
        <w:t xml:space="preserve">”</w:t>
      </w:r>
      <w:r>
        <w:t xml:space="preserve"> </w:t>
      </w:r>
      <w:r>
        <w:t xml:space="preserve">del brief slide 6 e perdere SEO equity sulle URL EN già indicizzate; chiedere se è scelta strategica del nuovo brand o vincolo temporaneo di budget/tempo. FOLLOW-UP: come si comportano i contenuti EN esistenti — vengono spenti, redirezionati su IT, o lasciati in archivio?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non c’è una linea chiara — non forzare. Lo scenario operativo lo proponiamo nella proposta scritta come matrice di copertura pagina × lingua, con tre varianti (paritetico al lancio, asimmetrico per pagina, IT-first con EN in roll-out).</w:t>
      </w:r>
    </w:p>
    <w:p>
      <w:pPr>
        <w:pStyle w:val="Heading2"/>
      </w:pPr>
      <w:bookmarkStart w:id="26" w:name="b.-brand-book-e-identità-visiva"/>
      <w:r>
        <w:t xml:space="preserve">B. Brand book e identità visiva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Quale brand book usiamo come riferimento? Quello del 2024 o ce n’è uno nuovo in corso di revisione?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Elena ha accennato che il brand book 2024</w:t>
            </w:r>
            <w:r>
              <w:t xml:space="preserve"> </w:t>
            </w:r>
            <w:r>
              <w:t xml:space="preserve">“</w:t>
            </w:r>
            <w:r>
              <w:t xml:space="preserve">non è la roba che hanno avuto fino ad adesso</w:t>
            </w:r>
            <w:r>
              <w:t xml:space="preserve">”</w:t>
            </w:r>
            <w:r>
              <w:t xml:space="preserve"> </w:t>
            </w:r>
            <w:r>
              <w:t xml:space="preserve">— il rebranding</w:t>
            </w:r>
            <w:r>
              <w:t xml:space="preserve"> </w:t>
            </w:r>
            <w:r>
              <w:t xml:space="preserve">“</w:t>
            </w:r>
            <w:r>
              <w:t xml:space="preserve">Angelini Academy Evolution</w:t>
            </w:r>
            <w:r>
              <w:t xml:space="preserve">”</w:t>
            </w:r>
            <w:r>
              <w:t xml:space="preserve"> </w:t>
            </w:r>
            <w:r>
              <w:t xml:space="preserve">potrebbe avere brand book nuovo in arrivo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Se il brand book nuovo è in revisione, qual è la data prevista di disponibilità?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Determina se il sito si può sviluppare ora o deve aspettare — impatto diretto sui tempi di go-live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Il logo Angelini Academy attuale (azzurro+arancio con la goccia) è confermato o evolverà con il rebranding?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Banale ma critico per il mockup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Esiste già un’</w:t>
            </w:r>
            <w:r>
              <w:rPr>
                <w:b/>
              </w:rPr>
              <w:t xml:space="preserve">immagine fotografica coordinata</w:t>
            </w:r>
            <w:r>
              <w:t xml:space="preserve"> </w:t>
            </w:r>
            <w:r>
              <w:t xml:space="preserve">(people, masterclass, Hackathon) utilizzabile sul sito o serve nuova produzione?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La lezione del</w:t>
            </w:r>
            <w:r>
              <w:t xml:space="preserve"> </w:t>
            </w:r>
            <w:r>
              <w:t xml:space="preserve">“</w:t>
            </w:r>
            <w:r>
              <w:t xml:space="preserve">So What?</w:t>
            </w:r>
            <w:r>
              <w:t xml:space="preserve">”</w:t>
            </w:r>
            <w:r>
              <w:t xml:space="preserve"> </w:t>
            </w:r>
            <w:r>
              <w:t xml:space="preserve">del brief premia volti e persone — sapere se c’è una library è importante</w:t>
            </w:r>
          </w:p>
        </w:tc>
      </w:tr>
    </w:tbl>
    <w:p>
      <w:pPr>
        <w:pStyle w:val="Heading3"/>
      </w:pPr>
      <w:bookmarkStart w:id="27" w:name="scenari-di-risposta-b1-b2-p1"/>
      <w:r>
        <w:t xml:space="preserve">Scenari di risposta — B1, B2 🔴 P1</w:t>
      </w:r>
      <w:bookmarkEnd w:id="27"/>
    </w:p>
    <w:p>
      <w:pPr>
        <w:pStyle w:val="Heading4"/>
      </w:pPr>
      <w:bookmarkStart w:id="28" w:name="b1-brand-book-2024-o-nuovo-in-revisione"/>
      <w:r>
        <w:t xml:space="preserve">B1 — Brand book 2024 o nuovo in revisione?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Esiste un brand book aggiornato per Angelini Academy Evolution, ve lo giriamo via SharePoint o ce lo passa Elena</w:t>
      </w:r>
      <w:r>
        <w:t xml:space="preserve">”</w:t>
      </w:r>
      <w:r>
        <w:t xml:space="preserve">. REAZIONE per Carlo: ringraziare in modo asciutto; chiedere se è bozza o versione finale e chi l’ha prodotto (agenzia esterna, design interno holding). FOLLOW-UP: se possiamo iniziare a costruire il sito su elementi pubblici del rebrand mentre attendiamo il brand book finale.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C’è solo il 2024, non abbiamo ancora un brand book nuovo</w:t>
      </w:r>
      <w:r>
        <w:t xml:space="preserve">”</w:t>
      </w:r>
      <w:r>
        <w:t xml:space="preserve">. REAZIONE per Carlo: confermare che il mockup HeyAI lavora su una</w:t>
      </w:r>
      <w:r>
        <w:t xml:space="preserve"> </w:t>
      </w:r>
      <w:r>
        <w:t xml:space="preserve">“</w:t>
      </w:r>
      <w:r>
        <w:t xml:space="preserve">interpretazione del 2024 al servizio del nuovo posizionamento</w:t>
      </w:r>
      <w:r>
        <w:t xml:space="preserve">”</w:t>
      </w:r>
      <w:r>
        <w:t xml:space="preserve"> </w:t>
      </w:r>
      <w:r>
        <w:t xml:space="preserve">— evoluzione coerente, non rivoluzione visiva; chiedere se al delivery del sito è atteso un nuovo brand book oppure se la palette e il font 2024 restano. FOLLOW-UP: il rebranding</w:t>
      </w:r>
      <w:r>
        <w:t xml:space="preserve"> </w:t>
      </w:r>
      <w:r>
        <w:t xml:space="preserve">“</w:t>
      </w:r>
      <w:r>
        <w:t xml:space="preserve">Academy Evolution</w:t>
      </w:r>
      <w:r>
        <w:t xml:space="preserve">”</w:t>
      </w:r>
      <w:r>
        <w:t xml:space="preserve"> </w:t>
      </w:r>
      <w:r>
        <w:t xml:space="preserve">prevede output visivi nuovi (logo, palette, iconografia) prodotti da chi e quando?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Esiste un brand book ma non possiamo condividerlo adesso, vincoli di approvazione</w:t>
      </w:r>
      <w:r>
        <w:t xml:space="preserve">”</w:t>
      </w:r>
      <w:r>
        <w:t xml:space="preserve">. REAZIONE per Carlo: non insistere; chiedere se ci sono almeno linee guida indicative (palette principale, font, tono) sufficienti per il mockup. Suggerire che la versione definitiva può arrivare in fase di sviluppo, dopo l’aggiudicazione. FOLLOW-UP: possiamo avere almeno il logo definitivo e la palette colori, anche senza il documento completo?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il cliente è elusivo o si rifugia in</w:t>
      </w:r>
      <w:r>
        <w:t xml:space="preserve"> </w:t>
      </w:r>
      <w:r>
        <w:t xml:space="preserve">“</w:t>
      </w:r>
      <w:r>
        <w:t xml:space="preserve">vedremo</w:t>
      </w:r>
      <w:r>
        <w:t xml:space="preserve">”</w:t>
      </w:r>
      <w:r>
        <w:t xml:space="preserve"> </w:t>
      </w:r>
      <w:r>
        <w:t xml:space="preserve">— fermarsi e leggere il segnale. Spesso significa che il brand book non esiste ancora o è bloccato in approvazioni interne; in proposta dichiariamo di lavorare su elementi pubblici + brand book 2024 + linee guida del rebranding pubblico, con riallineamento gratuito al brand book finale alla consegna.</w:t>
      </w:r>
    </w:p>
    <w:p>
      <w:pPr>
        <w:pStyle w:val="Heading4"/>
      </w:pPr>
      <w:bookmarkStart w:id="29" w:name="X04c8a0d56492ce527622366b58b50093c2a4d73"/>
      <w:r>
        <w:t xml:space="preserve">B2 — Data prevista di disponibilità del nuovo brand book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Disponibile entro fine maggio / inizio giugno 2026</w:t>
      </w:r>
      <w:r>
        <w:t xml:space="preserve">”</w:t>
      </w:r>
      <w:r>
        <w:t xml:space="preserve">. REAZIONE per Carlo: prendere nota e mappare la data sul go-live atteso; se il brand book finale arriva pre-Festival Trento lavoriamo su quello, se arriva dopo gestiamo allineamento iterativo. FOLLOW-UP: c’è una versione working (anche bozza) con cui possiamo iniziare? E un referente brand book a cui rivolgersi per Q&amp;A tecniche durante lo sviluppo?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Non lo sappiamo, dipende da approvazioni interne</w:t>
      </w:r>
      <w:r>
        <w:t xml:space="preserve">”</w:t>
      </w:r>
      <w:r>
        <w:t xml:space="preserve">. REAZIONE per Carlo: accogliere senza pressare e proporre implicitamente di disaccoppiare lo sviluppo del sito dal brand book, lavorando su elementi modulari/configurabili nel CMS che possano accogliere il brand book finale senza re-development. FOLLOW-UP: c’è un referente brand book con cui confrontarci durante lo sviluppo, anche solo a checkpoint?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Brand book finalizzato dopo il Festival Trento</w:t>
      </w:r>
      <w:r>
        <w:t xml:space="preserve">”</w:t>
      </w:r>
      <w:r>
        <w:t xml:space="preserve">. REAZIONE per Carlo: segnalare con prudenza che andare live a Trento con un brand book non finalizzato significa accettare un sito</w:t>
      </w:r>
      <w:r>
        <w:t xml:space="preserve"> </w:t>
      </w:r>
      <w:r>
        <w:t xml:space="preserve">“</w:t>
      </w:r>
      <w:r>
        <w:t xml:space="preserve">transitorio</w:t>
      </w:r>
      <w:r>
        <w:t xml:space="preserve">”</w:t>
      </w:r>
      <w:r>
        <w:t xml:space="preserve"> </w:t>
      </w:r>
      <w:r>
        <w:t xml:space="preserve">e suggerire due opzioni — (1) sito Festival Trento su brand 2024 + relaunch post-brand-book, (2) Festival Trento con landing page unica e sito completo dopo. FOLLOW-UP: quale dei due scenari preferiscono?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non hanno la data — non insistere. Il rischio scheduling lo gestiamo nella proposta con una clausola</w:t>
      </w:r>
      <w:r>
        <w:t xml:space="preserve"> </w:t>
      </w:r>
      <w:r>
        <w:t xml:space="preserve">“</w:t>
      </w:r>
      <w:r>
        <w:t xml:space="preserve">data di consegna brand book → impatto su timeline e rework eventuale</w:t>
      </w:r>
      <w:r>
        <w:t xml:space="preserve">”</w:t>
      </w:r>
      <w:r>
        <w:t xml:space="preserve">.</w:t>
      </w:r>
    </w:p>
    <w:p>
      <w:pPr>
        <w:pStyle w:val="Heading2"/>
      </w:pPr>
      <w:bookmarkStart w:id="30" w:name="c.-contenuti"/>
      <w:r>
        <w:t xml:space="preserve">C. Contenuti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Chi produce i testi del nuovo posizionamento? Comunicazione interna Angelini, agenzia separata (lato copy), o se ne occupa il fornitore selezionato?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Chi scrive cosa cambia il pricing e il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Esiste già un naming/storytelling consolidato dei quattro pilastri pronto per il web, o va sviluppato a partire dal brief?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I pilastri nel brief hanno titoli da slide (</w:t>
            </w:r>
            <w:r>
              <w:t xml:space="preserve">“</w:t>
            </w:r>
            <w:r>
              <w:t xml:space="preserve">Corporate Learning all’avanguardia per leader e talent</w:t>
            </w:r>
            <w:r>
              <w:t xml:space="preserve">”</w:t>
            </w:r>
            <w:r>
              <w:t xml:space="preserve">) — vanno tradotti per il web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t xml:space="preserve">“</w:t>
            </w:r>
            <w:r>
              <w:t xml:space="preserve">fili rossi</w:t>
            </w:r>
            <w:r>
              <w:t xml:space="preserve">”</w:t>
            </w:r>
            <w:r>
              <w:t xml:space="preserve"> </w:t>
            </w:r>
            <w:r>
              <w:t xml:space="preserve">(Posizionamento e purpose · Ricerca su modelli educativi · Unique Proposition Corporate Learning) sono pensati anche come</w:t>
            </w:r>
            <w:r>
              <w:t xml:space="preserve"> </w:t>
            </w:r>
            <w:r>
              <w:rPr>
                <w:b/>
              </w:rPr>
              <w:t xml:space="preserve">categorie editoriali del Blog</w:t>
            </w:r>
            <w:r>
              <w:t xml:space="preserve"> </w:t>
            </w:r>
            <w:r>
              <w:t xml:space="preserve">del sito?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Architettura blog + tagging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/>
              </w:rPr>
              <w:t xml:space="preserve">partnership accademiche</w:t>
            </w:r>
            <w:r>
              <w:t xml:space="preserve"> </w:t>
            </w:r>
            <w:r>
              <w:t xml:space="preserve">(LBS, IMD, IE, UCL, Royal College, SDA Bocconi, LUISS, BBS, POLIMI, ESPC, Imperial) sono già confermate o alcune sono</w:t>
            </w:r>
            <w:r>
              <w:t xml:space="preserve"> </w:t>
            </w:r>
            <w:r>
              <w:t xml:space="preserve">“</w:t>
            </w:r>
            <w:r>
              <w:t xml:space="preserve">tbd</w:t>
            </w:r>
            <w:r>
              <w:t xml:space="preserve">”</w:t>
            </w:r>
            <w:r>
              <w:t xml:space="preserve">? Possiamo mostrarne i loghi sul sito?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Legali/IP sui loghi terze parti — meglio chiarire prima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I programmi specifici per le OpCo (numeri partecipanti, contenuti, budget) sono pubblicabili sul sito o richiedono trattamento riservato?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La pagina pilastro 2</w:t>
            </w:r>
            <w:r>
              <w:t xml:space="preserve"> </w:t>
            </w:r>
            <w:r>
              <w:t xml:space="preserve">“</w:t>
            </w:r>
            <w:r>
              <w:t xml:space="preserve">Innovazione tecnica e manageriale</w:t>
            </w:r>
            <w:r>
              <w:t xml:space="preserve">”</w:t>
            </w:r>
            <w:r>
              <w:t xml:space="preserve"> </w:t>
            </w:r>
            <w:r>
              <w:t xml:space="preserve">è pubblica vetrina; serve sapere quale livello di dettaglio per OpCo (Pharma/Tech/Ventures/Fater) può uscire pubblicamente</w:t>
            </w:r>
          </w:p>
        </w:tc>
      </w:tr>
    </w:tbl>
    <w:p>
      <w:pPr>
        <w:pStyle w:val="Heading3"/>
      </w:pPr>
      <w:bookmarkStart w:id="31" w:name="scenari-di-risposta-c1-p1"/>
      <w:r>
        <w:t xml:space="preserve">Scenari di risposta — C1 🔴 P1</w:t>
      </w:r>
      <w:bookmarkEnd w:id="31"/>
    </w:p>
    <w:p>
      <w:pPr>
        <w:pStyle w:val="Heading4"/>
      </w:pPr>
      <w:bookmarkStart w:id="32" w:name="X19921f943b6df8dcee7ec4496ed1f81386d780f"/>
      <w:r>
        <w:t xml:space="preserve">C1 — Chi produce i testi del nuovo posizionamento?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Comunicazione interna Angelini scrive i testi, voi li integrate nel sito</w:t>
      </w:r>
      <w:r>
        <w:t xml:space="preserve">”</w:t>
      </w:r>
      <w:r>
        <w:t xml:space="preserve">. REAZIONE per Carlo: confermare che è la divisione del lavoro sensata; chiedere il referente Angelini per il copy (per evitare giri lunghi di approvazione) e tempi di consegna del copy rispetto alla milestone Festival Trento. FOLLOW-UP: i testi arrivano in italiano da tradurre o prodotti già bilingue?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Vorremmo che il copy lo gestisse il fornitore selezionato — voi avete un copywriter?</w:t>
      </w:r>
      <w:r>
        <w:t xml:space="preserve">”</w:t>
      </w:r>
      <w:r>
        <w:t xml:space="preserve">. REAZIONE per Carlo: confermare che HeyAI ha competenze interne di copywriting strategico (lo abbiamo fatto su Wave 2 NoLoop, FuturItaly Osservatorio) ma evitare di sbilanciarsi su scope e prezzo in call; rinviare il dimensionamento alla proposta scritta. FOLLOW-UP: il copy è solo per il sito o include anche social/blog/brochure (dove HeyAI tiene la</w:t>
      </w:r>
      <w:r>
        <w:t xml:space="preserve"> </w:t>
      </w:r>
      <w:r>
        <w:t xml:space="preserve">“</w:t>
      </w:r>
      <w:r>
        <w:t xml:space="preserve">porta aperta diplomatica</w:t>
      </w:r>
      <w:r>
        <w:t xml:space="preserve">”</w:t>
      </w:r>
      <w:r>
        <w:t xml:space="preserve"> </w:t>
      </w:r>
      <w:r>
        <w:t xml:space="preserve">del brief)?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Abbiamo un’agenzia di copywriting separata già contrattualizzata</w:t>
      </w:r>
      <w:r>
        <w:t xml:space="preserve">”</w:t>
      </w:r>
      <w:r>
        <w:t xml:space="preserve">. REAZIONE per Carlo: accogliere come info e limitarsi a chiedere come gestire l’interfaccia operativa (chi consegna a chi, in che formato, con che SLA); HeyAI può integrare bene un copy-flow esterno e non si oppone. FOLLOW-UP: in che formato arriva il copy (Google Docs, Word, CMS-ready), con metadati SEO o solo body?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il cliente è ambiguo o</w:t>
      </w:r>
      <w:r>
        <w:t xml:space="preserve"> </w:t>
      </w:r>
      <w:r>
        <w:t xml:space="preserve">“</w:t>
      </w:r>
      <w:r>
        <w:t xml:space="preserve">vedremo dopo</w:t>
      </w:r>
      <w:r>
        <w:t xml:space="preserve">”</w:t>
      </w:r>
      <w:r>
        <w:t xml:space="preserve"> </w:t>
      </w:r>
      <w:r>
        <w:t xml:space="preserve">— non insistere. La gestione copy può essere descritta nella proposta in due varianti (copy interno cliente / copy a HeyAI), con prezzi differenziati.</w:t>
      </w:r>
    </w:p>
    <w:p>
      <w:pPr>
        <w:pStyle w:val="Heading2"/>
      </w:pPr>
      <w:bookmarkStart w:id="33" w:name="d.-integrazione-tecnica-e-cms"/>
      <w:r>
        <w:t xml:space="preserve">D. Integrazione tecnica e CMS</w:t>
      </w:r>
      <w:bookmarkEnd w:id="3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Quale CMS è in uso oggi sul sito Angelini Academy? Vincoli a mantenerlo?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Cambia tutto il dimensionamento (WordPress / custom / headless)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Lo stack IT della holding Angelini è prevalentemente</w:t>
            </w:r>
            <w:r>
              <w:t xml:space="preserve"> </w:t>
            </w:r>
            <w:r>
              <w:rPr>
                <w:b/>
              </w:rPr>
              <w:t xml:space="preserve">Microsoft</w:t>
            </w:r>
            <w:r>
              <w:t xml:space="preserve">? Ci sono vincoli IT/sicurezza imposti dalla holding sul fornitore?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Pattern tipico delle holding farmaceutiche; impatti sul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Il sito deve integrarsi con</w:t>
            </w:r>
            <w:r>
              <w:t xml:space="preserve"> </w:t>
            </w:r>
            <w:r>
              <w:rPr>
                <w:b/>
              </w:rPr>
              <w:t xml:space="preserve">HR</w:t>
            </w:r>
            <w:r>
              <w:t xml:space="preserve"> </w:t>
            </w:r>
            <w:r>
              <w:t xml:space="preserve">(per i flussi MBA/recruiting),</w:t>
            </w:r>
            <w:r>
              <w:t xml:space="preserve"> </w:t>
            </w:r>
            <w:r>
              <w:rPr>
                <w:b/>
              </w:rPr>
              <w:t xml:space="preserve">CRM/marketing automation</w:t>
            </w:r>
            <w:r>
              <w:t xml:space="preserve"> </w:t>
            </w:r>
            <w:r>
              <w:t xml:space="preserve">(per lead gen e nurturing),</w:t>
            </w:r>
            <w:r>
              <w:t xml:space="preserve"> </w:t>
            </w:r>
            <w:r>
              <w:rPr>
                <w:b/>
              </w:rPr>
              <w:t xml:space="preserve">piattaforma eventi</w:t>
            </w:r>
            <w:r>
              <w:t xml:space="preserve"> </w:t>
            </w:r>
            <w:r>
              <w:t xml:space="preserve">(Hackathon, Roadshow)?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Determina pacchetto integrazioni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Esiste un’</w:t>
            </w:r>
            <w:r>
              <w:rPr>
                <w:b/>
              </w:rPr>
              <w:t xml:space="preserve">analytics in essere</w:t>
            </w:r>
            <w:r>
              <w:t xml:space="preserve"> </w:t>
            </w:r>
            <w:r>
              <w:t xml:space="preserve">(Google Analytics 4, Adobe, altro)? Quali KPI baseline (sessioni, pagine viste, conversioni)?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p>
            <w:pPr>
              <w:pStyle w:val="Compact"/>
              <w:jc w:val="left"/>
            </w:pPr>
            <w:r>
              <w:t xml:space="preserve">Per impostare misurazione coerente con il brief che chiede KPI rilevanti (slide 32)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Cookie policy, GDPR, compliance specifica gruppo Angelini? Ci sono template legal interni?</w:t>
            </w:r>
          </w:p>
        </w:tc>
        <w:tc>
          <w:p>
            <w:pPr>
              <w:pStyle w:val="Compact"/>
              <w:jc w:val="left"/>
            </w:pPr>
            <w:r>
              <w:t xml:space="preserve">Carlo</w:t>
            </w:r>
          </w:p>
        </w:tc>
        <w:tc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p>
            <w:pPr>
              <w:pStyle w:val="Compact"/>
              <w:jc w:val="left"/>
            </w:pPr>
            <w:r>
              <w:t xml:space="preserve">Legale-compliance è sempre tema delicato lato pharma</w:t>
            </w:r>
          </w:p>
        </w:tc>
      </w:tr>
    </w:tbl>
    <w:p>
      <w:pPr>
        <w:pStyle w:val="Heading3"/>
      </w:pPr>
      <w:bookmarkStart w:id="34" w:name="scenari-di-risposta-d1-p1"/>
      <w:r>
        <w:t xml:space="preserve">Scenari di risposta — D1 🔴 P1</w:t>
      </w:r>
      <w:bookmarkEnd w:id="34"/>
    </w:p>
    <w:p>
      <w:pPr>
        <w:pStyle w:val="Heading4"/>
      </w:pPr>
      <w:bookmarkStart w:id="35" w:name="d1-quale-cms-è-in-uso-oggi-sul-sito"/>
      <w:r>
        <w:t xml:space="preserve">D1 — Quale CMS è in uso oggi sul sito?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WordPress</w:t>
      </w:r>
      <w:r>
        <w:t xml:space="preserve">”</w:t>
      </w:r>
      <w:r>
        <w:t xml:space="preserve"> </w:t>
      </w:r>
      <w:r>
        <w:t xml:space="preserve">(è il CMS più diffuso per siti corporate in Italia). REAZIONE per Carlo: confermare che WordPress è gestibile e che HeyAI ha esperienza diretta; chiedere se c’è obbligo di restare su WP per ragioni IT della holding o se siamo liberi di proporre lo stack. FOLLOW-UP: chi gestisce hosting/dominio oggi? È del cliente, della holding o di un fornitore esterno?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CMS proprietario / custom della holding Angelini</w:t>
      </w:r>
      <w:r>
        <w:t xml:space="preserve">”</w:t>
      </w:r>
      <w:r>
        <w:t xml:space="preserve">. REAZIONE per Carlo: prendere molto sul serio (vincolo possibilmente bloccante); evitare commitment in call e chiedere di poter parlare con un referente IT/digital della holding prima della proposta per capire fattibilità. FOLLOW-UP: c’è documentazione tecnica del CMS attuale che possiamo ricevere, anche sotto NDA?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Non lo sappiamo, ci dobbiamo informare</w:t>
      </w:r>
      <w:r>
        <w:t xml:space="preserve">”</w:t>
      </w:r>
      <w:r>
        <w:t xml:space="preserve">. REAZIONE per Carlo: non insistere in call; segnalare diplomaticamente che il CMS è una variabile rilevante per costo e timeline e chiedere di verificarlo internamente entro 1-2 giorni dal Q&amp;A. FOLLOW-UP: chi è il referente IT giusto da contattare per questa verifica?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non sanno o deviano — non insistere. Lo scopriamo via Elena/Caterina post-Q&amp;A. Annotiamo in proposta come</w:t>
      </w:r>
      <w:r>
        <w:t xml:space="preserve"> </w:t>
      </w:r>
      <w:r>
        <w:t xml:space="preserve">“</w:t>
      </w:r>
      <w:r>
        <w:t xml:space="preserve">stack CMS da validare in kickoff</w:t>
      </w:r>
      <w:r>
        <w:t xml:space="preserve">”</w:t>
      </w:r>
      <w:r>
        <w:t xml:space="preserve"> </w:t>
      </w:r>
      <w:r>
        <w:t xml:space="preserve">con clausola di rivalutazione del dimensionamento se emergono vincoli IT bloccanti.</w:t>
      </w:r>
    </w:p>
    <w:p>
      <w:pPr>
        <w:pStyle w:val="Heading2"/>
      </w:pPr>
      <w:bookmarkStart w:id="36" w:name="e.-go-live-e-tempistiche"/>
      <w:r>
        <w:t xml:space="preserve">E. Go-live e tempistiche</w:t>
      </w:r>
      <w:bookmarkEnd w:id="3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Il</w:t>
            </w:r>
            <w:r>
              <w:t xml:space="preserve"> </w:t>
            </w:r>
            <w:r>
              <w:rPr>
                <w:b/>
              </w:rPr>
              <w:t xml:space="preserve">go-live entro aprile</w:t>
            </w:r>
            <w:r>
              <w:t xml:space="preserve"> </w:t>
            </w:r>
            <w:r>
              <w:t xml:space="preserve">del brief originale è ovviamente saltato. Qual è la nuova data target? È legata al lancio ufficiale al</w:t>
            </w:r>
            <w:r>
              <w:t xml:space="preserve"> </w:t>
            </w:r>
            <w:r>
              <w:rPr>
                <w:b/>
              </w:rPr>
              <w:t xml:space="preserve">Festival Economia di Trento</w:t>
            </w:r>
            <w:r>
              <w:t xml:space="preserve"> </w:t>
            </w:r>
            <w:r>
              <w:t xml:space="preserve">di maggio o ad altro evento?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Il Festival Trento è già calendarizzato per maggio — se il sito deve essere live per quello, è una corsa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Esiste un’urgenza specifica legata a recruiting MBA (gennaio-marzo 2026 era la finestra processo selezione, ma per il prossimo ciclo)?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Capisce se la pressione è</w:t>
            </w:r>
            <w:r>
              <w:t xml:space="preserve"> </w:t>
            </w:r>
            <w:r>
              <w:t xml:space="preserve">“</w:t>
            </w:r>
            <w:r>
              <w:t xml:space="preserve">ora o mai più</w:t>
            </w:r>
            <w:r>
              <w:t xml:space="preserve">”</w:t>
            </w:r>
            <w:r>
              <w:t xml:space="preserve"> </w:t>
            </w:r>
            <w:r>
              <w:t xml:space="preserve">o se c’è respiro</w:t>
            </w:r>
          </w:p>
        </w:tc>
      </w:tr>
    </w:tbl>
    <w:p>
      <w:pPr>
        <w:pStyle w:val="Heading3"/>
      </w:pPr>
      <w:bookmarkStart w:id="37" w:name="scenari-di-risposta-e1-p1"/>
      <w:r>
        <w:t xml:space="preserve">Scenari di risposta — E1 🔴 P1</w:t>
      </w:r>
      <w:bookmarkEnd w:id="37"/>
    </w:p>
    <w:p>
      <w:pPr>
        <w:pStyle w:val="Heading4"/>
      </w:pPr>
      <w:bookmarkStart w:id="38" w:name="X45e3cc78add5556991b85f5803eac81fe4c095c"/>
      <w:r>
        <w:t xml:space="preserve">E1 — Nuova data target di go-live, è legata al Festival Trento?</w:t>
      </w:r>
      <w:bookmarkEnd w:id="38"/>
    </w:p>
    <w:p>
      <w:pPr>
        <w:pStyle w:val="BlockText"/>
      </w:pPr>
      <w:r>
        <w:t xml:space="preserve">Domanda posta da Daniele/Elena. Carlo ascolta attivamente perché la timeline impatta tutto il delivery HeyAI; interviene</w:t>
      </w:r>
      <w:r>
        <w:t xml:space="preserve"> </w:t>
      </w:r>
      <w:r>
        <w:rPr>
          <w:b/>
        </w:rPr>
        <w:t xml:space="preserve">solo se chiamato in causa</w:t>
      </w:r>
      <w:r>
        <w:t xml:space="preserve"> </w:t>
      </w:r>
      <w:r>
        <w:t xml:space="preserve">sul fattibile tecnico.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Sì, vogliamo il sito live per il lancio al Festival di Trento, fine maggio 2026</w:t>
      </w:r>
      <w:r>
        <w:t xml:space="preserve">”</w:t>
      </w:r>
      <w:r>
        <w:t xml:space="preserve">. REAZIONE per Carlo (se chiamato in causa): segnalare con prudenza che 3-4 settimane sono fattibili per una landing page o un sito-vetrina, ma che un sito completo multi-pilastro multi-target richiede di dimensionare uno scope ridotto al go-live + estensione iterativa post-launch. Proporre un go-live</w:t>
      </w:r>
      <w:r>
        <w:t xml:space="preserve"> </w:t>
      </w:r>
      <w:r>
        <w:t xml:space="preserve">“</w:t>
      </w:r>
      <w:r>
        <w:t xml:space="preserve">Trento-ready</w:t>
      </w:r>
      <w:r>
        <w:t xml:space="preserve">”</w:t>
      </w:r>
      <w:r>
        <w:t xml:space="preserve"> </w:t>
      </w:r>
      <w:r>
        <w:t xml:space="preserve">(homepage + 4 pilastri base + form lead gen Roadshow) e poi sviluppo iterativo. FOLLOW-UP per FuturItaly: priorità di scope per Trento — cosa è must-have e cosa può arrivare in fase 2.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Vorremmo entro fine maggio ma siamo flessibili, possiamo accettare giugno-luglio</w:t>
      </w:r>
      <w:r>
        <w:t xml:space="preserve">”</w:t>
      </w:r>
      <w:r>
        <w:t xml:space="preserve">. REAZIONE per Carlo (se chiamato in causa): confermare che il margine in più permette un sito più completo e gestire meglio l’ingresso del brand book e del copy. FOLLOW-UP per FuturItaly: ci sono altri eventi seeding (Roadshow, Wired Festival, Biennale Venezia, TaoBuk) che diventano date target intermedie?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Non c’è una data target precisa, vogliamo il prima possibile ma con qualità</w:t>
      </w:r>
      <w:r>
        <w:t xml:space="preserve">”</w:t>
      </w:r>
      <w:r>
        <w:t xml:space="preserve">. REAZIONE per Carlo (se chiamato in causa): accogliere come positivo perché elimina pressione bruciante; sottolineare con misura che il metodo HeyAI permette comunque tempi rapidi grazie al mockup navigabile, ma evitare di committare numeri specifici di settimane in call. FOLLOW-UP per FuturItaly: c’è almeno un internal milestone Angelini (CDA, board update, comunicato stampa) a cui legare la consegna?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il cliente è vago — non forzare. La timeline si negozia nella proposta scritta con due scenari (Trento-ready vs sito completo a giugno-luglio), lasciando al cliente la scelta.</w:t>
      </w:r>
    </w:p>
    <w:p>
      <w:pPr>
        <w:pStyle w:val="Heading2"/>
      </w:pPr>
      <w:bookmarkStart w:id="39" w:name="Xb061bb669a72a1279846d36c36abffc3b2d9f5e"/>
      <w:r>
        <w:t xml:space="preserve">F. Modello di selezione fornitori e governance</w:t>
      </w:r>
      <w:bookmarkEnd w:id="3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Come si articola la decisione finale, dato che la procedura formale di gara originale è chiusa? Chi sono i decisori interni e con quale tempistica decidono?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Senza questo non sappiamo a chi parlare e quando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Il modello di engagement è</w:t>
            </w:r>
            <w:r>
              <w:t xml:space="preserve"> </w:t>
            </w:r>
            <w:r>
              <w:t xml:space="preserve">“</w:t>
            </w:r>
            <w:r>
              <w:t xml:space="preserve">lead unico + sub-fornitori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pool di fornitori coordinati lato cliente</w:t>
            </w:r>
            <w:r>
              <w:t xml:space="preserve">”</w:t>
            </w:r>
            <w:r>
              <w:t xml:space="preserve">? FuturItaly come si posiziona in questo?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p>
            <w:pPr>
              <w:pStyle w:val="Compact"/>
              <w:jc w:val="left"/>
            </w:pPr>
            <w:r>
              <w:t xml:space="preserve">Discrimina HeyAI come delivery di FuturItaly vs HeyAI come fornitore autonomo del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Per le</w:t>
            </w:r>
            <w:r>
              <w:t xml:space="preserve"> </w:t>
            </w:r>
            <w:r>
              <w:rPr>
                <w:b/>
              </w:rPr>
              <w:t xml:space="preserve">altre voci del brief</w:t>
            </w:r>
            <w:r>
              <w:t xml:space="preserve"> </w:t>
            </w:r>
            <w:r>
              <w:t xml:space="preserve">(social, content, video, brochure, gadget, pacchetto ore PM), avete già fornitori in essere? Se sì, restano in essere?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Se il cliente ha già il fornitore di tutto il resto, HeyAI non insiste; se invece c’è spazio, valutiamo dopo il Q&amp;A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Il pacchetto ore in outsourcing PM/operations richiesto nel brief (slide 33-34) è pensato come</w:t>
            </w:r>
            <w:r>
              <w:t xml:space="preserve"> </w:t>
            </w:r>
            <w:r>
              <w:rPr>
                <w:b/>
              </w:rPr>
              <w:t xml:space="preserve">gestione integrata del progetto comunicazione</w:t>
            </w:r>
            <w:r>
              <w:t xml:space="preserve"> </w:t>
            </w:r>
            <w:r>
              <w:t xml:space="preserve">lato cliente o come</w:t>
            </w:r>
            <w:r>
              <w:t xml:space="preserve"> </w:t>
            </w:r>
            <w:r>
              <w:rPr>
                <w:b/>
              </w:rPr>
              <w:t xml:space="preserve">risorse aggiuntive</w:t>
            </w:r>
            <w:r>
              <w:t xml:space="preserve"> </w:t>
            </w:r>
            <w:r>
              <w:t xml:space="preserve">per attività ricorrenti?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Concetto importante per capire il modello</w:t>
            </w:r>
          </w:p>
        </w:tc>
      </w:tr>
    </w:tbl>
    <w:p>
      <w:pPr>
        <w:pStyle w:val="Heading3"/>
      </w:pPr>
      <w:bookmarkStart w:id="40" w:name="scenari-di-risposta-f1-f2-p1"/>
      <w:r>
        <w:t xml:space="preserve">Scenari di risposta — F1, F2 🔴 P1</w:t>
      </w:r>
      <w:bookmarkEnd w:id="40"/>
    </w:p>
    <w:p>
      <w:pPr>
        <w:pStyle w:val="BlockText"/>
      </w:pPr>
      <w:r>
        <w:t xml:space="preserve">Domande poste da Daniele/Elena. Carlo non interviene direttamente ma ascolta con grande attenzione perché disambiguano arena politica interna cliente e posizionamento HeyAI vs FuturItaly.</w:t>
      </w:r>
    </w:p>
    <w:p>
      <w:pPr>
        <w:pStyle w:val="Heading4"/>
      </w:pPr>
      <w:bookmarkStart w:id="41" w:name="Xc1d9666e28375c7064940f0e889049583c3ad28"/>
      <w:r>
        <w:t xml:space="preserve">F1 — Decisori interni e tempistica decisione</w:t>
      </w:r>
      <w:bookmarkEnd w:id="4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Decidono CEO Marco Morbidelli + management Academy + ufficio acquisti, in board entro 2-3 settimane</w:t>
      </w:r>
      <w:r>
        <w:t xml:space="preserve">”</w:t>
      </w:r>
      <w:r>
        <w:t xml:space="preserve">. REAZIONE per Carlo: prendere nota mentalmente dei nomi citati (mappa stakeholder); evitare opinioni sui decisori in call. Se vengono nominate Tiziana Carnicelli o Caterina Caboni, ascoltare come si pongono nella catena decisionale. FOLLOW-UP che può lanciare Daniele/Elena: ci sarà un’occasione di pitch a CEO o a board, oppure la proposta scritta è sufficiente per la decisione?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Decide il management Angelini Academy (Tiziana Carnicelli o equivalente dirigente alleato), l’acquisti formalizza</w:t>
      </w:r>
      <w:r>
        <w:t xml:space="preserve">”</w:t>
      </w:r>
      <w:r>
        <w:t xml:space="preserve">. REAZIONE per Carlo: segnale positivo che allinea con la lettura interna FuturItaly; restare in silenzio in call ma annotare internamente che il pitch a Tiziana è la leva politica principale. FOLLOW-UP per FuturItaly: c’è un confronto previsto direttamente con il dirigente decisore o tutto passa via Caterina Caboni?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Non è ancora chiaro chi decide, dipende dal CDA / dalla holding Angelini Industries</w:t>
      </w:r>
      <w:r>
        <w:t xml:space="preserve">”</w:t>
      </w:r>
      <w:r>
        <w:t xml:space="preserve">. REAZIONE per Carlo: segnale di rischio (decisione potrebbe slittare o entrare in dinamiche corporate fuori dal nostro controllo); restare in ascolto, non pressare, accogliere diplomaticamente la complessità. FOLLOW-UP per FuturItaly: c’è un timing di CDA o board che possiamo usare come data limite per sincronizzare la nostra proposta?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il cliente è elusivo — non insistere. Lo scopriamo via Elena post-Q&amp;A. Mai chiedere frontalmente</w:t>
      </w:r>
      <w:r>
        <w:t xml:space="preserve"> </w:t>
      </w:r>
      <w:r>
        <w:t xml:space="preserve">“</w:t>
      </w:r>
      <w:r>
        <w:t xml:space="preserve">chi è ostile a FuturItaly nell’ufficio acquisti</w:t>
      </w:r>
      <w:r>
        <w:t xml:space="preserve">”</w:t>
      </w:r>
      <w:r>
        <w:t xml:space="preserve">: è informazione sensibile da raccogliere dai segnali (vedi sezione H). Questa domanda è particolarmente delicata e va lasciata gestire integralmente a Daniele/Elena.</w:t>
      </w:r>
    </w:p>
    <w:p>
      <w:pPr>
        <w:pStyle w:val="Heading4"/>
      </w:pPr>
      <w:bookmarkStart w:id="42" w:name="X25dba87a1a624e3819fc820df720945d59c5608"/>
      <w:r>
        <w:t xml:space="preserve">F2 — Modello</w:t>
      </w:r>
      <w:r>
        <w:t xml:space="preserve"> </w:t>
      </w:r>
      <w:r>
        <w:t xml:space="preserve">“</w:t>
      </w:r>
      <w:r>
        <w:t xml:space="preserve">lead unico + sub-fornitori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pool coordinato</w:t>
      </w:r>
      <w:r>
        <w:t xml:space="preserve">”</w:t>
      </w:r>
      <w:r>
        <w:t xml:space="preserve">?</w:t>
      </w:r>
      <w:bookmarkEnd w:id="4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Risposta attesa A</w:t>
      </w:r>
      <w:r>
        <w:t xml:space="preserve"> </w:t>
      </w:r>
      <w:r>
        <w:t xml:space="preserve">(più probabile):</w:t>
      </w:r>
      <w:r>
        <w:t xml:space="preserve"> </w:t>
      </w:r>
      <w:r>
        <w:t xml:space="preserve">“</w:t>
      </w:r>
      <w:r>
        <w:t xml:space="preserve">Lead unico FuturItaly, voi siete sub-fornitore del sito sotto FuturItaly</w:t>
      </w:r>
      <w:r>
        <w:t xml:space="preserve">”</w:t>
      </w:r>
      <w:r>
        <w:t xml:space="preserve">. REAZIONE per Carlo (se chiamato in causa): posizione comoda per HeyAI (no esposizione diretta cliente per fatturazione, Elena resta scudo politico); confermare in modo asciutto che è un setup naturale per la divisione del lavoro come l’avevamo immaginata. FOLLOW-UP per FuturItaly: c’è un contratto-cornice tra cliente e FuturItaly o si va a contratti separati per ciascun fornitore?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Risposta attesa B</w:t>
      </w:r>
      <w:r>
        <w:t xml:space="preserve"> </w:t>
      </w:r>
      <w:r>
        <w:t xml:space="preserve">(alternativa):</w:t>
      </w:r>
      <w:r>
        <w:t xml:space="preserve"> </w:t>
      </w:r>
      <w:r>
        <w:t xml:space="preserve">“</w:t>
      </w:r>
      <w:r>
        <w:t xml:space="preserve">Pool coordinato: ogni fornitore contrattualizza direttamente con Angelini, FuturItaly come coordinator</w:t>
      </w:r>
      <w:r>
        <w:t xml:space="preserve">”</w:t>
      </w:r>
      <w:r>
        <w:t xml:space="preserve">. REAZIONE per Carlo (se chiamato in causa): setup operativamente gestibile ma più scoperto per HeyAI sul lato cliente; rispondere che è una strada percorribile e chiedere chiarezza sul ruolo formale di FuturItaly nel coordinamento (con compenso o pro-bono?). Non commentare in call l’impatto sulla quotazione. FOLLOW-UP per FuturItaly: il pacchetto PM/operations del brief (slide 33-34) va al coordinator o resta voce separata di gara?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Risposta attesa C</w:t>
      </w:r>
      <w:r>
        <w:t xml:space="preserve"> </w:t>
      </w:r>
      <w:r>
        <w:t xml:space="preserve">(caso limite):</w:t>
      </w:r>
      <w:r>
        <w:t xml:space="preserve"> </w:t>
      </w:r>
      <w:r>
        <w:t xml:space="preserve">“</w:t>
      </w:r>
      <w:r>
        <w:t xml:space="preserve">Vogliamo un fornitore unico per tutto, integrato. Voi insieme dovete proporvi come unico player</w:t>
      </w:r>
      <w:r>
        <w:t xml:space="preserve">”</w:t>
      </w:r>
      <w:r>
        <w:t xml:space="preserve">. REAZIONE per Carlo: scenario importante perché spinge HeyAI fuori dal solo sito ed entra in territorio</w:t>
      </w:r>
      <w:r>
        <w:t xml:space="preserve"> </w:t>
      </w:r>
      <w:r>
        <w:t xml:space="preserve">“</w:t>
      </w:r>
      <w:r>
        <w:t xml:space="preserve">porta aperta diplomatica</w:t>
      </w:r>
      <w:r>
        <w:t xml:space="preserve">”</w:t>
      </w:r>
      <w:r>
        <w:t xml:space="preserve">. Limitarsi ad ascoltare in call, non commentare nel merito,</w:t>
      </w:r>
      <w:r>
        <w:t xml:space="preserve"> </w:t>
      </w:r>
      <w:r>
        <w:rPr>
          <w:b/>
        </w:rPr>
        <w:t xml:space="preserve">non parlare di prezzi</w:t>
      </w:r>
      <w:r>
        <w:t xml:space="preserve">. Il modello commerciale lo definiamo internamente HeyAI+FuturItaly nel debrief post-Q&amp;A. FOLLOW-UP per FuturItaly: come immaginate la suddivisione operativa interna del fornitore unico (chi fa cosa, chi coordina, chi fattura)?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Trigger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fine domanda</w:t>
      </w:r>
      <w:r>
        <w:rPr>
          <w:b/>
        </w:rPr>
        <w:t xml:space="preserve">”</w:t>
      </w:r>
      <w:r>
        <w:t xml:space="preserve">: se il cliente non ha posizione formale — non insistere. È una scelta che va decisa internamente HeyAI+FuturItaly post-Q&amp;A in funzione di quello che il cliente ha lasciato trapelare. Non forzare il cliente a una dichiarazione di principio in call: rischia di chiudere opzioni che a noi convengono.</w:t>
      </w:r>
    </w:p>
    <w:p>
      <w:pPr>
        <w:pStyle w:val="Heading2"/>
      </w:pPr>
      <w:bookmarkStart w:id="43" w:name="g.-aspetti-commerciali"/>
      <w:r>
        <w:t xml:space="preserve">G. Aspetti commerciali</w:t>
      </w:r>
      <w:bookmarkEnd w:id="4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 serve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t xml:space="preserve">C’è un</w:t>
            </w:r>
            <w:r>
              <w:t xml:space="preserve"> </w:t>
            </w:r>
            <w:r>
              <w:rPr>
                <w:b/>
              </w:rPr>
              <w:t xml:space="preserve">budget indicativo</w:t>
            </w:r>
            <w:r>
              <w:t xml:space="preserve"> </w:t>
            </w:r>
            <w:r>
              <w:t xml:space="preserve">(anche fascia) che il cliente ha mentalmente preventivato per la sola parte sito?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p>
            <w:pPr>
              <w:pStyle w:val="Compact"/>
              <w:jc w:val="left"/>
            </w:pPr>
            <w:r>
              <w:t xml:space="preserve">Permette di calibrare la proposta senza spararla nel buio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t xml:space="preserve">Modalità di pagamento standard del gruppo Angelini per fornitori? Tempistiche di pagamento?</w:t>
            </w:r>
          </w:p>
        </w:tc>
        <w:tc>
          <w:p>
            <w:pPr>
              <w:pStyle w:val="Compact"/>
              <w:jc w:val="left"/>
            </w:pPr>
            <w:r>
              <w:t xml:space="preserve">Daniele/Elena</w:t>
            </w:r>
          </w:p>
        </w:tc>
        <w:tc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p>
            <w:pPr>
              <w:pStyle w:val="Compact"/>
              <w:jc w:val="left"/>
            </w:pPr>
            <w:r>
              <w:t xml:space="preserve">Pattern pharma = pagamenti lenti, da sapere</w:t>
            </w:r>
          </w:p>
        </w:tc>
      </w:tr>
    </w:tbl>
    <w:p>
      <w:pPr>
        <w:pStyle w:val="Heading2"/>
      </w:pPr>
      <w:bookmarkStart w:id="44" w:name="Xf2a377811d253d9fc72de0d48bdbc4481c16b46"/>
      <w:r>
        <w:t xml:space="preserve">H. Domande</w:t>
      </w:r>
      <w:r>
        <w:t xml:space="preserve"> </w:t>
      </w:r>
      <w:r>
        <w:t xml:space="preserve">“</w:t>
      </w:r>
      <w:r>
        <w:t xml:space="preserve">di rilevamento</w:t>
      </w:r>
      <w:r>
        <w:t xml:space="preserve">”</w:t>
      </w:r>
      <w:r>
        <w:t xml:space="preserve"> </w:t>
      </w:r>
      <w:r>
        <w:t xml:space="preserve">— segnali da raccogliere senza chiederli</w:t>
      </w:r>
      <w:bookmarkEnd w:id="44"/>
    </w:p>
    <w:p>
      <w:pPr>
        <w:pStyle w:val="FirstParagraph"/>
      </w:pPr>
      <w:r>
        <w:t xml:space="preserve">Da osservare durante la call, anche se non vengono fatte domande dirette: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Tiziana Carnicelli</w:t>
      </w:r>
      <w:r>
        <w:t xml:space="preserve"> </w:t>
      </w:r>
      <w:r>
        <w:t xml:space="preserve">è effettivamente la dirigente alleata di FuturItaly? È in call?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Caterina Caboni</w:t>
      </w:r>
      <w:r>
        <w:t xml:space="preserve"> </w:t>
      </w:r>
      <w:r>
        <w:t xml:space="preserve">è in call? Con che ruolo si esprime — operativo (gestione gara) o decisionale (acquisti)?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Marco Morbidelli (CEO)</w:t>
      </w:r>
      <w:r>
        <w:t xml:space="preserve"> </w:t>
      </w:r>
      <w:r>
        <w:t xml:space="preserve">è citato spontaneamente come decisore o come stakeholder distante?</w:t>
      </w:r>
    </w:p>
    <w:p>
      <w:pPr>
        <w:numPr>
          <w:ilvl w:val="0"/>
          <w:numId w:val="1011"/>
        </w:numPr>
        <w:pStyle w:val="Compact"/>
      </w:pPr>
      <w:r>
        <w:t xml:space="preserve">Il tono del cliente sull’ipotesi</w:t>
      </w:r>
      <w:r>
        <w:t xml:space="preserve"> </w:t>
      </w:r>
      <w:r>
        <w:t xml:space="preserve">“</w:t>
      </w:r>
      <w:r>
        <w:t xml:space="preserve">spacchettare fornitori</w:t>
      </w:r>
      <w:r>
        <w:t xml:space="preserve">”</w:t>
      </w:r>
      <w:r>
        <w:t xml:space="preserve">: resistono attivamente, sono possibilisti, oppure l’hanno già deciso e fine della storia?</w:t>
      </w:r>
    </w:p>
    <w:p>
      <w:pPr>
        <w:numPr>
          <w:ilvl w:val="0"/>
          <w:numId w:val="1011"/>
        </w:numPr>
        <w:pStyle w:val="Compact"/>
      </w:pPr>
      <w:r>
        <w:t xml:space="preserve">Quanti fornitori hanno coinvolto in questa</w:t>
      </w:r>
      <w:r>
        <w:t xml:space="preserve"> </w:t>
      </w:r>
      <w:r>
        <w:t xml:space="preserve">“</w:t>
      </w:r>
      <w:r>
        <w:t xml:space="preserve">ripartenza informale</w:t>
      </w:r>
      <w:r>
        <w:t xml:space="preserve">”</w:t>
      </w:r>
      <w:r>
        <w:t xml:space="preserve">? Domanda da non fare frontalmente, ma da capire dai riferimenti che fanno.</w:t>
      </w:r>
    </w:p>
    <w:p>
      <w:pPr>
        <w:pStyle w:val="Heading2"/>
      </w:pPr>
      <w:bookmarkStart w:id="45" w:name="i.-cosa-portare-in-tavola-in-call"/>
      <w:r>
        <w:t xml:space="preserve">I. Cosa portare in tavola in call</w:t>
      </w:r>
      <w:bookmarkEnd w:id="4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Mockup navigabile</w:t>
      </w:r>
      <w:r>
        <w:t xml:space="preserve"> </w:t>
      </w:r>
      <w:r>
        <w:t xml:space="preserve">(anche minimale) come prova di velocità HeyAI — vedi [[Angelini Academy - Brief Mockup]]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Approccio metodologico</w:t>
      </w:r>
      <w:r>
        <w:t xml:space="preserve">: mockup navigabile invece di wireframe statici → un solo step invece di wireframe→design→prototipo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Esempio case history</w:t>
      </w:r>
      <w:r>
        <w:t xml:space="preserve">: sito FuturItaly Osservatorio (doppia anima privato/pubblico) come parallelo a doppia anima Angelini Academy (istituzionale/commerciale-MBA)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Comprensione del piano 2026</w:t>
      </w:r>
      <w:r>
        <w:t xml:space="preserve">: dimostrare che HeyAI ha letto il brief e capito i 3 goal, i 3 fili rossi, i 6 cluster target, il calendar di lancio</w:t>
      </w:r>
    </w:p>
    <w:p>
      <w:pPr>
        <w:pStyle w:val="Heading2"/>
      </w:pPr>
      <w:bookmarkStart w:id="46" w:name="X67f6af82b0436dc3e3c2011c9951de306573e7b"/>
      <w:r>
        <w:t xml:space="preserve">J. Estratto delle domande iper-necessarie</w:t>
      </w:r>
      <w:bookmarkEnd w:id="46"/>
    </w:p>
    <w:p>
      <w:pPr>
        <w:pStyle w:val="BlockText"/>
      </w:pPr>
      <w:r>
        <w:t xml:space="preserve">Lista compatta delle 6 domande senza le quali non possiamo capire la complessità del progetto, dimensionare la quotazione e definire il nostro ruolo. Da usare se in call non c’è tempo per coprire tutto: se ne vogliamo salvare solo sei, sono queste.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cosa serve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Riferimento sezione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Il sito è un rifacimento completo o aggiornamento contenuti su impalcatura esistente? Quali sezioni vanno mantenute, riscritte, create ex novo?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</w:t>
            </w:r>
            <w:r>
              <w:t xml:space="preserve"> </w:t>
            </w:r>
            <w:r>
              <w:t xml:space="preserve">— discrimina range di prezzo e timeline di sviluppo</w:t>
            </w:r>
          </w:p>
        </w:tc>
        <w:tc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Come si articola la decisione finale e con quale tempistica? Chi sono i decisori interni? Il modello di engagement è</w:t>
            </w:r>
            <w:r>
              <w:t xml:space="preserve"> </w:t>
            </w:r>
            <w:r>
              <w:t xml:space="preserve">“</w:t>
            </w:r>
            <w:r>
              <w:t xml:space="preserve">lead unico FuturItaly + sub-fornitori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pool coordinato lato cliente</w:t>
            </w:r>
            <w:r>
              <w:t xml:space="preserve">”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Ruolo HeyAI</w:t>
            </w:r>
            <w:r>
              <w:t xml:space="preserve"> </w:t>
            </w:r>
            <w:r>
              <w:t xml:space="preserve">— discrimina HeyAI come delivery di FuturItaly vs fornitore autonomo del cliente</w:t>
            </w:r>
          </w:p>
        </w:tc>
        <w:tc>
          <w:p>
            <w:pPr>
              <w:pStyle w:val="Compact"/>
              <w:jc w:val="left"/>
            </w:pPr>
            <w:r>
              <w:t xml:space="preserve">F1 + F2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Qual è la nuova data target di go-live? È legata al lancio ufficiale al Festival Economia di Trento di maggio o ad altro evento?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Fattibilità</w:t>
            </w:r>
            <w:r>
              <w:t xml:space="preserve"> </w:t>
            </w:r>
            <w:r>
              <w:t xml:space="preserve">— discrimina sito completo da sito Trento-ready + estensione iterativa</w:t>
            </w:r>
          </w:p>
        </w:tc>
        <w:tc>
          <w:p>
            <w:pPr>
              <w:pStyle w:val="Compact"/>
              <w:jc w:val="left"/>
            </w:pPr>
            <w:r>
              <w:t xml:space="preserve">E1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Esiste un brand book aggiornato per il rebranding</w:t>
            </w:r>
            <w:r>
              <w:t xml:space="preserve"> </w:t>
            </w:r>
            <w:r>
              <w:t xml:space="preserve">“</w:t>
            </w:r>
            <w:r>
              <w:t xml:space="preserve">Academy Evolution</w:t>
            </w:r>
            <w:r>
              <w:t xml:space="preserve">”</w:t>
            </w:r>
            <w:r>
              <w:t xml:space="preserve">? Se in revisione, quando è disponibile?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Vincoli grafici</w:t>
            </w:r>
            <w:r>
              <w:t xml:space="preserve"> </w:t>
            </w:r>
            <w:r>
              <w:t xml:space="preserve">— impatto diretto sui tempi di sviluppo e su rework</w:t>
            </w:r>
          </w:p>
        </w:tc>
        <w:tc>
          <w:p>
            <w:pPr>
              <w:pStyle w:val="Compact"/>
              <w:jc w:val="left"/>
            </w:pPr>
            <w:r>
              <w:t xml:space="preserve">B1 + B2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Il sito attuale è già bilingue IT/EN nativo: manteniamo entrambe le lingue al lancio della nuova SRL? Vogliamo asimmetria editoriale per pagina (es. MBA Gateway primariamente EN, Masterclass primariamente IT)?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Pricing copy</w:t>
            </w:r>
            <w:r>
              <w:t xml:space="preserve"> </w:t>
            </w:r>
            <w:r>
              <w:t xml:space="preserve">— il bilinguismo è scope strutturale, non add-on</w:t>
            </w:r>
          </w:p>
        </w:tc>
        <w:tc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Quale CMS è in uso oggi? Ci sono vincoli IT/sicurezza imposti dalla holding Angelini Industries sul fornitore?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 tecnico</w:t>
            </w:r>
            <w:r>
              <w:t xml:space="preserve"> </w:t>
            </w:r>
            <w:r>
              <w:t xml:space="preserve">— impatto fondamentale sul dimensionamento ore</w:t>
            </w:r>
          </w:p>
        </w:tc>
        <w:tc>
          <w:p>
            <w:pPr>
              <w:pStyle w:val="Compact"/>
              <w:jc w:val="left"/>
            </w:pPr>
            <w:r>
              <w:t xml:space="preserve">D1 + D2</w:t>
            </w:r>
          </w:p>
        </w:tc>
      </w:tr>
    </w:tbl>
    <w:p>
      <w:pPr>
        <w:pStyle w:val="BodyText"/>
      </w:pPr>
      <w:r>
        <w:t xml:space="preserve">Le altre domande del documento sono importanti ma rispondono a precisazioni che possiamo gestire dopo. Queste sei sono le precondizioni per scrivere una proposta seria.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Angelini Academy — Domande Q&amp;A per il pitch dell'8/5/2026</dc:title>
  <dc:creator/>
  <cp:keywords/>
  <dcterms:created xsi:type="dcterms:W3CDTF">2026-05-07T16:21:41Z</dcterms:created>
  <dcterms:modified xsi:type="dcterms:W3CDTF">2026-05-07T16:21:41Z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Angelini Academy</vt:lpwstr>
  </property>
  <property fmtid="{D5CDD505-2E9C-101B-9397-08002B2CF9AE}" pid="3" name="created">
    <vt:lpwstr>2026-05-05</vt:lpwstr>
  </property>
  <property fmtid="{D5CDD505-2E9C-101B-9397-08002B2CF9AE}" pid="4" name="event">
    <vt:lpwstr>Q&amp;A call 8/5/2026</vt:lpwstr>
  </property>
  <property fmtid="{D5CDD505-2E9C-101B-9397-08002B2CF9AE}" pid="5" name="parent_project">
    <vt:lpwstr>Angelini Academy - Sito</vt:lpwstr>
  </property>
  <property fmtid="{D5CDD505-2E9C-101B-9397-08002B2CF9AE}" pid="6" name="type">
    <vt:lpwstr>project-doc</vt:lpwstr>
  </property>
  <property fmtid="{D5CDD505-2E9C-101B-9397-08002B2CF9AE}" pid="7" name="updated">
    <vt:lpwstr>2026-05-05</vt:lpwstr>
  </property>
</Properties>
</file>