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ptos" w:cs="Aptos" w:eastAsia="Aptos" w:hAnsi="Aptos"/>
          <w:b/>
          <w:bCs/>
          <w:color w:val="074F6A"/>
          <w:sz w:val="40"/>
          <w:szCs w:val="40"/>
        </w:rPr>
        <w:t xml:space="preserve">Q&amp;A preparatorio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074F6A"/>
          <w:sz w:val="32"/>
          <w:szCs w:val="32"/>
        </w:rPr>
        <w:t xml:space="preserve">Sito di comunicazione Angelini Academy</w:t>
      </w:r>
    </w:p>
    <w:p>
      <w:pPr>
        <w:pBdr>
          <w:bottom w:val="single" w:color="208591" w:sz="12" w:space="1"/>
        </w:pBdr>
        <w:spacing w:after="360" w:before="0"/>
      </w:pPr>
      <w:r>
        <w:rPr>
          <w:rFonts w:ascii="Aptos" w:cs="Aptos" w:eastAsia="Aptos" w:hAnsi="Aptos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74F6A"/>
                <w:sz w:val="20"/>
                <w:szCs w:val="20"/>
              </w:rPr>
              <w:t xml:space="preserve">Cliente finale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33439"/>
                <w:sz w:val="20"/>
                <w:szCs w:val="20"/>
              </w:rPr>
              <w:t xml:space="preserve">Angelini Academy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74F6A"/>
                <w:sz w:val="20"/>
                <w:szCs w:val="20"/>
              </w:rPr>
              <w:t xml:space="preserve">Intermediario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33439"/>
                <w:sz w:val="20"/>
                <w:szCs w:val="20"/>
              </w:rPr>
              <w:t xml:space="preserve">FuturItaly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74F6A"/>
                <w:sz w:val="20"/>
                <w:szCs w:val="20"/>
              </w:rPr>
              <w:t xml:space="preserve">Occasione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33439"/>
                <w:sz w:val="20"/>
                <w:szCs w:val="20"/>
              </w:rPr>
              <w:t xml:space="preserve">Q&amp;A call — venerdì 8 maggio 2026, mattina (Teams)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74F6A"/>
                <w:sz w:val="20"/>
                <w:szCs w:val="20"/>
              </w:rPr>
              <w:t xml:space="preserve">Documento a cura di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33439"/>
                <w:sz w:val="20"/>
                <w:szCs w:val="20"/>
              </w:rPr>
              <w:t xml:space="preserve">FuturItaly · HeyAI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74F6A"/>
                <w:sz w:val="20"/>
                <w:szCs w:val="20"/>
              </w:rPr>
              <w:t xml:space="preserve">Versione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33439"/>
                <w:sz w:val="20"/>
                <w:szCs w:val="20"/>
              </w:rPr>
              <w:t xml:space="preserve">1.0 — 5 maggio 2026</w:t>
            </w:r>
          </w:p>
        </w:tc>
      </w:tr>
    </w:tbl>
    <w:p>
      <w:pPr>
        <w:pStyle w:val="Heading1"/>
        <w:spacing w:after="200" w:before="240"/>
      </w:pPr>
      <w:r>
        <w:rPr>
          <w:rFonts w:ascii="Aptos" w:cs="Aptos" w:eastAsia="Aptos" w:hAnsi="Aptos"/>
          <w:b/>
          <w:bCs/>
          <w:color w:val="208591"/>
          <w:sz w:val="30"/>
          <w:szCs w:val="30"/>
        </w:rPr>
        <w:t xml:space="preserve">Premessa</w:t>
      </w:r>
    </w:p>
    <w:p>
      <w:pPr>
        <w:spacing w:after="120" w:line="300"/>
        <w:jc w:val="both"/>
      </w:pPr>
      <w:r>
        <w:rPr>
          <w:rFonts w:ascii="Aptos" w:cs="Aptos" w:eastAsia="Aptos" w:hAnsi="Aptos"/>
          <w:color w:val="133439"/>
          <w:sz w:val="22"/>
          <w:szCs w:val="22"/>
        </w:rPr>
        <w:t xml:space="preserve">A valle della lettura integrale del brief «Angelini Academy Evolution — Comm briefing» e in vista della call di venerdì, abbiamo raccolto qui le domande che riteniamo più utili per calibrare la proposta sul sito di comunicazione.</w:t>
      </w:r>
    </w:p>
    <w:p>
      <w:pPr>
        <w:spacing w:after="120" w:line="300"/>
        <w:jc w:val="both"/>
      </w:pPr>
      <w:r>
        <w:rPr>
          <w:rFonts w:ascii="Aptos" w:cs="Aptos" w:eastAsia="Aptos" w:hAnsi="Aptos"/>
          <w:color w:val="133439"/>
          <w:sz w:val="22"/>
          <w:szCs w:val="22"/>
        </w:rPr>
        <w:t xml:space="preserve">L’obiettivo non è vincolare l’agenda della call — la conversazione resta libera — ma rendere il confronto più efficiente e mostrare in anticipo i punti su cui ci aspettiamo un allineamento. Per ogni domanda è riportata una breve riga di contesto che spiega perché riteniamo rilevante riprenderla insieme.</w:t>
      </w:r>
    </w:p>
    <w:p>
      <w:pPr>
        <w:spacing w:after="120" w:line="300"/>
        <w:jc w:val="both"/>
      </w:pPr>
      <w:r>
        <w:rPr>
          <w:rFonts w:ascii="Aptos" w:cs="Aptos" w:eastAsia="Aptos" w:hAnsi="Aptos"/>
          <w:color w:val="133439"/>
          <w:sz w:val="22"/>
          <w:szCs w:val="22"/>
        </w:rPr>
        <w:t xml:space="preserve">Le domande sono raggruppate per ambito; alcune si rispondono velocemente, altre potrebbero richiedere un confronto interno e tornare nei giorni successivi alla call.</w:t>
      </w:r>
    </w:p>
    <w:p>
      <w:pPr>
        <w:pStyle w:val="Heading1"/>
        <w:spacing w:after="200" w:before="360"/>
      </w:pPr>
      <w:r>
        <w:rPr>
          <w:rFonts w:ascii="Aptos" w:cs="Aptos" w:eastAsia="Aptos" w:hAnsi="Aptos"/>
          <w:b/>
          <w:bCs/>
          <w:color w:val="208591"/>
          <w:sz w:val="30"/>
          <w:szCs w:val="30"/>
        </w:rPr>
        <w:t xml:space="preserve">A. Perimetro del sito</w:t>
      </w:r>
    </w:p>
    <w:p>
      <w:pPr>
        <w:keepNext/>
        <w:spacing w:after="80" w:before="240" w:line="300"/>
        <w:jc w:val="both"/>
      </w:pPr>
      <w:r>
        <w:rPr>
          <w:rFonts w:ascii="Aptos" w:cs="Aptos" w:eastAsia="Aptos" w:hAnsi="Aptos"/>
          <w:b/>
          <w:bCs/>
          <w:color w:val="133439"/>
          <w:sz w:val="22"/>
          <w:szCs w:val="22"/>
        </w:rPr>
        <w:t>A1. Il sito esistente «Growing together» va aggiornato sezione per sezione oppure è previsto un rifacimento completo? Quali sezioni intendete mantenere, riscrivere o creare ex novo?</w:t>
      </w:r>
      <w:r>
        <w:rPr>
          <w:rStyle w:val="FootnoteReference"/>
        </w:rPr>
        <w:footnoteReference w:id="1"/>
      </w:r>
    </w:p>
    <w:p>
      <w:pPr>
        <w:spacing w:after="200" w:line="300"/>
        <w:ind w:left="0"/>
        <w:jc w:val="both"/>
      </w:pPr>
      <w:r>
        <w:rPr>
          <w:rFonts w:ascii="Aptos" w:cs="Aptos" w:eastAsia="Aptos" w:hAnsi="Aptos"/>
          <w:i/>
          <w:iCs/>
          <w:color w:val="133439"/>
          <w:sz w:val="22"/>
          <w:szCs w:val="22"/>
        </w:rPr>
        <w:t xml:space="preserve">Il brief richiama un aggiornamento dei contenuti del sito; il rebranding «Academy Evolution» potrebbe però richiedere un’evoluzione architetturale più profonda. Capire l’ambizione sull’esistente è il primo punto di calibrazione del progetto.</w:t>
      </w:r>
    </w:p>
    <w:p>
      <w:pPr>
        <w:keepNext/>
        <w:spacing w:after="80" w:before="240" w:line="300"/>
        <w:jc w:val="both"/>
      </w:pPr>
      <w:r>
        <w:rPr>
          <w:rFonts w:ascii="Aptos" w:cs="Aptos" w:eastAsia="Aptos" w:hAnsi="Aptos"/>
          <w:b/>
          <w:bCs/>
          <w:color w:val="133439"/>
          <w:sz w:val="22"/>
          <w:szCs w:val="22"/>
        </w:rPr>
        <w:t>A2. Quali sezioni nuove dovrebbero comparire sul sito per dare forma ai 4 pilastri (Engaged Research come nucleo, Corporate Learning, Educational Think Tanks, MBA Gateway)?</w:t>
      </w:r>
      <w:r>
        <w:rPr>
          <w:rStyle w:val="FootnoteReference"/>
        </w:rPr>
        <w:footnoteReference w:id="2"/>
      </w:r>
    </w:p>
    <w:p>
      <w:pPr>
        <w:spacing w:after="200" w:line="300"/>
        <w:ind w:left="0"/>
        <w:jc w:val="both"/>
      </w:pPr>
      <w:r>
        <w:rPr>
          <w:rFonts w:ascii="Aptos" w:cs="Aptos" w:eastAsia="Aptos" w:hAnsi="Aptos"/>
          <w:i/>
          <w:iCs/>
          <w:color w:val="133439"/>
          <w:sz w:val="22"/>
          <w:szCs w:val="22"/>
        </w:rPr>
        <w:t xml:space="preserve">I quattro pilastri sono il cuore della narrazione Academy Evolution; come si traducono nell’architettura del sito impatta navigazione, percorsi utente e lead generation.</w:t>
      </w:r>
    </w:p>
    <w:p>
      <w:pPr>
        <w:keepNext/>
        <w:spacing w:after="80" w:before="240" w:line="300"/>
        <w:jc w:val="both"/>
      </w:pPr>
      <w:r>
        <w:rPr>
          <w:rFonts w:ascii="Aptos" w:cs="Aptos" w:eastAsia="Aptos" w:hAnsi="Aptos"/>
          <w:b/>
          <w:bCs/>
          <w:color w:val="133439"/>
          <w:sz w:val="22"/>
          <w:szCs w:val="22"/>
        </w:rPr>
        <w:t>A3. Il sito attuale è già bilingue IT/EN nativo. Manteniamo entrambe le lingue al lancio della nuova SRL? Vogliamo prevedere un’asimmetria editoriale per pagina (es. MBA Gateway primariamente EN, Masterclass primariamente IT, Engaged Research e Forum bilingue paritetiche)?</w:t>
      </w:r>
      <w:r>
        <w:rPr>
          <w:rStyle w:val="FootnoteReference"/>
        </w:rPr>
        <w:footnoteReference w:id="3"/>
      </w:r>
    </w:p>
    <w:p>
      <w:pPr>
        <w:spacing w:after="200" w:line="300"/>
        <w:ind w:left="0"/>
        <w:jc w:val="both"/>
      </w:pPr>
      <w:r>
        <w:rPr>
          <w:rFonts w:ascii="Aptos" w:cs="Aptos" w:eastAsia="Aptos" w:hAnsi="Aptos"/>
          <w:i/>
          <w:iCs/>
          <w:color w:val="133439"/>
          <w:sz w:val="22"/>
          <w:szCs w:val="22"/>
        </w:rPr>
        <w:t xml:space="preserve">Avendo verificato che il sito attuale è già bilingue, la domanda non è se introdurre l’inglese ma come articolarlo nella nuova architettura: paritetico al lancio, asimmetrico per pagina, oppure IT-first con EN in roll-out. La scelta impatta produzione contenuti, validazione editoriale e SEO sulle URL `/it/` e `/en/` già indicizzate.</w:t>
      </w:r>
    </w:p>
    <w:p>
      <w:pPr>
        <w:keepNext/>
        <w:spacing w:after="80" w:before="240" w:line="300"/>
        <w:jc w:val="both"/>
      </w:pPr>
      <w:r>
        <w:rPr>
          <w:rFonts w:ascii="Aptos" w:cs="Aptos" w:eastAsia="Aptos" w:hAnsi="Aptos"/>
          <w:b/>
          <w:bCs/>
          <w:color w:val="133439"/>
          <w:sz w:val="22"/>
          <w:szCs w:val="22"/>
        </w:rPr>
        <w:t>A4. Il sito deve servire anche da landing per il Roadshow Università e per l’Angelini Academy Forum (eventi seeding GIU-DIC ’26), con form di lead gen dedicati?</w:t>
      </w:r>
      <w:r>
        <w:rPr>
          <w:rStyle w:val="FootnoteReference"/>
        </w:rPr>
        <w:footnoteReference w:id="4"/>
      </w:r>
    </w:p>
    <w:p>
      <w:pPr>
        <w:spacing w:after="200" w:line="300"/>
        <w:ind w:left="0"/>
        <w:jc w:val="both"/>
      </w:pPr>
      <w:r>
        <w:rPr>
          <w:rFonts w:ascii="Aptos" w:cs="Aptos" w:eastAsia="Aptos" w:hAnsi="Aptos"/>
          <w:i/>
          <w:iCs/>
          <w:color w:val="133439"/>
          <w:sz w:val="22"/>
          <w:szCs w:val="22"/>
        </w:rPr>
        <w:t xml:space="preserve">Per dimensionare correttamente la componente conversion del sito, distinguendo tra vetrina istituzionale e punto di atterraggio del traffico generato dagli eventi.</w:t>
      </w:r>
    </w:p>
    <w:p>
      <w:pPr>
        <w:keepNext/>
        <w:spacing w:after="80" w:before="240" w:line="300"/>
        <w:jc w:val="both"/>
      </w:pPr>
      <w:r>
        <w:rPr>
          <w:rFonts w:ascii="Aptos" w:cs="Aptos" w:eastAsia="Aptos" w:hAnsi="Aptos"/>
          <w:b/>
          <w:bCs/>
          <w:color w:val="133439"/>
          <w:sz w:val="22"/>
          <w:szCs w:val="22"/>
        </w:rPr>
        <w:t>A5. È previsto un percorso di iscrizione/candidatura MBA dentro il sito (form, upload CV, eventuale gestione della tassa di iscrizione 20K€), oppure il flusso resta su IE Madrid?</w:t>
      </w:r>
      <w:r>
        <w:rPr>
          <w:rStyle w:val="FootnoteReference"/>
        </w:rPr>
        <w:footnoteReference w:id="5"/>
      </w:r>
    </w:p>
    <w:p>
      <w:pPr>
        <w:spacing w:after="200" w:line="300"/>
        <w:ind w:left="0"/>
        <w:jc w:val="both"/>
      </w:pPr>
      <w:r>
        <w:rPr>
          <w:rFonts w:ascii="Aptos" w:cs="Aptos" w:eastAsia="Aptos" w:hAnsi="Aptos"/>
          <w:i/>
          <w:iCs/>
          <w:color w:val="133439"/>
          <w:sz w:val="22"/>
          <w:szCs w:val="22"/>
        </w:rPr>
        <w:t xml:space="preserve">La gestione del percorso MBA tra Angelini Academy e IE Madrid è un nodo di integrazione: chiarire dove finisce il perimetro del sito e dove comincia il flusso del partner accademico.</w:t>
      </w:r>
    </w:p>
    <w:p>
      <w:pPr>
        <w:pStyle w:val="Heading1"/>
        <w:spacing w:after="200" w:before="360"/>
      </w:pPr>
      <w:r>
        <w:rPr>
          <w:rFonts w:ascii="Aptos" w:cs="Aptos" w:eastAsia="Aptos" w:hAnsi="Aptos"/>
          <w:b/>
          <w:bCs/>
          <w:color w:val="208591"/>
          <w:sz w:val="30"/>
          <w:szCs w:val="30"/>
        </w:rPr>
        <w:t xml:space="preserve">B. Brand book e identità visiva</w:t>
      </w:r>
    </w:p>
    <w:p>
      <w:pPr>
        <w:keepNext/>
        <w:spacing w:after="80" w:before="240" w:line="300"/>
        <w:jc w:val="both"/>
      </w:pPr>
      <w:r>
        <w:rPr>
          <w:rFonts w:ascii="Aptos" w:cs="Aptos" w:eastAsia="Aptos" w:hAnsi="Aptos"/>
          <w:b/>
          <w:bCs/>
          <w:color w:val="133439"/>
          <w:sz w:val="22"/>
          <w:szCs w:val="22"/>
        </w:rPr>
        <w:t>B1. Quale brand book è il riferimento da usare? Quello del 2024 oppure è in lavorazione una versione legata al rebranding «Academy Evolution»?</w:t>
      </w:r>
    </w:p>
    <w:p>
      <w:pPr>
        <w:spacing w:after="200" w:line="300"/>
        <w:ind w:left="0"/>
        <w:jc w:val="both"/>
      </w:pPr>
      <w:r>
        <w:rPr>
          <w:rFonts w:ascii="Aptos" w:cs="Aptos" w:eastAsia="Aptos" w:hAnsi="Aptos"/>
          <w:i/>
          <w:iCs/>
          <w:color w:val="133439"/>
          <w:sz w:val="22"/>
          <w:szCs w:val="22"/>
        </w:rPr>
        <w:t xml:space="preserve">La piattaforma visiva è il vincolo creativo principale del progetto; capire quale versione di brand book guida il lavoro permette di progettare in modo coerente fin dal primo mockup.</w:t>
      </w:r>
    </w:p>
    <w:p>
      <w:pPr>
        <w:keepNext/>
        <w:spacing w:after="80" w:before="240" w:line="300"/>
        <w:jc w:val="both"/>
      </w:pPr>
      <w:r>
        <w:rPr>
          <w:rFonts w:ascii="Aptos" w:cs="Aptos" w:eastAsia="Aptos" w:hAnsi="Aptos"/>
          <w:b/>
          <w:bCs/>
          <w:color w:val="133439"/>
          <w:sz w:val="22"/>
          <w:szCs w:val="22"/>
        </w:rPr>
        <w:t>B2. Se è in revisione un brand book aggiornato, qual è la data prevista di disponibilità?</w:t>
      </w:r>
    </w:p>
    <w:p>
      <w:pPr>
        <w:spacing w:after="200" w:line="300"/>
        <w:ind w:left="0"/>
        <w:jc w:val="both"/>
      </w:pPr>
      <w:r>
        <w:rPr>
          <w:rFonts w:ascii="Aptos" w:cs="Aptos" w:eastAsia="Aptos" w:hAnsi="Aptos"/>
          <w:i/>
          <w:iCs/>
          <w:color w:val="133439"/>
          <w:sz w:val="22"/>
          <w:szCs w:val="22"/>
        </w:rPr>
        <w:t xml:space="preserve">La data di consegna del brand book impatta direttamente la timeline del sito e l’eventuale rework di pagine già impostate.</w:t>
      </w:r>
    </w:p>
    <w:p>
      <w:pPr>
        <w:keepNext/>
        <w:spacing w:after="80" w:before="240" w:line="300"/>
        <w:jc w:val="both"/>
      </w:pPr>
      <w:r>
        <w:rPr>
          <w:rFonts w:ascii="Aptos" w:cs="Aptos" w:eastAsia="Aptos" w:hAnsi="Aptos"/>
          <w:b/>
          <w:bCs/>
          <w:color w:val="133439"/>
          <w:sz w:val="22"/>
          <w:szCs w:val="22"/>
        </w:rPr>
        <w:t>B3. Il logo Angelini Academy attuale (azzurro+arancio con la goccia) è confermato o evolverà con il rebranding?</w:t>
      </w:r>
    </w:p>
    <w:p>
      <w:pPr>
        <w:spacing w:after="200" w:line="300"/>
        <w:ind w:left="0"/>
        <w:jc w:val="both"/>
      </w:pPr>
      <w:r>
        <w:rPr>
          <w:rFonts w:ascii="Aptos" w:cs="Aptos" w:eastAsia="Aptos" w:hAnsi="Aptos"/>
          <w:i/>
          <w:iCs/>
          <w:color w:val="133439"/>
          <w:sz w:val="22"/>
          <w:szCs w:val="22"/>
        </w:rPr>
        <w:t xml:space="preserve">Il logo è elemento centrale di header, footer e materiali derivati: serve un punto fermo per impostare il mockup.</w:t>
      </w:r>
    </w:p>
    <w:p>
      <w:pPr>
        <w:keepNext/>
        <w:spacing w:after="80" w:before="240" w:line="300"/>
        <w:jc w:val="both"/>
      </w:pPr>
      <w:r>
        <w:rPr>
          <w:rFonts w:ascii="Aptos" w:cs="Aptos" w:eastAsia="Aptos" w:hAnsi="Aptos"/>
          <w:b/>
          <w:bCs/>
          <w:color w:val="133439"/>
          <w:sz w:val="22"/>
          <w:szCs w:val="22"/>
        </w:rPr>
        <w:t>B4. Esiste già una library fotografica coordinata (people, masterclass, Hackathon, eventi) utilizzabile sul sito o sarà necessaria una nuova produzione?</w:t>
      </w:r>
    </w:p>
    <w:p>
      <w:pPr>
        <w:spacing w:after="200" w:line="300"/>
        <w:ind w:left="0"/>
        <w:jc w:val="both"/>
      </w:pPr>
      <w:r>
        <w:rPr>
          <w:rFonts w:ascii="Aptos" w:cs="Aptos" w:eastAsia="Aptos" w:hAnsi="Aptos"/>
          <w:i/>
          <w:iCs/>
          <w:color w:val="133439"/>
          <w:sz w:val="22"/>
          <w:szCs w:val="22"/>
        </w:rPr>
        <w:t xml:space="preserve">Le foto sono asset critici per la dimensione «umana» che il piano di comunicazione 2026 valorizza esplicitamente</w:t>
      </w:r>
      <w:r>
        <w:rPr>
          <w:rStyle w:val="FootnoteReference"/>
        </w:rPr>
        <w:footnoteReference w:id="6"/>
      </w:r>
      <w:r>
        <w:rPr>
          <w:rFonts w:ascii="Aptos" w:cs="Aptos" w:eastAsia="Aptos" w:hAnsi="Aptos"/>
          <w:i/>
          <w:iCs/>
          <w:color w:val="133439"/>
          <w:sz w:val="22"/>
          <w:szCs w:val="22"/>
        </w:rPr>
        <w:t xml:space="preserve">. Sapere se è disponibile una library permette di pianificarne fin da subito l’uso editoriale.</w:t>
      </w:r>
    </w:p>
    <w:p>
      <w:pPr>
        <w:pStyle w:val="Heading1"/>
        <w:spacing w:after="200" w:before="360"/>
      </w:pPr>
      <w:r>
        <w:rPr>
          <w:rFonts w:ascii="Aptos" w:cs="Aptos" w:eastAsia="Aptos" w:hAnsi="Aptos"/>
          <w:b/>
          <w:bCs/>
          <w:color w:val="208591"/>
          <w:sz w:val="30"/>
          <w:szCs w:val="30"/>
        </w:rPr>
        <w:t xml:space="preserve">C. Contenuti e narrazione</w:t>
      </w:r>
    </w:p>
    <w:p>
      <w:pPr>
        <w:keepNext/>
        <w:spacing w:after="80" w:before="240" w:line="300"/>
        <w:jc w:val="both"/>
      </w:pPr>
      <w:r>
        <w:rPr>
          <w:rFonts w:ascii="Aptos" w:cs="Aptos" w:eastAsia="Aptos" w:hAnsi="Aptos"/>
          <w:b/>
          <w:bCs/>
          <w:color w:val="133439"/>
          <w:sz w:val="22"/>
          <w:szCs w:val="22"/>
        </w:rPr>
        <w:t>C1. Chi produce i testi del nuovo posizionamento? Comunicazione interna Angelini, un’agenzia di copy separata, oppure l’attività ricade sul fornitore selezionato?</w:t>
      </w:r>
    </w:p>
    <w:p>
      <w:pPr>
        <w:spacing w:after="200" w:line="300"/>
        <w:ind w:left="0"/>
        <w:jc w:val="both"/>
      </w:pPr>
      <w:r>
        <w:rPr>
          <w:rFonts w:ascii="Aptos" w:cs="Aptos" w:eastAsia="Aptos" w:hAnsi="Aptos"/>
          <w:i/>
          <w:iCs/>
          <w:color w:val="133439"/>
          <w:sz w:val="22"/>
          <w:szCs w:val="22"/>
        </w:rPr>
        <w:t xml:space="preserve">La produzione dei testi è una variabile importante per scope e tempistiche: chiarire la divisione del lavoro permette di disegnare un flusso operativo realistico fin dall’inizio.</w:t>
      </w:r>
    </w:p>
    <w:p>
      <w:pPr>
        <w:keepNext/>
        <w:spacing w:after="80" w:before="240" w:line="300"/>
        <w:jc w:val="both"/>
      </w:pPr>
      <w:r>
        <w:rPr>
          <w:rFonts w:ascii="Aptos" w:cs="Aptos" w:eastAsia="Aptos" w:hAnsi="Aptos"/>
          <w:b/>
          <w:bCs/>
          <w:color w:val="133439"/>
          <w:sz w:val="22"/>
          <w:szCs w:val="22"/>
        </w:rPr>
        <w:t>C2. Esiste già un naming/storytelling consolidato dei quattro pilastri pronto per il web, oppure va sviluppato a partire dal brief?</w:t>
      </w:r>
    </w:p>
    <w:p>
      <w:pPr>
        <w:spacing w:after="200" w:line="300"/>
        <w:ind w:left="0"/>
        <w:jc w:val="both"/>
      </w:pPr>
      <w:r>
        <w:rPr>
          <w:rFonts w:ascii="Aptos" w:cs="Aptos" w:eastAsia="Aptos" w:hAnsi="Aptos"/>
          <w:i/>
          <w:iCs/>
          <w:color w:val="133439"/>
          <w:sz w:val="22"/>
          <w:szCs w:val="22"/>
        </w:rPr>
        <w:t xml:space="preserve">I titoli dei pilastri nel brief hanno taglio da slide («Corporate Learning all’avanguardia per leader e talent»); per il web vanno declinati in claim, headline e micro-copy ottimizzati per la lettura digitale.</w:t>
      </w:r>
    </w:p>
    <w:p>
      <w:pPr>
        <w:keepNext/>
        <w:spacing w:after="80" w:before="240" w:line="300"/>
        <w:jc w:val="both"/>
      </w:pPr>
      <w:r>
        <w:rPr>
          <w:rFonts w:ascii="Aptos" w:cs="Aptos" w:eastAsia="Aptos" w:hAnsi="Aptos"/>
          <w:b/>
          <w:bCs/>
          <w:color w:val="133439"/>
          <w:sz w:val="22"/>
          <w:szCs w:val="22"/>
        </w:rPr>
        <w:t>C3. I tre fili rossi (Posizionamento e purpose · Ricerca su modelli educativi innovativi · Unique Proposition del Corporate Learning) sono pensati anche come categorie editoriali del Blog del sito?</w:t>
      </w:r>
      <w:r>
        <w:rPr>
          <w:rStyle w:val="FootnoteReference"/>
        </w:rPr>
        <w:footnoteReference w:id="7"/>
      </w:r>
    </w:p>
    <w:p>
      <w:pPr>
        <w:spacing w:after="200" w:line="300"/>
        <w:ind w:left="0"/>
        <w:jc w:val="both"/>
      </w:pPr>
      <w:r>
        <w:rPr>
          <w:rFonts w:ascii="Aptos" w:cs="Aptos" w:eastAsia="Aptos" w:hAnsi="Aptos"/>
          <w:i/>
          <w:iCs/>
          <w:color w:val="133439"/>
          <w:sz w:val="22"/>
          <w:szCs w:val="22"/>
        </w:rPr>
        <w:t xml:space="preserve">Capire se i fili rossi restano strumenti di pianificazione editoriale interna o diventano tassonomia pubblica del sito ci permette di organizzare blog, tagging e search in modo coerente con il piano 2026.</w:t>
      </w:r>
    </w:p>
    <w:p>
      <w:pPr>
        <w:keepNext/>
        <w:spacing w:after="80" w:before="240" w:line="300"/>
        <w:jc w:val="both"/>
      </w:pPr>
      <w:r>
        <w:rPr>
          <w:rFonts w:ascii="Aptos" w:cs="Aptos" w:eastAsia="Aptos" w:hAnsi="Aptos"/>
          <w:b/>
          <w:bCs/>
          <w:color w:val="133439"/>
          <w:sz w:val="22"/>
          <w:szCs w:val="22"/>
        </w:rPr>
        <w:t>C4. Le partnership accademiche citate nel brief (London Business School, IMD, Stockholm SE, IE, UCL, Royal College of Art, SDA Bocconi, LUISS, BBS, POLIMI, ESPC, Imperial) sono tutte già confermate o alcune sono ancora in definizione? Possiamo mostrarne i loghi sul sito?</w:t>
      </w:r>
    </w:p>
    <w:p>
      <w:pPr>
        <w:spacing w:after="200" w:line="300"/>
        <w:ind w:left="0"/>
        <w:jc w:val="both"/>
      </w:pPr>
      <w:r>
        <w:rPr>
          <w:rFonts w:ascii="Aptos" w:cs="Aptos" w:eastAsia="Aptos" w:hAnsi="Aptos"/>
          <w:i/>
          <w:iCs/>
          <w:color w:val="133439"/>
          <w:sz w:val="22"/>
          <w:szCs w:val="22"/>
        </w:rPr>
        <w:t xml:space="preserve">I loghi delle università partner sono asset di credibilità potenti, ma soggetti a vincoli legali e di IP: meglio chiarire prima cosa è pubblicabile.</w:t>
      </w:r>
    </w:p>
    <w:p>
      <w:pPr>
        <w:keepNext/>
        <w:spacing w:after="80" w:before="240" w:line="300"/>
        <w:jc w:val="both"/>
      </w:pPr>
      <w:r>
        <w:rPr>
          <w:rFonts w:ascii="Aptos" w:cs="Aptos" w:eastAsia="Aptos" w:hAnsi="Aptos"/>
          <w:b/>
          <w:bCs/>
          <w:color w:val="133439"/>
          <w:sz w:val="22"/>
          <w:szCs w:val="22"/>
        </w:rPr>
        <w:t>C5. I programmi specifici per le OpCo del Gruppo Angelini (numeri partecipanti, contenuti, budget) sono pubblicabili sul sito o richiedono un trattamento riservato?</w:t>
      </w:r>
      <w:r>
        <w:rPr>
          <w:rStyle w:val="FootnoteReference"/>
        </w:rPr>
        <w:footnoteReference w:id="8"/>
      </w:r>
    </w:p>
    <w:p>
      <w:pPr>
        <w:spacing w:after="200" w:line="300"/>
        <w:ind w:left="0"/>
        <w:jc w:val="both"/>
      </w:pPr>
      <w:r>
        <w:rPr>
          <w:rFonts w:ascii="Aptos" w:cs="Aptos" w:eastAsia="Aptos" w:hAnsi="Aptos"/>
          <w:i/>
          <w:iCs/>
          <w:color w:val="133439"/>
          <w:sz w:val="22"/>
          <w:szCs w:val="22"/>
        </w:rPr>
        <w:t xml:space="preserve">Il Pilastro 2 «Innovazione tecnica e manageriale» è pensato come vetrina pubblica del sito; serve sapere quale livello di dettaglio sulle OpCo (Pharma, Tech, Ventures, Fater) può uscire pubblicamente, cosa resta in area riservata e cosa eventualmente offline.</w:t>
      </w:r>
    </w:p>
    <w:p>
      <w:pPr>
        <w:pStyle w:val="Heading1"/>
        <w:spacing w:after="200" w:before="360"/>
      </w:pPr>
      <w:r>
        <w:rPr>
          <w:rFonts w:ascii="Aptos" w:cs="Aptos" w:eastAsia="Aptos" w:hAnsi="Aptos"/>
          <w:b/>
          <w:bCs/>
          <w:color w:val="208591"/>
          <w:sz w:val="30"/>
          <w:szCs w:val="30"/>
        </w:rPr>
        <w:t xml:space="preserve">D. Stack tecnico e integrazioni</w:t>
      </w:r>
    </w:p>
    <w:p>
      <w:pPr>
        <w:keepNext/>
        <w:spacing w:after="80" w:before="240" w:line="300"/>
        <w:jc w:val="both"/>
      </w:pPr>
      <w:r>
        <w:rPr>
          <w:rFonts w:ascii="Aptos" w:cs="Aptos" w:eastAsia="Aptos" w:hAnsi="Aptos"/>
          <w:b/>
          <w:bCs/>
          <w:color w:val="133439"/>
          <w:sz w:val="22"/>
          <w:szCs w:val="22"/>
        </w:rPr>
        <w:t>D1. Quale CMS è in uso oggi sul sito Angelini Academy? Esistono vincoli a mantenerlo?</w:t>
      </w:r>
    </w:p>
    <w:p>
      <w:pPr>
        <w:spacing w:after="200" w:line="300"/>
        <w:ind w:left="0"/>
        <w:jc w:val="both"/>
      </w:pPr>
      <w:r>
        <w:rPr>
          <w:rFonts w:ascii="Aptos" w:cs="Aptos" w:eastAsia="Aptos" w:hAnsi="Aptos"/>
          <w:i/>
          <w:iCs/>
          <w:color w:val="133439"/>
          <w:sz w:val="22"/>
          <w:szCs w:val="22"/>
        </w:rPr>
        <w:t xml:space="preserve">Lo stack tecnico determina molti aspetti del progetto (sviluppo, integrazioni, hosting, manutenzione futura) ed è uno dei principali fattori di dimensionamento.</w:t>
      </w:r>
    </w:p>
    <w:p>
      <w:pPr>
        <w:keepNext/>
        <w:spacing w:after="80" w:before="240" w:line="300"/>
        <w:jc w:val="both"/>
      </w:pPr>
      <w:r>
        <w:rPr>
          <w:rFonts w:ascii="Aptos" w:cs="Aptos" w:eastAsia="Aptos" w:hAnsi="Aptos"/>
          <w:b/>
          <w:bCs/>
          <w:color w:val="133439"/>
          <w:sz w:val="22"/>
          <w:szCs w:val="22"/>
        </w:rPr>
        <w:t>D2. Lo stack IT della holding Angelini è prevalentemente Microsoft? Esistono vincoli IT o di sicurezza imposti dalla holding sui fornitori?</w:t>
      </w:r>
    </w:p>
    <w:p>
      <w:pPr>
        <w:spacing w:after="200" w:line="300"/>
        <w:ind w:left="0"/>
        <w:jc w:val="both"/>
      </w:pPr>
      <w:r>
        <w:rPr>
          <w:rFonts w:ascii="Aptos" w:cs="Aptos" w:eastAsia="Aptos" w:hAnsi="Aptos"/>
          <w:i/>
          <w:iCs/>
          <w:color w:val="133439"/>
          <w:sz w:val="22"/>
          <w:szCs w:val="22"/>
        </w:rPr>
        <w:t xml:space="preserve">Pattern frequente nei gruppi farmaceutici: eventuali vincoli (autenticazione, hosting, certificazioni, SSO) impattano stack e flussi di delivery.</w:t>
      </w:r>
    </w:p>
    <w:p>
      <w:pPr>
        <w:keepNext/>
        <w:spacing w:after="80" w:before="240" w:line="300"/>
        <w:jc w:val="both"/>
      </w:pPr>
      <w:r>
        <w:rPr>
          <w:rFonts w:ascii="Aptos" w:cs="Aptos" w:eastAsia="Aptos" w:hAnsi="Aptos"/>
          <w:b/>
          <w:bCs/>
          <w:color w:val="133439"/>
          <w:sz w:val="22"/>
          <w:szCs w:val="22"/>
        </w:rPr>
        <w:t>D3. Il sito deve integrarsi con sistemi HR (per i flussi MBA/recruiting), CRM o marketing automation (lead gen e nurturing), piattaforme eventi (Hackathon, Roadshow)?</w:t>
      </w:r>
    </w:p>
    <w:p>
      <w:pPr>
        <w:spacing w:after="200" w:line="300"/>
        <w:ind w:left="0"/>
        <w:jc w:val="both"/>
      </w:pPr>
      <w:r>
        <w:rPr>
          <w:rFonts w:ascii="Aptos" w:cs="Aptos" w:eastAsia="Aptos" w:hAnsi="Aptos"/>
          <w:i/>
          <w:iCs/>
          <w:color w:val="133439"/>
          <w:sz w:val="22"/>
          <w:szCs w:val="22"/>
        </w:rPr>
        <w:t xml:space="preserve">Le integrazioni sono spesso il fattore principale di complessità di un sito di comunicazione corporate: mapparle in anticipo evita sorprese in fase di sviluppo.</w:t>
      </w:r>
    </w:p>
    <w:p>
      <w:pPr>
        <w:keepNext/>
        <w:spacing w:after="80" w:before="240" w:line="300"/>
        <w:jc w:val="both"/>
      </w:pPr>
      <w:r>
        <w:rPr>
          <w:rFonts w:ascii="Aptos" w:cs="Aptos" w:eastAsia="Aptos" w:hAnsi="Aptos"/>
          <w:b/>
          <w:bCs/>
          <w:color w:val="133439"/>
          <w:sz w:val="22"/>
          <w:szCs w:val="22"/>
        </w:rPr>
        <w:t>D4. Esiste un’analytics in essere (Google Analytics 4, Adobe Analytics, altro)? Con quali KPI baseline (sessioni, pagine viste, conversioni)?</w:t>
      </w:r>
      <w:r>
        <w:rPr>
          <w:rStyle w:val="FootnoteReference"/>
        </w:rPr>
        <w:footnoteReference w:id="9"/>
      </w:r>
    </w:p>
    <w:p>
      <w:pPr>
        <w:spacing w:after="200" w:line="300"/>
        <w:ind w:left="0"/>
        <w:jc w:val="both"/>
      </w:pPr>
      <w:r>
        <w:rPr>
          <w:rFonts w:ascii="Aptos" w:cs="Aptos" w:eastAsia="Aptos" w:hAnsi="Aptos"/>
          <w:i/>
          <w:iCs/>
          <w:color w:val="133439"/>
          <w:sz w:val="22"/>
          <w:szCs w:val="22"/>
        </w:rPr>
        <w:t xml:space="preserve">Avere una baseline permette di proporre KPI realistici e confrontabili nel tempo, in linea con la richiesta di metodologia di misurazione del brief.</w:t>
      </w:r>
    </w:p>
    <w:p>
      <w:pPr>
        <w:keepNext/>
        <w:spacing w:after="80" w:before="240" w:line="300"/>
        <w:jc w:val="both"/>
      </w:pPr>
      <w:r>
        <w:rPr>
          <w:rFonts w:ascii="Aptos" w:cs="Aptos" w:eastAsia="Aptos" w:hAnsi="Aptos"/>
          <w:b/>
          <w:bCs/>
          <w:color w:val="133439"/>
          <w:sz w:val="22"/>
          <w:szCs w:val="22"/>
        </w:rPr>
        <w:t>D5. Cookie policy, GDPR, compliance specifica del gruppo Angelini: esistono template legal interni a cui allinearsi?</w:t>
      </w:r>
    </w:p>
    <w:p>
      <w:pPr>
        <w:spacing w:after="200" w:line="300"/>
        <w:ind w:left="0"/>
        <w:jc w:val="both"/>
      </w:pPr>
      <w:r>
        <w:rPr>
          <w:rFonts w:ascii="Aptos" w:cs="Aptos" w:eastAsia="Aptos" w:hAnsi="Aptos"/>
          <w:i/>
          <w:iCs/>
          <w:color w:val="133439"/>
          <w:sz w:val="22"/>
          <w:szCs w:val="22"/>
        </w:rPr>
        <w:t xml:space="preserve">La compliance è particolarmente sentita in ambito pharma: è preferibile riusare framework esistenti dell’organizzazione piuttosto che ricostruirli ex novo.</w:t>
      </w:r>
    </w:p>
    <w:p>
      <w:pPr>
        <w:pStyle w:val="Heading1"/>
        <w:spacing w:after="200" w:before="360"/>
      </w:pPr>
      <w:r>
        <w:rPr>
          <w:rFonts w:ascii="Aptos" w:cs="Aptos" w:eastAsia="Aptos" w:hAnsi="Aptos"/>
          <w:b/>
          <w:bCs/>
          <w:color w:val="208591"/>
          <w:sz w:val="30"/>
          <w:szCs w:val="30"/>
        </w:rPr>
        <w:t xml:space="preserve">E. Tempistiche e go-live</w:t>
      </w:r>
    </w:p>
    <w:p>
      <w:pPr>
        <w:keepNext/>
        <w:spacing w:after="80" w:before="240" w:line="300"/>
        <w:jc w:val="both"/>
      </w:pPr>
      <w:r>
        <w:rPr>
          <w:rFonts w:ascii="Aptos" w:cs="Aptos" w:eastAsia="Aptos" w:hAnsi="Aptos"/>
          <w:b/>
          <w:bCs/>
          <w:color w:val="133439"/>
          <w:sz w:val="22"/>
          <w:szCs w:val="22"/>
        </w:rPr>
        <w:t>E1. Il go-live entro aprile previsto nel brief originale è ovviamente da rivedere. Qual è la nuova data target? È legata al lancio ufficiale al Festival dell’Economia di Trento (maggio) o ad altro evento?</w:t>
      </w:r>
    </w:p>
    <w:p>
      <w:pPr>
        <w:spacing w:after="200" w:line="300"/>
        <w:ind w:left="0"/>
        <w:jc w:val="both"/>
      </w:pPr>
      <w:r>
        <w:rPr>
          <w:rFonts w:ascii="Aptos" w:cs="Aptos" w:eastAsia="Aptos" w:hAnsi="Aptos"/>
          <w:i/>
          <w:iCs/>
          <w:color w:val="133439"/>
          <w:sz w:val="22"/>
          <w:szCs w:val="22"/>
        </w:rPr>
        <w:t xml:space="preserve">La data di go-live è la variabile più impattante su scope e prioritizzazione delle sezioni: capire se è ancorata a un evento specifico permette di costruire un piano realistico, eventualmente in due fasi (lancio + estensione).</w:t>
      </w:r>
    </w:p>
    <w:p>
      <w:pPr>
        <w:keepNext/>
        <w:spacing w:after="80" w:before="240" w:line="300"/>
        <w:jc w:val="both"/>
      </w:pPr>
      <w:r>
        <w:rPr>
          <w:rFonts w:ascii="Aptos" w:cs="Aptos" w:eastAsia="Aptos" w:hAnsi="Aptos"/>
          <w:b/>
          <w:bCs/>
          <w:color w:val="133439"/>
          <w:sz w:val="22"/>
          <w:szCs w:val="22"/>
        </w:rPr>
        <w:t>E2. Esiste un’urgenza specifica legata al recruiting MBA per il prossimo ciclo di selezione?</w:t>
      </w:r>
    </w:p>
    <w:p>
      <w:pPr>
        <w:spacing w:after="200" w:line="300"/>
        <w:ind w:left="0"/>
        <w:jc w:val="both"/>
      </w:pPr>
      <w:r>
        <w:rPr>
          <w:rFonts w:ascii="Aptos" w:cs="Aptos" w:eastAsia="Aptos" w:hAnsi="Aptos"/>
          <w:i/>
          <w:iCs/>
          <w:color w:val="133439"/>
          <w:sz w:val="22"/>
          <w:szCs w:val="22"/>
        </w:rPr>
        <w:t xml:space="preserve">Le finestre MBA hanno tempistiche rigide: se il sito deve supportare il prossimo ciclo, la timeline si calibra di conseguenza.</w:t>
      </w:r>
    </w:p>
    <w:p>
      <w:pPr>
        <w:pStyle w:val="Heading1"/>
        <w:spacing w:after="200" w:before="360"/>
      </w:pPr>
      <w:r>
        <w:rPr>
          <w:rFonts w:ascii="Aptos" w:cs="Aptos" w:eastAsia="Aptos" w:hAnsi="Aptos"/>
          <w:b/>
          <w:bCs/>
          <w:color w:val="208591"/>
          <w:sz w:val="30"/>
          <w:szCs w:val="30"/>
        </w:rPr>
        <w:t xml:space="preserve">F. Governance e modello fornitori</w:t>
      </w:r>
    </w:p>
    <w:p>
      <w:pPr>
        <w:keepNext/>
        <w:spacing w:after="80" w:before="240" w:line="300"/>
        <w:jc w:val="both"/>
      </w:pPr>
      <w:r>
        <w:rPr>
          <w:rFonts w:ascii="Aptos" w:cs="Aptos" w:eastAsia="Aptos" w:hAnsi="Aptos"/>
          <w:b/>
          <w:bCs/>
          <w:color w:val="133439"/>
          <w:sz w:val="22"/>
          <w:szCs w:val="22"/>
        </w:rPr>
        <w:t>F1. Come si articola la decisione finale sul fornitore? Quali sono i decisori interni coinvolti e con quale tempistica indicativa?</w:t>
      </w:r>
    </w:p>
    <w:p>
      <w:pPr>
        <w:spacing w:after="200" w:line="300"/>
        <w:ind w:left="0"/>
        <w:jc w:val="both"/>
      </w:pPr>
      <w:r>
        <w:rPr>
          <w:rFonts w:ascii="Aptos" w:cs="Aptos" w:eastAsia="Aptos" w:hAnsi="Aptos"/>
          <w:i/>
          <w:iCs/>
          <w:color w:val="133439"/>
          <w:sz w:val="22"/>
          <w:szCs w:val="22"/>
        </w:rPr>
        <w:t xml:space="preserve">Mappare la governance del processo decisionale ci permette di calibrare ritmi della proposta, deliverable intermedi e momenti di confronto.</w:t>
      </w:r>
    </w:p>
    <w:p>
      <w:pPr>
        <w:keepNext/>
        <w:spacing w:after="80" w:before="240" w:line="300"/>
        <w:jc w:val="both"/>
      </w:pPr>
      <w:r>
        <w:rPr>
          <w:rFonts w:ascii="Aptos" w:cs="Aptos" w:eastAsia="Aptos" w:hAnsi="Aptos"/>
          <w:b/>
          <w:bCs/>
          <w:color w:val="133439"/>
          <w:sz w:val="22"/>
          <w:szCs w:val="22"/>
        </w:rPr>
        <w:t>F2. Il modello di engagement è «lead unico + sub-fornitori» oppure «pool di fornitori coordinati lato cliente»? Come si posiziona FuturItaly in questo modello?</w:t>
      </w:r>
    </w:p>
    <w:p>
      <w:pPr>
        <w:spacing w:after="200" w:line="300"/>
        <w:ind w:left="0"/>
        <w:jc w:val="both"/>
      </w:pPr>
      <w:r>
        <w:rPr>
          <w:rFonts w:ascii="Aptos" w:cs="Aptos" w:eastAsia="Aptos" w:hAnsi="Aptos"/>
          <w:i/>
          <w:iCs/>
          <w:color w:val="133439"/>
          <w:sz w:val="22"/>
          <w:szCs w:val="22"/>
        </w:rPr>
        <w:t xml:space="preserve">Il modello di engagement determina contrattualistica, governance del progetto, fatturazione e SLA: utile chiarirlo prima di costruire la proposta.</w:t>
      </w:r>
    </w:p>
    <w:p>
      <w:pPr>
        <w:keepNext/>
        <w:spacing w:after="80" w:before="240" w:line="300"/>
        <w:jc w:val="both"/>
      </w:pPr>
      <w:r>
        <w:rPr>
          <w:rFonts w:ascii="Aptos" w:cs="Aptos" w:eastAsia="Aptos" w:hAnsi="Aptos"/>
          <w:b/>
          <w:bCs/>
          <w:color w:val="133439"/>
          <w:sz w:val="22"/>
          <w:szCs w:val="22"/>
        </w:rPr>
        <w:t>F3. Per le altre voci del brief (social, content, video, brochure, gadget, pacchetto ore PM), avete già fornitori in essere? Se sì, restano nel perimetro?</w:t>
      </w:r>
    </w:p>
    <w:p>
      <w:pPr>
        <w:spacing w:after="200" w:line="300"/>
        <w:ind w:left="0"/>
        <w:jc w:val="both"/>
      </w:pPr>
      <w:r>
        <w:rPr>
          <w:rFonts w:ascii="Aptos" w:cs="Aptos" w:eastAsia="Aptos" w:hAnsi="Aptos"/>
          <w:i/>
          <w:iCs/>
          <w:color w:val="133439"/>
          <w:sz w:val="22"/>
          <w:szCs w:val="22"/>
        </w:rPr>
        <w:t xml:space="preserve">Capire il quadro fornitori complessivo aiuta a evitare sovrapposizioni e a disegnare un perimetro chiaro, dentro il quale ognuno porta il proprio contributo specialistico.</w:t>
      </w:r>
    </w:p>
    <w:p>
      <w:pPr>
        <w:keepNext/>
        <w:spacing w:after="80" w:before="240" w:line="300"/>
        <w:jc w:val="both"/>
      </w:pPr>
      <w:r>
        <w:rPr>
          <w:rFonts w:ascii="Aptos" w:cs="Aptos" w:eastAsia="Aptos" w:hAnsi="Aptos"/>
          <w:b/>
          <w:bCs/>
          <w:color w:val="133439"/>
          <w:sz w:val="22"/>
          <w:szCs w:val="22"/>
        </w:rPr>
        <w:t>F4. Il pacchetto ore in outsourcing per Project Management e Operations richiesto nel brief è pensato come gestione integrata del progetto comunicazione lato cliente, oppure come risorse aggiuntive a copertura di attività ricorrenti?</w:t>
      </w:r>
      <w:r>
        <w:rPr>
          <w:rStyle w:val="FootnoteReference"/>
        </w:rPr>
        <w:footnoteReference w:id="10"/>
      </w:r>
    </w:p>
    <w:p>
      <w:pPr>
        <w:spacing w:after="200" w:line="300"/>
        <w:ind w:left="0"/>
        <w:jc w:val="both"/>
      </w:pPr>
      <w:r>
        <w:rPr>
          <w:rFonts w:ascii="Aptos" w:cs="Aptos" w:eastAsia="Aptos" w:hAnsi="Aptos"/>
          <w:i/>
          <w:iCs/>
          <w:color w:val="133439"/>
          <w:sz w:val="22"/>
          <w:szCs w:val="22"/>
        </w:rPr>
        <w:t xml:space="preserve">La distinzione cambia il profilo professionale di chi va a coprire quel pacchetto e il dimensionamento delle ore.</w:t>
      </w:r>
    </w:p>
    <w:p>
      <w:pPr>
        <w:pStyle w:val="Heading1"/>
        <w:spacing w:after="200" w:before="360"/>
      </w:pPr>
      <w:r>
        <w:rPr>
          <w:rFonts w:ascii="Aptos" w:cs="Aptos" w:eastAsia="Aptos" w:hAnsi="Aptos"/>
          <w:b/>
          <w:bCs/>
          <w:color w:val="208591"/>
          <w:sz w:val="30"/>
          <w:szCs w:val="30"/>
        </w:rPr>
        <w:t xml:space="preserve">G. Quadro economico</w:t>
      </w:r>
    </w:p>
    <w:p>
      <w:pPr>
        <w:keepNext/>
        <w:spacing w:after="80" w:before="240" w:line="300"/>
        <w:jc w:val="both"/>
      </w:pPr>
      <w:r>
        <w:rPr>
          <w:rFonts w:ascii="Aptos" w:cs="Aptos" w:eastAsia="Aptos" w:hAnsi="Aptos"/>
          <w:b/>
          <w:bCs/>
          <w:color w:val="133439"/>
          <w:sz w:val="22"/>
          <w:szCs w:val="22"/>
        </w:rPr>
        <w:t>G1. Esiste un budget indicativo (anche solo come fascia) preventivato per la sola parte sito web?</w:t>
      </w:r>
    </w:p>
    <w:p>
      <w:pPr>
        <w:spacing w:after="200" w:line="300"/>
        <w:ind w:left="0"/>
        <w:jc w:val="both"/>
      </w:pPr>
      <w:r>
        <w:rPr>
          <w:rFonts w:ascii="Aptos" w:cs="Aptos" w:eastAsia="Aptos" w:hAnsi="Aptos"/>
          <w:i/>
          <w:iCs/>
          <w:color w:val="133439"/>
          <w:sz w:val="22"/>
          <w:szCs w:val="22"/>
        </w:rPr>
        <w:t xml:space="preserve">Una fascia di budget permette di calibrare la proposta sul livello di ambizione effettiva del cliente, evitando di proporre uno scope sotto- o sovra-dimensionato rispetto alle aspettative.</w:t>
      </w:r>
    </w:p>
    <w:p>
      <w:pPr>
        <w:spacing w:after="0" w:before="360"/>
      </w:pPr>
      <w:r>
        <w:rPr>
          <w:rFonts w:ascii="Aptos" w:cs="Aptos" w:eastAsia="Aptos" w:hAnsi="Aptos"/>
          <w:sz w:val="4"/>
          <w:szCs w:val="4"/>
        </w:rPr>
        <w:t xml:space="preserve"/>
      </w:r>
    </w:p>
    <w:p>
      <w:pPr>
        <w:pBdr>
          <w:top w:val="single" w:color="208591" w:sz="8" w:space="1"/>
        </w:pBdr>
        <w:spacing w:after="0" w:before="240"/>
      </w:pPr>
      <w:r>
        <w:rPr>
          <w:rFonts w:ascii="Aptos" w:cs="Aptos" w:eastAsia="Aptos" w:hAnsi="Aptos"/>
          <w:sz w:val="4"/>
          <w:szCs w:val="4"/>
        </w:rPr>
        <w:t xml:space="preserve"/>
      </w:r>
    </w:p>
    <w:p>
      <w:pPr>
        <w:spacing w:after="0" w:before="240"/>
        <w:jc w:val="both"/>
      </w:pPr>
      <w:r>
        <w:rPr>
          <w:rFonts w:ascii="Aptos" w:cs="Aptos" w:eastAsia="Aptos" w:hAnsi="Aptos"/>
          <w:i/>
          <w:iCs/>
          <w:color w:val="133439"/>
          <w:sz w:val="22"/>
          <w:szCs w:val="22"/>
        </w:rPr>
        <w:t xml:space="preserve">Restiamo a disposizione per integrare la lista nei giorni precedenti la call, qualora emergano altri punti utili al confronto.</w:t>
      </w:r>
    </w:p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70"/>
      </w:tabs>
      <w:spacing w:before="0"/>
    </w:pPr>
    <w:r>
      <w:rPr>
        <w:rFonts w:ascii="Aptos" w:cs="Aptos" w:eastAsia="Aptos" w:hAnsi="Aptos"/>
        <w:color w:val="074F6A"/>
        <w:sz w:val="18"/>
        <w:szCs w:val="18"/>
      </w:rPr>
      <w:t xml:space="preserve">FuturItaly · HeyAI</w:t>
    </w:r>
    <w:r>
      <w:rPr>
        <w:rFonts w:ascii="Aptos" w:cs="Aptos" w:eastAsia="Aptos" w:hAnsi="Aptos"/>
        <w:color w:val="133439"/>
        <w:sz w:val="18"/>
        <w:szCs w:val="18"/>
      </w:rPr>
      <w:t xml:space="preserve">	</w:t>
    </w:r>
    <w:r>
      <w:rPr>
        <w:rFonts w:ascii="Aptos" w:cs="Aptos" w:eastAsia="Aptos" w:hAnsi="Aptos"/>
        <w:color w:val="133439"/>
        <w:sz w:val="18"/>
        <w:szCs w:val="18"/>
      </w:rPr>
      <w:t xml:space="preserve">Pagina </w:t>
    </w:r>
    <w:r>
      <w:rPr>
        <w:rFonts w:ascii="Aptos" w:cs="Aptos" w:eastAsia="Aptos" w:hAnsi="Aptos"/>
        <w:color w:val="13343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133439"/>
        <w:sz w:val="18"/>
        <w:szCs w:val="18"/>
      </w:rPr>
      <w:t xml:space="preserve"> di </w:t>
    </w:r>
    <w:r>
      <w:rPr>
        <w:rFonts w:ascii="Aptos" w:cs="Aptos" w:eastAsia="Aptos" w:hAnsi="Aptos"/>
        <w:color w:val="13343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60" w:line="240"/>
      </w:pPr>
      <w:r>
        <w:rPr>
          <w:rStyle w:val="FootnoteReference"/>
        </w:rPr>
        <w:footnoteRef/>
      </w:r>
      <w:r>
        <w:rPr>
          <w:rFonts w:ascii="Aptos" w:cs="Aptos" w:eastAsia="Aptos" w:hAnsi="Aptos"/>
          <w:color w:val="133439"/>
          <w:sz w:val="18"/>
          <w:szCs w:val="18"/>
        </w:rPr>
        <w:t xml:space="preserve">Documento «Angelini Academy Evolution — Comm briefing», ricevuto via SharePoint il 4 maggio 2026 (37 slide). Riferimento per la voce «Sito web» del kit integrato di comunicazione: slide 30.</w:t>
      </w:r>
    </w:p>
  </w:footnote>
  <w:footnote w:id="2">
    <w:p>
      <w:pPr>
        <w:spacing w:after="60" w:line="240"/>
      </w:pPr>
      <w:r>
        <w:rPr>
          <w:rStyle w:val="FootnoteReference"/>
        </w:rPr>
        <w:footnoteRef/>
      </w:r>
      <w:r>
        <w:rPr>
          <w:rFonts w:ascii="Aptos" w:cs="Aptos" w:eastAsia="Aptos" w:hAnsi="Aptos"/>
          <w:color w:val="133439"/>
          <w:sz w:val="18"/>
          <w:szCs w:val="18"/>
        </w:rPr>
        <w:t xml:space="preserve">Brief gara, slide 9 — architettura del piano: nucleo «Engaged Research» e quattro pilastri (Corporate Learning, Innovazione tecnica/manageriale, Educational Think Tanks, MBA Gateway).</w:t>
      </w:r>
    </w:p>
  </w:footnote>
  <w:footnote w:id="3">
    <w:p>
      <w:pPr>
        <w:spacing w:after="60" w:line="240"/>
      </w:pPr>
      <w:r>
        <w:rPr>
          <w:rStyle w:val="FootnoteReference"/>
        </w:rPr>
        <w:footnoteRef/>
      </w:r>
      <w:r>
        <w:rPr>
          <w:rFonts w:ascii="Aptos" w:cs="Aptos" w:eastAsia="Aptos" w:hAnsi="Aptos"/>
          <w:color w:val="133439"/>
          <w:sz w:val="18"/>
          <w:szCs w:val="18"/>
        </w:rPr>
        <w:t xml:space="preserve">Sito attuale verificato il 5 maggio 2026 su angeliniacademy.com: bilingue IT/EN nativo, struttura URL `/it/` e `/en/`, sezioni di livello 1 popolate in entrambe le lingue.</w:t>
      </w:r>
    </w:p>
  </w:footnote>
  <w:footnote w:id="4">
    <w:p>
      <w:pPr>
        <w:spacing w:after="60" w:line="240"/>
      </w:pPr>
      <w:r>
        <w:rPr>
          <w:rStyle w:val="FootnoteReference"/>
        </w:rPr>
        <w:footnoteRef/>
      </w:r>
      <w:r>
        <w:rPr>
          <w:rFonts w:ascii="Aptos" w:cs="Aptos" w:eastAsia="Aptos" w:hAnsi="Aptos"/>
          <w:color w:val="133439"/>
          <w:sz w:val="18"/>
          <w:szCs w:val="18"/>
        </w:rPr>
        <w:t xml:space="preserve">Brief gara, slide 19 — Calendar di lancio. Lancio ufficiale al Festival dell’Economia di Trento di maggio 2026; seeding GIU-DIC 2026 con Roadshow Università e Angelini Academy Forum.</w:t>
      </w:r>
    </w:p>
  </w:footnote>
  <w:footnote w:id="5">
    <w:p>
      <w:pPr>
        <w:spacing w:after="60" w:line="240"/>
      </w:pPr>
      <w:r>
        <w:rPr>
          <w:rStyle w:val="FootnoteReference"/>
        </w:rPr>
        <w:footnoteRef/>
      </w:r>
      <w:r>
        <w:rPr>
          <w:rFonts w:ascii="Aptos" w:cs="Aptos" w:eastAsia="Aptos" w:hAnsi="Aptos"/>
          <w:color w:val="133439"/>
          <w:sz w:val="18"/>
          <w:szCs w:val="18"/>
        </w:rPr>
        <w:t xml:space="preserve">Brief gara, slide 9 — Pilastro 4 / Angelini Academy Gateway: 10 giovani selezionati, borsa totale per ISEE/ISPE inferiori a 50K€, altrimenti tassa di iscrizione di 20K€ pari al 25% circa del valore di mercato del programma.</w:t>
      </w:r>
    </w:p>
  </w:footnote>
  <w:footnote w:id="6">
    <w:p>
      <w:pPr>
        <w:spacing w:after="60" w:line="240"/>
      </w:pPr>
      <w:r>
        <w:rPr>
          <w:rStyle w:val="FootnoteReference"/>
        </w:rPr>
        <w:footnoteRef/>
      </w:r>
      <w:r>
        <w:rPr>
          <w:rFonts w:ascii="Aptos" w:cs="Aptos" w:eastAsia="Aptos" w:hAnsi="Aptos"/>
          <w:color w:val="133439"/>
          <w:sz w:val="18"/>
          <w:szCs w:val="18"/>
        </w:rPr>
        <w:t xml:space="preserve">Brief gara, slide 28 — sintesi degli apprendimenti dell’analisi sui canali social Angelini Academy 2025: la dimensione umana (volti, esperienze, relazioni) è risultata il fattore principale di engagement.</w:t>
      </w:r>
    </w:p>
  </w:footnote>
  <w:footnote w:id="7">
    <w:p>
      <w:pPr>
        <w:spacing w:after="60" w:line="240"/>
      </w:pPr>
      <w:r>
        <w:rPr>
          <w:rStyle w:val="FootnoteReference"/>
        </w:rPr>
        <w:footnoteRef/>
      </w:r>
      <w:r>
        <w:rPr>
          <w:rFonts w:ascii="Aptos" w:cs="Aptos" w:eastAsia="Aptos" w:hAnsi="Aptos"/>
          <w:color w:val="133439"/>
          <w:sz w:val="18"/>
          <w:szCs w:val="18"/>
        </w:rPr>
        <w:t xml:space="preserve">Brief gara, slide 17 — tre cluster narrativi che attraversano tutte le attività di comunicazione: Posizionamento e purpose · Ricerca su modelli educativi innovativi · Unique Proposition del Corporate Learning.</w:t>
      </w:r>
    </w:p>
  </w:footnote>
  <w:footnote w:id="8">
    <w:p>
      <w:pPr>
        <w:spacing w:after="60" w:line="240"/>
      </w:pPr>
      <w:r>
        <w:rPr>
          <w:rStyle w:val="FootnoteReference"/>
        </w:rPr>
        <w:footnoteRef/>
      </w:r>
      <w:r>
        <w:rPr>
          <w:rFonts w:ascii="Aptos" w:cs="Aptos" w:eastAsia="Aptos" w:hAnsi="Aptos"/>
          <w:color w:val="133439"/>
          <w:sz w:val="18"/>
          <w:szCs w:val="18"/>
        </w:rPr>
        <w:t xml:space="preserve">Brief gara, slide 9 — Pilastro 2 «Innovazione graduale nelle competenze tecniche e manageriali», in sinergia con le società operative del Gruppo Angelini (Pharma, Tech, Ventures, Fater).</w:t>
      </w:r>
    </w:p>
  </w:footnote>
  <w:footnote w:id="9">
    <w:p>
      <w:pPr>
        <w:spacing w:after="60" w:line="240"/>
      </w:pPr>
      <w:r>
        <w:rPr>
          <w:rStyle w:val="FootnoteReference"/>
        </w:rPr>
        <w:footnoteRef/>
      </w:r>
      <w:r>
        <w:rPr>
          <w:rFonts w:ascii="Aptos" w:cs="Aptos" w:eastAsia="Aptos" w:hAnsi="Aptos"/>
          <w:color w:val="133439"/>
          <w:sz w:val="18"/>
          <w:szCs w:val="18"/>
        </w:rPr>
        <w:t xml:space="preserve">Brief gara, slide 32 — richiesta esplicita di una metodologia di misurazione delle performance e di KPI rilevanti per area.</w:t>
      </w:r>
    </w:p>
  </w:footnote>
  <w:footnote w:id="10">
    <w:p>
      <w:pPr>
        <w:spacing w:after="60" w:line="240"/>
      </w:pPr>
      <w:r>
        <w:rPr>
          <w:rStyle w:val="FootnoteReference"/>
        </w:rPr>
        <w:footnoteRef/>
      </w:r>
      <w:r>
        <w:rPr>
          <w:rFonts w:ascii="Aptos" w:cs="Aptos" w:eastAsia="Aptos" w:hAnsi="Aptos"/>
          <w:color w:val="133439"/>
          <w:sz w:val="18"/>
          <w:szCs w:val="18"/>
        </w:rPr>
        <w:t xml:space="preserve">Brief gara, slide 33-34 — richiesta di un pacchetto di ore in outsourcing per Project Management e attività operative, articolato in costo orario per tipologia e pacchetti modulari (40, 80, ... ore) con scontistiche per volumi.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A" w:sz="4" w:space="1"/>
      </w:pBdr>
      <w:spacing w:after="0"/>
      <w:jc w:val="right"/>
    </w:pPr>
    <w:r>
      <w:rPr>
        <w:rFonts w:ascii="Aptos" w:cs="Aptos" w:eastAsia="Aptos" w:hAnsi="Aptos"/>
        <w:i/>
        <w:iCs/>
        <w:color w:val="074F6A"/>
        <w:sz w:val="18"/>
        <w:szCs w:val="18"/>
      </w:rPr>
      <w:t xml:space="preserve">Q&amp;A preparatorio  ·  Sito Angelini Academy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3343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ptos" w:cs="Aptos" w:eastAsia="Aptos" w:hAnsi="Aptos"/>
      <w:b/>
      <w:bCs/>
      <w:color w:val="20859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ptos" w:cs="Aptos" w:eastAsia="Aptos" w:hAnsi="Aptos"/>
      <w:b/>
      <w:bCs/>
      <w:color w:val="074F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Q&amp;A preparatorio - Sito Angelini Academy</dc:title>
  <dc:creator>HeyAI Srl</dc:creator>
  <cp:lastModifiedBy>Un-named</cp:lastModifiedBy>
  <cp:revision>1</cp:revision>
  <dcterms:created xsi:type="dcterms:W3CDTF">2026-05-05T19:02:47.462Z</dcterms:created>
  <dcterms:modified xsi:type="dcterms:W3CDTF">2026-05-05T19:02:47.471Z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